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571" w:rsidRDefault="007D6D31">
      <w:pPr>
        <w:rPr>
          <w:sz w:val="24"/>
        </w:rPr>
      </w:pPr>
      <w:bookmarkStart w:id="0" w:name="_GoBack"/>
      <w:bookmarkEnd w:id="0"/>
      <w:r>
        <w:rPr>
          <w:noProof/>
          <w:sz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286000" cy="7048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86000" cy="704850"/>
                    </a:xfrm>
                    <a:prstGeom prst="rect">
                      <a:avLst/>
                    </a:prstGeom>
                    <a:noFill/>
                  </pic:spPr>
                </pic:pic>
              </a:graphicData>
            </a:graphic>
          </wp:anchor>
        </w:drawing>
      </w:r>
    </w:p>
    <w:p w:rsidR="001A5571" w:rsidRPr="001A5571" w:rsidRDefault="001A5571" w:rsidP="001A5571">
      <w:pPr>
        <w:rPr>
          <w:sz w:val="24"/>
        </w:rPr>
      </w:pPr>
    </w:p>
    <w:p w:rsidR="001A5571" w:rsidRPr="001A5571" w:rsidRDefault="001A5571" w:rsidP="001A5571">
      <w:pPr>
        <w:rPr>
          <w:sz w:val="24"/>
        </w:rPr>
      </w:pPr>
    </w:p>
    <w:p w:rsidR="00595168" w:rsidRDefault="001A5571" w:rsidP="001A5571">
      <w:pPr>
        <w:tabs>
          <w:tab w:val="left" w:pos="1335"/>
        </w:tabs>
        <w:rPr>
          <w:sz w:val="24"/>
        </w:rPr>
      </w:pPr>
      <w:r>
        <w:rPr>
          <w:sz w:val="24"/>
        </w:rPr>
        <w:tab/>
      </w:r>
    </w:p>
    <w:p w:rsidR="006F7082" w:rsidRDefault="006F7082" w:rsidP="009130C0">
      <w:pPr>
        <w:tabs>
          <w:tab w:val="left" w:pos="1335"/>
        </w:tabs>
        <w:rPr>
          <w:b/>
          <w:sz w:val="24"/>
          <w:u w:val="single"/>
        </w:rPr>
      </w:pPr>
    </w:p>
    <w:p w:rsidR="001A5571" w:rsidRPr="001A5571" w:rsidRDefault="001A5571" w:rsidP="001A5571">
      <w:pPr>
        <w:tabs>
          <w:tab w:val="left" w:pos="1335"/>
        </w:tabs>
        <w:jc w:val="center"/>
        <w:rPr>
          <w:b/>
          <w:sz w:val="24"/>
          <w:u w:val="single"/>
        </w:rPr>
      </w:pPr>
      <w:r w:rsidRPr="001A5571">
        <w:rPr>
          <w:b/>
          <w:sz w:val="24"/>
          <w:u w:val="single"/>
        </w:rPr>
        <w:t>NURSING DIRECTIVES</w:t>
      </w:r>
      <w:r>
        <w:rPr>
          <w:b/>
          <w:sz w:val="24"/>
          <w:u w:val="single"/>
        </w:rPr>
        <w:t>/GUIDELINES</w:t>
      </w:r>
    </w:p>
    <w:p w:rsidR="001A5571" w:rsidRDefault="001A5571" w:rsidP="001A5571">
      <w:pPr>
        <w:tabs>
          <w:tab w:val="left" w:pos="1335"/>
        </w:tabs>
        <w:rPr>
          <w:b/>
          <w:sz w:val="24"/>
        </w:rPr>
      </w:pPr>
    </w:p>
    <w:p w:rsidR="001A5571" w:rsidRDefault="001A5571" w:rsidP="001A5571">
      <w:pPr>
        <w:tabs>
          <w:tab w:val="left" w:pos="1335"/>
        </w:tabs>
        <w:rPr>
          <w:b/>
          <w:sz w:val="24"/>
        </w:rPr>
      </w:pPr>
      <w:r>
        <w:rPr>
          <w:b/>
          <w:sz w:val="24"/>
        </w:rPr>
        <w:t>SUBJECT/TITLE:</w:t>
      </w:r>
      <w:r w:rsidR="003313E4">
        <w:rPr>
          <w:b/>
          <w:sz w:val="24"/>
        </w:rPr>
        <w:t xml:space="preserve"> </w:t>
      </w:r>
      <w:r w:rsidR="004C5CD2">
        <w:rPr>
          <w:b/>
          <w:sz w:val="24"/>
        </w:rPr>
        <w:t>Management of Individuals with Latent T</w:t>
      </w:r>
      <w:r w:rsidR="000E4675">
        <w:rPr>
          <w:b/>
          <w:sz w:val="24"/>
        </w:rPr>
        <w:t>uberculosis (T</w:t>
      </w:r>
      <w:r w:rsidR="004C5CD2">
        <w:rPr>
          <w:b/>
          <w:sz w:val="24"/>
        </w:rPr>
        <w:t>B</w:t>
      </w:r>
      <w:r w:rsidR="000E4675">
        <w:rPr>
          <w:b/>
          <w:sz w:val="24"/>
        </w:rPr>
        <w:t>)</w:t>
      </w:r>
      <w:r w:rsidR="004C5CD2">
        <w:rPr>
          <w:b/>
          <w:sz w:val="24"/>
        </w:rPr>
        <w:t xml:space="preserve"> Infection </w:t>
      </w:r>
      <w:r w:rsidR="003313E4">
        <w:rPr>
          <w:b/>
          <w:sz w:val="24"/>
        </w:rPr>
        <w:tab/>
      </w:r>
    </w:p>
    <w:p w:rsidR="001A5571" w:rsidRDefault="001A5571" w:rsidP="001A5571">
      <w:pPr>
        <w:tabs>
          <w:tab w:val="left" w:pos="1335"/>
        </w:tabs>
        <w:rPr>
          <w:b/>
          <w:sz w:val="24"/>
        </w:rPr>
      </w:pPr>
    </w:p>
    <w:p w:rsidR="001A5571" w:rsidRPr="003313E4" w:rsidRDefault="001A5571" w:rsidP="001A5571">
      <w:pPr>
        <w:tabs>
          <w:tab w:val="left" w:pos="1335"/>
        </w:tabs>
        <w:rPr>
          <w:sz w:val="24"/>
        </w:rPr>
      </w:pPr>
      <w:r>
        <w:rPr>
          <w:b/>
          <w:sz w:val="24"/>
        </w:rPr>
        <w:t>SECTION:</w:t>
      </w:r>
      <w:r w:rsidR="003313E4">
        <w:rPr>
          <w:b/>
          <w:sz w:val="24"/>
        </w:rPr>
        <w:t xml:space="preserve"> </w:t>
      </w:r>
      <w:r w:rsidR="003313E4" w:rsidRPr="003313E4">
        <w:rPr>
          <w:sz w:val="24"/>
        </w:rPr>
        <w:t xml:space="preserve">Standards of </w:t>
      </w:r>
      <w:r w:rsidR="00362ED5">
        <w:rPr>
          <w:sz w:val="24"/>
        </w:rPr>
        <w:t>Care</w:t>
      </w:r>
    </w:p>
    <w:p w:rsidR="001A5571" w:rsidRDefault="001A5571" w:rsidP="001A5571">
      <w:pPr>
        <w:tabs>
          <w:tab w:val="left" w:pos="1335"/>
        </w:tabs>
        <w:rPr>
          <w:b/>
          <w:sz w:val="24"/>
        </w:rPr>
      </w:pPr>
    </w:p>
    <w:p w:rsidR="00766B11" w:rsidRDefault="001A5571" w:rsidP="001A5571">
      <w:pPr>
        <w:tabs>
          <w:tab w:val="left" w:pos="1335"/>
        </w:tabs>
        <w:rPr>
          <w:sz w:val="24"/>
          <w:szCs w:val="24"/>
        </w:rPr>
      </w:pPr>
      <w:r>
        <w:rPr>
          <w:b/>
          <w:sz w:val="24"/>
        </w:rPr>
        <w:t xml:space="preserve">SUMMARY: </w:t>
      </w:r>
      <w:bookmarkStart w:id="1" w:name="top"/>
      <w:bookmarkEnd w:id="1"/>
      <w:r w:rsidR="0086500A" w:rsidRPr="0086500A">
        <w:rPr>
          <w:sz w:val="24"/>
          <w:szCs w:val="24"/>
        </w:rPr>
        <w:t>Screening for tuberculosis infection</w:t>
      </w:r>
      <w:r w:rsidR="000E4675">
        <w:rPr>
          <w:sz w:val="24"/>
          <w:szCs w:val="24"/>
        </w:rPr>
        <w:t xml:space="preserve"> (TBI)</w:t>
      </w:r>
      <w:r w:rsidR="0086500A" w:rsidRPr="0086500A">
        <w:rPr>
          <w:sz w:val="24"/>
          <w:szCs w:val="24"/>
        </w:rPr>
        <w:t xml:space="preserve"> and providing treatment to prevent progression to active disease are important in the ultimate elimination of tuberculosis. However, these strategies are lower priority than core control activities such as the identification and treatment of active cases</w:t>
      </w:r>
      <w:r w:rsidR="00AF665C">
        <w:rPr>
          <w:sz w:val="24"/>
          <w:szCs w:val="24"/>
        </w:rPr>
        <w:t>,</w:t>
      </w:r>
      <w:r w:rsidR="0086500A" w:rsidRPr="0086500A">
        <w:rPr>
          <w:sz w:val="24"/>
          <w:szCs w:val="24"/>
        </w:rPr>
        <w:t xml:space="preserve"> contact investigations </w:t>
      </w:r>
      <w:r w:rsidR="004F0CDF">
        <w:rPr>
          <w:sz w:val="24"/>
          <w:szCs w:val="24"/>
        </w:rPr>
        <w:t xml:space="preserve">including the </w:t>
      </w:r>
      <w:r w:rsidR="002A3662">
        <w:rPr>
          <w:sz w:val="24"/>
          <w:szCs w:val="24"/>
        </w:rPr>
        <w:t>evaluation and treatment of contacts</w:t>
      </w:r>
      <w:r w:rsidR="00AF665C">
        <w:rPr>
          <w:sz w:val="24"/>
          <w:szCs w:val="24"/>
        </w:rPr>
        <w:t>,</w:t>
      </w:r>
      <w:r w:rsidR="002A3662">
        <w:rPr>
          <w:sz w:val="24"/>
          <w:szCs w:val="24"/>
        </w:rPr>
        <w:t xml:space="preserve"> </w:t>
      </w:r>
      <w:r w:rsidR="0086500A" w:rsidRPr="0086500A">
        <w:rPr>
          <w:sz w:val="24"/>
          <w:szCs w:val="24"/>
        </w:rPr>
        <w:t xml:space="preserve">and disease surveillance. As resources become more limited, it will become increasingly more important to direct any screening performed toward those populations where the yield and benefit is likely to be greatest. </w:t>
      </w:r>
      <w:r w:rsidR="0086500A">
        <w:rPr>
          <w:sz w:val="24"/>
          <w:szCs w:val="24"/>
        </w:rPr>
        <w:t xml:space="preserve"> Only screening programs that target specific high-risk populations and that include not only </w:t>
      </w:r>
      <w:r w:rsidR="00457659">
        <w:rPr>
          <w:sz w:val="24"/>
          <w:szCs w:val="24"/>
        </w:rPr>
        <w:t xml:space="preserve">an </w:t>
      </w:r>
      <w:r w:rsidR="0086500A">
        <w:rPr>
          <w:sz w:val="24"/>
          <w:szCs w:val="24"/>
        </w:rPr>
        <w:t xml:space="preserve">initial evaluation for infection but also a specific plan to assure completion of treatment should be undertaken.  </w:t>
      </w:r>
    </w:p>
    <w:p w:rsidR="0049103C" w:rsidRDefault="0049103C" w:rsidP="001A5571">
      <w:pPr>
        <w:tabs>
          <w:tab w:val="left" w:pos="1335"/>
        </w:tabs>
        <w:rPr>
          <w:sz w:val="24"/>
          <w:szCs w:val="24"/>
        </w:rPr>
      </w:pPr>
    </w:p>
    <w:p w:rsidR="00E8165B" w:rsidRDefault="00766B11" w:rsidP="001A5571">
      <w:pPr>
        <w:tabs>
          <w:tab w:val="left" w:pos="1335"/>
        </w:tabs>
        <w:rPr>
          <w:sz w:val="24"/>
        </w:rPr>
      </w:pPr>
      <w:r>
        <w:rPr>
          <w:sz w:val="24"/>
          <w:szCs w:val="24"/>
        </w:rPr>
        <w:t xml:space="preserve">Local health districts vary in their ability to offer targeted testing and screening services.  </w:t>
      </w:r>
      <w:r w:rsidR="00197DDD">
        <w:rPr>
          <w:sz w:val="24"/>
          <w:szCs w:val="24"/>
        </w:rPr>
        <w:t xml:space="preserve">At </w:t>
      </w:r>
      <w:r>
        <w:rPr>
          <w:sz w:val="24"/>
          <w:szCs w:val="24"/>
        </w:rPr>
        <w:t>a minimum</w:t>
      </w:r>
      <w:r w:rsidR="0049103C">
        <w:rPr>
          <w:sz w:val="24"/>
          <w:szCs w:val="24"/>
        </w:rPr>
        <w:t>,</w:t>
      </w:r>
      <w:r>
        <w:rPr>
          <w:sz w:val="24"/>
          <w:szCs w:val="24"/>
        </w:rPr>
        <w:t xml:space="preserve"> all districts must ensure the appropriate screening and testing of contacts to potentially infectious TB cases</w:t>
      </w:r>
      <w:r w:rsidR="00197DDD">
        <w:rPr>
          <w:sz w:val="24"/>
          <w:szCs w:val="24"/>
        </w:rPr>
        <w:t xml:space="preserve"> and TB-classified immigrants and refugees</w:t>
      </w:r>
      <w:r>
        <w:rPr>
          <w:sz w:val="24"/>
          <w:szCs w:val="24"/>
        </w:rPr>
        <w:t>, the highest priorit</w:t>
      </w:r>
      <w:r w:rsidR="00197DDD">
        <w:rPr>
          <w:sz w:val="24"/>
          <w:szCs w:val="24"/>
        </w:rPr>
        <w:t>ies</w:t>
      </w:r>
      <w:r>
        <w:rPr>
          <w:sz w:val="24"/>
          <w:szCs w:val="24"/>
        </w:rPr>
        <w:t xml:space="preserve"> for targeted screening efforts.</w:t>
      </w:r>
      <w:r w:rsidR="0086500A" w:rsidRPr="0086500A">
        <w:rPr>
          <w:sz w:val="24"/>
          <w:szCs w:val="24"/>
        </w:rPr>
        <w:br/>
      </w:r>
      <w:r w:rsidR="0086500A">
        <w:br/>
      </w:r>
      <w:r w:rsidR="001A5571">
        <w:rPr>
          <w:b/>
          <w:sz w:val="24"/>
        </w:rPr>
        <w:t>BRIEF BACKGROUND</w:t>
      </w:r>
      <w:r w:rsidR="0086500A">
        <w:rPr>
          <w:b/>
          <w:sz w:val="24"/>
        </w:rPr>
        <w:t xml:space="preserve">:  </w:t>
      </w:r>
      <w:r w:rsidR="0086500A">
        <w:rPr>
          <w:sz w:val="24"/>
        </w:rPr>
        <w:t>The primary goal for any screening and testing program for latent TB infection (</w:t>
      </w:r>
      <w:r w:rsidR="00236AFB">
        <w:rPr>
          <w:sz w:val="24"/>
        </w:rPr>
        <w:t>TBI</w:t>
      </w:r>
      <w:r w:rsidR="0086500A">
        <w:rPr>
          <w:sz w:val="24"/>
        </w:rPr>
        <w:t xml:space="preserve">) is the successful treatment of those found to be infected.  </w:t>
      </w:r>
      <w:r w:rsidR="001A5571">
        <w:rPr>
          <w:b/>
          <w:sz w:val="24"/>
        </w:rPr>
        <w:t xml:space="preserve"> </w:t>
      </w:r>
      <w:r w:rsidR="00E8165B" w:rsidRPr="00E8165B">
        <w:rPr>
          <w:sz w:val="24"/>
        </w:rPr>
        <w:t xml:space="preserve">Case management is the preferred strategy for coordinating </w:t>
      </w:r>
      <w:r w:rsidR="000906B0">
        <w:rPr>
          <w:sz w:val="24"/>
        </w:rPr>
        <w:t>client</w:t>
      </w:r>
      <w:r w:rsidR="00E8165B" w:rsidRPr="00E8165B">
        <w:rPr>
          <w:sz w:val="24"/>
        </w:rPr>
        <w:t xml:space="preserve"> care to ensure </w:t>
      </w:r>
      <w:r w:rsidR="00E8165B">
        <w:rPr>
          <w:sz w:val="24"/>
        </w:rPr>
        <w:t xml:space="preserve">that the </w:t>
      </w:r>
      <w:r w:rsidR="000906B0">
        <w:rPr>
          <w:sz w:val="24"/>
        </w:rPr>
        <w:t>client</w:t>
      </w:r>
      <w:r w:rsidR="00E8165B">
        <w:rPr>
          <w:sz w:val="24"/>
        </w:rPr>
        <w:t xml:space="preserve"> is educated about TB </w:t>
      </w:r>
      <w:r w:rsidR="00B61874">
        <w:rPr>
          <w:sz w:val="24"/>
        </w:rPr>
        <w:t xml:space="preserve">infection </w:t>
      </w:r>
      <w:r w:rsidR="00E8165B">
        <w:rPr>
          <w:sz w:val="24"/>
        </w:rPr>
        <w:t xml:space="preserve">and its treatment </w:t>
      </w:r>
      <w:r w:rsidR="00B61874">
        <w:rPr>
          <w:sz w:val="24"/>
        </w:rPr>
        <w:t xml:space="preserve">and completes a course of </w:t>
      </w:r>
      <w:r w:rsidR="00D170D4">
        <w:rPr>
          <w:sz w:val="24"/>
        </w:rPr>
        <w:t xml:space="preserve">appropriate </w:t>
      </w:r>
      <w:r w:rsidR="00B61874">
        <w:rPr>
          <w:sz w:val="24"/>
        </w:rPr>
        <w:t xml:space="preserve">therapy.  </w:t>
      </w:r>
    </w:p>
    <w:p w:rsidR="000E4675" w:rsidRDefault="000E4675" w:rsidP="001A5571">
      <w:pPr>
        <w:tabs>
          <w:tab w:val="left" w:pos="1335"/>
        </w:tabs>
        <w:rPr>
          <w:sz w:val="24"/>
        </w:rPr>
      </w:pPr>
    </w:p>
    <w:p w:rsidR="00E8165B" w:rsidRDefault="00E8165B" w:rsidP="001A5571">
      <w:pPr>
        <w:tabs>
          <w:tab w:val="left" w:pos="1335"/>
        </w:tabs>
        <w:rPr>
          <w:sz w:val="24"/>
        </w:rPr>
      </w:pPr>
      <w:r>
        <w:rPr>
          <w:sz w:val="24"/>
        </w:rPr>
        <w:t xml:space="preserve">It is beyond the scope of this document to cover all situations that may arise during the </w:t>
      </w:r>
      <w:r w:rsidR="005A0423">
        <w:rPr>
          <w:sz w:val="24"/>
        </w:rPr>
        <w:t>course</w:t>
      </w:r>
      <w:r>
        <w:rPr>
          <w:sz w:val="24"/>
        </w:rPr>
        <w:t xml:space="preserve"> of treatment or investigation of any one individual or community.  All nurses involved </w:t>
      </w:r>
      <w:r w:rsidR="000505F9">
        <w:rPr>
          <w:sz w:val="24"/>
        </w:rPr>
        <w:t xml:space="preserve">in </w:t>
      </w:r>
      <w:r w:rsidR="0086500A">
        <w:rPr>
          <w:sz w:val="24"/>
        </w:rPr>
        <w:t>the</w:t>
      </w:r>
      <w:r>
        <w:rPr>
          <w:sz w:val="24"/>
        </w:rPr>
        <w:t xml:space="preserve"> management of </w:t>
      </w:r>
      <w:r w:rsidR="0086500A">
        <w:rPr>
          <w:sz w:val="24"/>
        </w:rPr>
        <w:t>screening, testing</w:t>
      </w:r>
      <w:r w:rsidR="0049103C">
        <w:rPr>
          <w:sz w:val="24"/>
        </w:rPr>
        <w:t>,</w:t>
      </w:r>
      <w:r w:rsidR="0086500A">
        <w:rPr>
          <w:sz w:val="24"/>
        </w:rPr>
        <w:t xml:space="preserve"> and treatment programs for </w:t>
      </w:r>
      <w:r w:rsidR="000906B0">
        <w:rPr>
          <w:sz w:val="24"/>
        </w:rPr>
        <w:t>client</w:t>
      </w:r>
      <w:r>
        <w:rPr>
          <w:sz w:val="24"/>
        </w:rPr>
        <w:t xml:space="preserve">s </w:t>
      </w:r>
      <w:r w:rsidR="0086500A">
        <w:rPr>
          <w:sz w:val="24"/>
        </w:rPr>
        <w:t xml:space="preserve">with tuberculosis infection, </w:t>
      </w:r>
      <w:r>
        <w:rPr>
          <w:sz w:val="24"/>
        </w:rPr>
        <w:t>should have immediate access to guidelines, policies</w:t>
      </w:r>
      <w:r w:rsidR="0049103C">
        <w:rPr>
          <w:sz w:val="24"/>
        </w:rPr>
        <w:t>,</w:t>
      </w:r>
      <w:r>
        <w:rPr>
          <w:sz w:val="24"/>
        </w:rPr>
        <w:t xml:space="preserve"> and procedures published by the Centers for Disease Control and Prevention (CDC) and the Virginia Department of Health</w:t>
      </w:r>
      <w:r w:rsidR="002A3662">
        <w:rPr>
          <w:sz w:val="24"/>
        </w:rPr>
        <w:t xml:space="preserve"> (VDH)</w:t>
      </w:r>
      <w:r>
        <w:rPr>
          <w:sz w:val="24"/>
        </w:rPr>
        <w:t>, Division of Disease Prevention, TB Control and Prevention program (DDP-tb)</w:t>
      </w:r>
      <w:r w:rsidR="005F302F">
        <w:rPr>
          <w:sz w:val="24"/>
        </w:rPr>
        <w:t>.</w:t>
      </w:r>
    </w:p>
    <w:p w:rsidR="000C2E2C" w:rsidRPr="00E8165B" w:rsidRDefault="000C2E2C" w:rsidP="001A5571">
      <w:pPr>
        <w:tabs>
          <w:tab w:val="left" w:pos="1335"/>
        </w:tabs>
        <w:rPr>
          <w:sz w:val="24"/>
        </w:rPr>
      </w:pPr>
    </w:p>
    <w:p w:rsidR="00BA5B0F" w:rsidRDefault="001A5571">
      <w:pPr>
        <w:tabs>
          <w:tab w:val="left" w:pos="1335"/>
        </w:tabs>
        <w:rPr>
          <w:b/>
          <w:sz w:val="24"/>
        </w:rPr>
      </w:pPr>
      <w:r>
        <w:rPr>
          <w:b/>
          <w:sz w:val="24"/>
        </w:rPr>
        <w:t>PROCEDURE/DIRECTIVE:</w:t>
      </w:r>
    </w:p>
    <w:p w:rsidR="006F7082" w:rsidRPr="009A5A33" w:rsidRDefault="00580D5B" w:rsidP="009A5A33">
      <w:pPr>
        <w:tabs>
          <w:tab w:val="left" w:pos="1335"/>
        </w:tabs>
        <w:rPr>
          <w:i/>
          <w:sz w:val="24"/>
        </w:rPr>
      </w:pPr>
      <w:r w:rsidRPr="009A5A33">
        <w:rPr>
          <w:b/>
          <w:i/>
          <w:sz w:val="24"/>
        </w:rPr>
        <w:t>Screening for TB Infection</w:t>
      </w:r>
      <w:r w:rsidR="00633B10" w:rsidRPr="009A5A33">
        <w:rPr>
          <w:i/>
          <w:sz w:val="24"/>
        </w:rPr>
        <w:t xml:space="preserve">  </w:t>
      </w:r>
    </w:p>
    <w:p w:rsidR="00001A5A" w:rsidRPr="009A5A33" w:rsidRDefault="006F7082" w:rsidP="009A5A33">
      <w:pPr>
        <w:pStyle w:val="ListParagraph"/>
        <w:numPr>
          <w:ilvl w:val="0"/>
          <w:numId w:val="19"/>
        </w:numPr>
        <w:tabs>
          <w:tab w:val="num" w:pos="1080"/>
        </w:tabs>
        <w:ind w:left="360"/>
        <w:rPr>
          <w:sz w:val="24"/>
        </w:rPr>
      </w:pPr>
      <w:r w:rsidRPr="009A5A33">
        <w:rPr>
          <w:sz w:val="24"/>
        </w:rPr>
        <w:t>All individuals screened for TB infection (</w:t>
      </w:r>
      <w:r w:rsidR="00236AFB" w:rsidRPr="009A5A33">
        <w:rPr>
          <w:sz w:val="24"/>
        </w:rPr>
        <w:t>TBI</w:t>
      </w:r>
      <w:r w:rsidRPr="009A5A33">
        <w:rPr>
          <w:sz w:val="24"/>
        </w:rPr>
        <w:t xml:space="preserve">) should have a </w:t>
      </w:r>
      <w:r w:rsidR="00A12FDD" w:rsidRPr="009A5A33">
        <w:rPr>
          <w:sz w:val="24"/>
        </w:rPr>
        <w:t>r</w:t>
      </w:r>
      <w:r w:rsidRPr="009A5A33">
        <w:rPr>
          <w:sz w:val="24"/>
        </w:rPr>
        <w:t xml:space="preserve">isk </w:t>
      </w:r>
      <w:r w:rsidR="005C7641" w:rsidRPr="009A5A33">
        <w:rPr>
          <w:sz w:val="24"/>
        </w:rPr>
        <w:t>assessment</w:t>
      </w:r>
      <w:r w:rsidRPr="009A5A33">
        <w:rPr>
          <w:sz w:val="24"/>
        </w:rPr>
        <w:t xml:space="preserve"> completed using </w:t>
      </w:r>
      <w:r w:rsidR="00457659" w:rsidRPr="009A5A33">
        <w:rPr>
          <w:sz w:val="24"/>
        </w:rPr>
        <w:t xml:space="preserve">the current </w:t>
      </w:r>
      <w:r w:rsidRPr="009A5A33">
        <w:rPr>
          <w:sz w:val="24"/>
        </w:rPr>
        <w:t xml:space="preserve">TB Risk Assessment form (TB512) or similar form to determine the need for a </w:t>
      </w:r>
      <w:r w:rsidR="00236AFB" w:rsidRPr="009A5A33">
        <w:rPr>
          <w:sz w:val="24"/>
        </w:rPr>
        <w:t xml:space="preserve">test for TB infection, either a </w:t>
      </w:r>
      <w:r w:rsidRPr="009A5A33">
        <w:rPr>
          <w:sz w:val="24"/>
        </w:rPr>
        <w:t>tuberculin skin test (TST)</w:t>
      </w:r>
      <w:r w:rsidR="00236AFB" w:rsidRPr="009A5A33">
        <w:rPr>
          <w:sz w:val="24"/>
        </w:rPr>
        <w:t xml:space="preserve"> or an InterFeron Gamma Release Assa</w:t>
      </w:r>
      <w:r w:rsidR="005E4623" w:rsidRPr="009A5A33">
        <w:rPr>
          <w:sz w:val="24"/>
        </w:rPr>
        <w:t>y (IGRA)</w:t>
      </w:r>
      <w:r w:rsidR="00A12FDD" w:rsidRPr="009A5A33">
        <w:rPr>
          <w:sz w:val="24"/>
        </w:rPr>
        <w:t xml:space="preserve"> blood test </w:t>
      </w:r>
      <w:r w:rsidR="005E4623" w:rsidRPr="009A5A33">
        <w:rPr>
          <w:sz w:val="24"/>
        </w:rPr>
        <w:t xml:space="preserve">such as the T-Spot-TB </w:t>
      </w:r>
      <w:r w:rsidR="00236AFB" w:rsidRPr="009A5A33">
        <w:rPr>
          <w:sz w:val="24"/>
        </w:rPr>
        <w:t xml:space="preserve">or Quantiferon </w:t>
      </w:r>
      <w:r w:rsidR="00A12FDD" w:rsidRPr="009A5A33">
        <w:rPr>
          <w:sz w:val="24"/>
        </w:rPr>
        <w:t xml:space="preserve">TB </w:t>
      </w:r>
      <w:r w:rsidR="00236AFB" w:rsidRPr="009A5A33">
        <w:rPr>
          <w:sz w:val="24"/>
        </w:rPr>
        <w:t>Gold</w:t>
      </w:r>
      <w:r w:rsidR="00A12FDD" w:rsidRPr="009A5A33">
        <w:rPr>
          <w:sz w:val="24"/>
        </w:rPr>
        <w:t>-in-Tube</w:t>
      </w:r>
      <w:r w:rsidR="00236AFB" w:rsidRPr="009A5A33">
        <w:rPr>
          <w:sz w:val="24"/>
        </w:rPr>
        <w:t xml:space="preserve"> (QFT</w:t>
      </w:r>
      <w:r w:rsidR="00A12FDD" w:rsidRPr="009A5A33">
        <w:rPr>
          <w:sz w:val="24"/>
        </w:rPr>
        <w:t>-GIT</w:t>
      </w:r>
      <w:r w:rsidR="00236AFB" w:rsidRPr="009A5A33">
        <w:rPr>
          <w:sz w:val="24"/>
        </w:rPr>
        <w:t>)</w:t>
      </w:r>
      <w:r w:rsidRPr="009A5A33">
        <w:rPr>
          <w:sz w:val="24"/>
        </w:rPr>
        <w:t>. See VDH DDP-tb policy on Screening for Infection and Disease.</w:t>
      </w:r>
      <w:r w:rsidR="00E63233" w:rsidRPr="009A5A33">
        <w:rPr>
          <w:sz w:val="24"/>
        </w:rPr>
        <w:t xml:space="preserve"> Available from:</w:t>
      </w:r>
      <w:r w:rsidR="009A5A33" w:rsidRPr="009A5A33">
        <w:rPr>
          <w:sz w:val="24"/>
        </w:rPr>
        <w:t xml:space="preserve"> </w:t>
      </w:r>
      <w:r w:rsidR="00580D5B" w:rsidRPr="009A5A33">
        <w:rPr>
          <w:sz w:val="24"/>
          <w:szCs w:val="24"/>
        </w:rPr>
        <w:t>http://www.vdh.virginia.gov/TB/Policies/screening.htm</w:t>
      </w:r>
      <w:r w:rsidR="00236AFB" w:rsidDel="00236AFB">
        <w:t xml:space="preserve"> </w:t>
      </w:r>
    </w:p>
    <w:p w:rsidR="00A67249" w:rsidRPr="00111261" w:rsidRDefault="00205D76" w:rsidP="00111261">
      <w:pPr>
        <w:pStyle w:val="ListParagraph"/>
        <w:numPr>
          <w:ilvl w:val="0"/>
          <w:numId w:val="20"/>
        </w:numPr>
        <w:ind w:left="360"/>
        <w:rPr>
          <w:sz w:val="24"/>
        </w:rPr>
      </w:pPr>
      <w:r w:rsidRPr="00111261">
        <w:rPr>
          <w:sz w:val="24"/>
        </w:rPr>
        <w:lastRenderedPageBreak/>
        <w:t xml:space="preserve">Only </w:t>
      </w:r>
      <w:r w:rsidR="00001A5A" w:rsidRPr="00111261">
        <w:rPr>
          <w:sz w:val="24"/>
        </w:rPr>
        <w:t xml:space="preserve">those individuals with </w:t>
      </w:r>
      <w:r w:rsidR="00A12FDD" w:rsidRPr="00111261">
        <w:rPr>
          <w:sz w:val="24"/>
        </w:rPr>
        <w:t xml:space="preserve">a </w:t>
      </w:r>
      <w:r w:rsidR="00001A5A" w:rsidRPr="00111261">
        <w:rPr>
          <w:sz w:val="24"/>
        </w:rPr>
        <w:t xml:space="preserve">risk for </w:t>
      </w:r>
      <w:r w:rsidRPr="00111261">
        <w:rPr>
          <w:sz w:val="24"/>
        </w:rPr>
        <w:t>progression to active disease once infected</w:t>
      </w:r>
      <w:r w:rsidR="00A12FDD" w:rsidRPr="00111261">
        <w:rPr>
          <w:sz w:val="24"/>
        </w:rPr>
        <w:t xml:space="preserve">, </w:t>
      </w:r>
      <w:r w:rsidRPr="00111261">
        <w:rPr>
          <w:sz w:val="24"/>
        </w:rPr>
        <w:t xml:space="preserve"> </w:t>
      </w:r>
      <w:r w:rsidR="00001A5A" w:rsidRPr="00111261">
        <w:rPr>
          <w:sz w:val="24"/>
        </w:rPr>
        <w:t>risk</w:t>
      </w:r>
      <w:r w:rsidRPr="00111261">
        <w:rPr>
          <w:sz w:val="24"/>
        </w:rPr>
        <w:t xml:space="preserve"> for acquiring TB infection</w:t>
      </w:r>
      <w:r w:rsidR="00A12FDD" w:rsidRPr="00111261">
        <w:rPr>
          <w:sz w:val="24"/>
        </w:rPr>
        <w:t>, or</w:t>
      </w:r>
      <w:r w:rsidRPr="00111261">
        <w:rPr>
          <w:sz w:val="24"/>
        </w:rPr>
        <w:t xml:space="preserve"> </w:t>
      </w:r>
      <w:r w:rsidR="00A12FDD" w:rsidRPr="00111261">
        <w:rPr>
          <w:sz w:val="24"/>
        </w:rPr>
        <w:t xml:space="preserve">needing baseline testing for an locally approved infection control program </w:t>
      </w:r>
      <w:r w:rsidRPr="00111261">
        <w:rPr>
          <w:sz w:val="24"/>
        </w:rPr>
        <w:t xml:space="preserve">will be </w:t>
      </w:r>
      <w:r w:rsidR="00001A5A" w:rsidRPr="00111261">
        <w:rPr>
          <w:sz w:val="24"/>
        </w:rPr>
        <w:t xml:space="preserve">offered a </w:t>
      </w:r>
      <w:r w:rsidR="00236AFB" w:rsidRPr="00111261">
        <w:rPr>
          <w:sz w:val="24"/>
        </w:rPr>
        <w:t>test for T</w:t>
      </w:r>
      <w:r w:rsidR="000F16B5" w:rsidRPr="00111261">
        <w:rPr>
          <w:sz w:val="24"/>
        </w:rPr>
        <w:t>B</w:t>
      </w:r>
      <w:r w:rsidR="00236AFB" w:rsidRPr="00111261">
        <w:rPr>
          <w:sz w:val="24"/>
        </w:rPr>
        <w:t xml:space="preserve">I </w:t>
      </w:r>
      <w:r w:rsidR="002A3662" w:rsidRPr="00111261">
        <w:rPr>
          <w:sz w:val="24"/>
        </w:rPr>
        <w:t>by VDH</w:t>
      </w:r>
      <w:r w:rsidRPr="00111261">
        <w:rPr>
          <w:sz w:val="24"/>
        </w:rPr>
        <w:t>.</w:t>
      </w:r>
    </w:p>
    <w:p w:rsidR="006F7082" w:rsidRPr="00111261" w:rsidRDefault="00B61874" w:rsidP="00111261">
      <w:pPr>
        <w:pStyle w:val="ListParagraph"/>
        <w:numPr>
          <w:ilvl w:val="0"/>
          <w:numId w:val="20"/>
        </w:numPr>
        <w:ind w:left="360"/>
        <w:rPr>
          <w:sz w:val="24"/>
        </w:rPr>
      </w:pPr>
      <w:r w:rsidRPr="00111261">
        <w:rPr>
          <w:sz w:val="24"/>
        </w:rPr>
        <w:t>Follow CDC, VDH</w:t>
      </w:r>
      <w:r w:rsidR="0049103C" w:rsidRPr="00111261">
        <w:rPr>
          <w:sz w:val="24"/>
        </w:rPr>
        <w:t>,</w:t>
      </w:r>
      <w:r w:rsidRPr="00111261">
        <w:rPr>
          <w:sz w:val="24"/>
        </w:rPr>
        <w:t xml:space="preserve"> and local district guidelines for the administration, reading and interpretation of tuberculin skin tests.  </w:t>
      </w:r>
    </w:p>
    <w:p w:rsidR="006F7082" w:rsidRPr="00111261" w:rsidRDefault="00B61874" w:rsidP="00111261">
      <w:pPr>
        <w:pStyle w:val="ListParagraph"/>
        <w:numPr>
          <w:ilvl w:val="0"/>
          <w:numId w:val="20"/>
        </w:numPr>
        <w:ind w:left="360"/>
        <w:rPr>
          <w:sz w:val="24"/>
        </w:rPr>
      </w:pPr>
      <w:r w:rsidRPr="00111261">
        <w:rPr>
          <w:sz w:val="24"/>
        </w:rPr>
        <w:t xml:space="preserve">According to the Code of Virginia, only prescribers, registered nurses, and licensed practical nurses under the direct supervision of a registered nurse may administer and interpret </w:t>
      </w:r>
      <w:r w:rsidR="000505F9" w:rsidRPr="00111261">
        <w:rPr>
          <w:sz w:val="24"/>
        </w:rPr>
        <w:t>a TST</w:t>
      </w:r>
      <w:r w:rsidRPr="00111261">
        <w:rPr>
          <w:sz w:val="24"/>
        </w:rPr>
        <w:t xml:space="preserve">.  </w:t>
      </w:r>
    </w:p>
    <w:p w:rsidR="00160A17" w:rsidRPr="00111261" w:rsidRDefault="00B1400F" w:rsidP="00111261">
      <w:pPr>
        <w:pStyle w:val="ListParagraph"/>
        <w:numPr>
          <w:ilvl w:val="0"/>
          <w:numId w:val="20"/>
        </w:numPr>
        <w:ind w:left="360"/>
        <w:rPr>
          <w:sz w:val="24"/>
        </w:rPr>
      </w:pPr>
      <w:r w:rsidRPr="00111261">
        <w:rPr>
          <w:sz w:val="24"/>
        </w:rPr>
        <w:t>T</w:t>
      </w:r>
      <w:r w:rsidR="00B61874" w:rsidRPr="00111261">
        <w:rPr>
          <w:sz w:val="24"/>
        </w:rPr>
        <w:t xml:space="preserve">he tasks of palpating and measuring any reaction to the </w:t>
      </w:r>
      <w:r w:rsidR="000505F9" w:rsidRPr="00111261">
        <w:rPr>
          <w:sz w:val="24"/>
        </w:rPr>
        <w:t>TST</w:t>
      </w:r>
      <w:r w:rsidRPr="00111261">
        <w:rPr>
          <w:sz w:val="24"/>
        </w:rPr>
        <w:t xml:space="preserve"> may be delegated to non-licensed personnel</w:t>
      </w:r>
      <w:r w:rsidR="00B61874" w:rsidRPr="00111261">
        <w:rPr>
          <w:sz w:val="24"/>
        </w:rPr>
        <w:t xml:space="preserve">.  </w:t>
      </w:r>
      <w:r w:rsidR="002A3662" w:rsidRPr="00111261">
        <w:rPr>
          <w:sz w:val="24"/>
        </w:rPr>
        <w:t>Non-licensed personnel may not make a determination of the significance of any reaction to a TST, e.</w:t>
      </w:r>
      <w:r w:rsidR="00111261">
        <w:rPr>
          <w:sz w:val="24"/>
        </w:rPr>
        <w:t>g.,</w:t>
      </w:r>
      <w:r w:rsidR="002A3662" w:rsidRPr="00111261">
        <w:rPr>
          <w:sz w:val="24"/>
        </w:rPr>
        <w:t xml:space="preserve"> positive versus </w:t>
      </w:r>
      <w:r w:rsidR="00160A17" w:rsidRPr="00111261">
        <w:rPr>
          <w:sz w:val="24"/>
        </w:rPr>
        <w:t>negative</w:t>
      </w:r>
    </w:p>
    <w:p w:rsidR="00BA5B0F" w:rsidRDefault="00BA5B0F">
      <w:pPr>
        <w:ind w:left="720"/>
        <w:rPr>
          <w:sz w:val="24"/>
        </w:rPr>
      </w:pPr>
    </w:p>
    <w:p w:rsidR="00BA5B0F" w:rsidRPr="009A5A33" w:rsidRDefault="00580D5B" w:rsidP="009A5A33">
      <w:pPr>
        <w:rPr>
          <w:b/>
          <w:i/>
          <w:sz w:val="24"/>
        </w:rPr>
      </w:pPr>
      <w:r w:rsidRPr="009A5A33">
        <w:rPr>
          <w:b/>
          <w:i/>
          <w:sz w:val="24"/>
        </w:rPr>
        <w:t>Required Evaluation to D</w:t>
      </w:r>
      <w:r w:rsidR="007D6D31" w:rsidRPr="009A5A33">
        <w:rPr>
          <w:b/>
          <w:i/>
          <w:sz w:val="24"/>
        </w:rPr>
        <w:t>etermine</w:t>
      </w:r>
      <w:r w:rsidRPr="009A5A33">
        <w:rPr>
          <w:b/>
          <w:i/>
          <w:sz w:val="24"/>
        </w:rPr>
        <w:t xml:space="preserve"> TBI versus Active Disease</w:t>
      </w:r>
    </w:p>
    <w:p w:rsidR="00E55D46" w:rsidRPr="00111261" w:rsidRDefault="00001A5A" w:rsidP="00111261">
      <w:pPr>
        <w:pStyle w:val="ListParagraph"/>
        <w:numPr>
          <w:ilvl w:val="0"/>
          <w:numId w:val="21"/>
        </w:numPr>
        <w:ind w:left="360"/>
        <w:rPr>
          <w:sz w:val="24"/>
        </w:rPr>
      </w:pPr>
      <w:r w:rsidRPr="00111261">
        <w:rPr>
          <w:sz w:val="24"/>
        </w:rPr>
        <w:t xml:space="preserve">All individuals found to have a new positive TST </w:t>
      </w:r>
      <w:r w:rsidR="00A12FDD" w:rsidRPr="00111261">
        <w:rPr>
          <w:sz w:val="24"/>
        </w:rPr>
        <w:t xml:space="preserve">or IGRA </w:t>
      </w:r>
      <w:r w:rsidRPr="00111261">
        <w:rPr>
          <w:sz w:val="24"/>
        </w:rPr>
        <w:t xml:space="preserve">should </w:t>
      </w:r>
      <w:r w:rsidR="00E55D46" w:rsidRPr="00111261">
        <w:rPr>
          <w:sz w:val="24"/>
        </w:rPr>
        <w:t xml:space="preserve">be evaluated to rule out the presence of active disease.  A review of TB signs and symptoms, past exposure history and a </w:t>
      </w:r>
      <w:r w:rsidR="004C5CD2" w:rsidRPr="00111261">
        <w:rPr>
          <w:sz w:val="24"/>
        </w:rPr>
        <w:t>chest x-ray (CXR)</w:t>
      </w:r>
      <w:r w:rsidR="00E55D46" w:rsidRPr="00111261">
        <w:rPr>
          <w:sz w:val="24"/>
        </w:rPr>
        <w:t xml:space="preserve"> should be performed</w:t>
      </w:r>
      <w:r w:rsidR="00F52275" w:rsidRPr="00111261">
        <w:rPr>
          <w:sz w:val="24"/>
        </w:rPr>
        <w:t xml:space="preserve">.  </w:t>
      </w:r>
      <w:r w:rsidR="00B1400F" w:rsidRPr="00111261">
        <w:rPr>
          <w:sz w:val="24"/>
        </w:rPr>
        <w:t xml:space="preserve">Per current VDH Eligibility Guidelines, this </w:t>
      </w:r>
      <w:r w:rsidR="00E55D46" w:rsidRPr="00111261">
        <w:rPr>
          <w:sz w:val="24"/>
        </w:rPr>
        <w:t xml:space="preserve">evaluation and x-ray </w:t>
      </w:r>
      <w:r w:rsidR="00B1400F" w:rsidRPr="00111261">
        <w:rPr>
          <w:sz w:val="24"/>
        </w:rPr>
        <w:t xml:space="preserve">should be at no charge to the </w:t>
      </w:r>
      <w:r w:rsidR="00064E23" w:rsidRPr="00111261">
        <w:rPr>
          <w:sz w:val="24"/>
        </w:rPr>
        <w:t>client</w:t>
      </w:r>
      <w:r w:rsidR="00B1400F" w:rsidRPr="00111261">
        <w:rPr>
          <w:sz w:val="24"/>
        </w:rPr>
        <w:t xml:space="preserve">.  </w:t>
      </w:r>
    </w:p>
    <w:p w:rsidR="00BA5B0F" w:rsidRPr="00AD10B3" w:rsidRDefault="00E55D46" w:rsidP="00AD10B3">
      <w:pPr>
        <w:pStyle w:val="ListParagraph"/>
        <w:numPr>
          <w:ilvl w:val="0"/>
          <w:numId w:val="21"/>
        </w:numPr>
        <w:ind w:left="360"/>
        <w:rPr>
          <w:sz w:val="24"/>
        </w:rPr>
      </w:pPr>
      <w:r w:rsidRPr="00AD10B3">
        <w:rPr>
          <w:sz w:val="24"/>
        </w:rPr>
        <w:t>C</w:t>
      </w:r>
      <w:r w:rsidR="00F52275" w:rsidRPr="00AD10B3">
        <w:rPr>
          <w:sz w:val="24"/>
        </w:rPr>
        <w:t xml:space="preserve">ollection of sputum is recommended if CXR </w:t>
      </w:r>
      <w:r w:rsidR="00D170D4" w:rsidRPr="00AD10B3">
        <w:rPr>
          <w:sz w:val="24"/>
        </w:rPr>
        <w:t>shows</w:t>
      </w:r>
      <w:r w:rsidR="00F52275" w:rsidRPr="00AD10B3">
        <w:rPr>
          <w:sz w:val="24"/>
        </w:rPr>
        <w:t xml:space="preserve"> abnormal</w:t>
      </w:r>
      <w:r w:rsidR="00D170D4" w:rsidRPr="00AD10B3">
        <w:rPr>
          <w:sz w:val="24"/>
        </w:rPr>
        <w:t>ities consistent with active tuberculosis</w:t>
      </w:r>
      <w:r w:rsidR="00F52275" w:rsidRPr="00AD10B3">
        <w:rPr>
          <w:sz w:val="24"/>
        </w:rPr>
        <w:t xml:space="preserve"> or if the client is symptomatic and able to produce sputa.  If necessary, sputum </w:t>
      </w:r>
      <w:r w:rsidR="00D170D4" w:rsidRPr="00AD10B3">
        <w:rPr>
          <w:sz w:val="24"/>
        </w:rPr>
        <w:t>induction should be attempted if</w:t>
      </w:r>
      <w:r w:rsidR="00F52275" w:rsidRPr="00AD10B3">
        <w:rPr>
          <w:sz w:val="24"/>
        </w:rPr>
        <w:t xml:space="preserve"> the </w:t>
      </w:r>
      <w:r w:rsidR="000906B0" w:rsidRPr="00AD10B3">
        <w:rPr>
          <w:sz w:val="24"/>
        </w:rPr>
        <w:t>client</w:t>
      </w:r>
      <w:r w:rsidR="00F52275" w:rsidRPr="00AD10B3">
        <w:rPr>
          <w:sz w:val="24"/>
        </w:rPr>
        <w:t xml:space="preserve"> is unable to produce a sample.</w:t>
      </w:r>
    </w:p>
    <w:p w:rsidR="00160A17" w:rsidRPr="00111261" w:rsidRDefault="002A3662" w:rsidP="00111261">
      <w:pPr>
        <w:pStyle w:val="ListParagraph"/>
        <w:numPr>
          <w:ilvl w:val="0"/>
          <w:numId w:val="21"/>
        </w:numPr>
        <w:tabs>
          <w:tab w:val="left" w:pos="810"/>
          <w:tab w:val="num" w:pos="2880"/>
        </w:tabs>
        <w:ind w:left="360"/>
        <w:rPr>
          <w:sz w:val="24"/>
        </w:rPr>
      </w:pPr>
      <w:r w:rsidRPr="00111261">
        <w:rPr>
          <w:sz w:val="24"/>
        </w:rPr>
        <w:t xml:space="preserve">If bacteriology samples are collected for any individual screened, treatment for </w:t>
      </w:r>
      <w:r w:rsidR="00236AFB" w:rsidRPr="00111261">
        <w:rPr>
          <w:sz w:val="24"/>
        </w:rPr>
        <w:t>TBI</w:t>
      </w:r>
      <w:r w:rsidRPr="00111261">
        <w:rPr>
          <w:sz w:val="24"/>
        </w:rPr>
        <w:t xml:space="preserve"> should be deferred until final culture results are received and active disease is ruled out.  As appropriate, an individual may be started on multiple anti-TB drugs as a </w:t>
      </w:r>
      <w:r w:rsidR="00346056" w:rsidRPr="00111261">
        <w:rPr>
          <w:sz w:val="24"/>
        </w:rPr>
        <w:t xml:space="preserve">TB </w:t>
      </w:r>
      <w:r w:rsidRPr="00111261">
        <w:rPr>
          <w:sz w:val="24"/>
        </w:rPr>
        <w:t>suspect</w:t>
      </w:r>
      <w:r w:rsidR="00B1400F" w:rsidRPr="00111261">
        <w:rPr>
          <w:sz w:val="24"/>
        </w:rPr>
        <w:t xml:space="preserve"> prior to receipt of culture results</w:t>
      </w:r>
      <w:r w:rsidRPr="00111261">
        <w:rPr>
          <w:sz w:val="24"/>
        </w:rPr>
        <w:t>.</w:t>
      </w:r>
    </w:p>
    <w:p w:rsidR="00BA5B0F" w:rsidRDefault="00BA5B0F">
      <w:pPr>
        <w:tabs>
          <w:tab w:val="num" w:pos="2880"/>
        </w:tabs>
        <w:ind w:left="720"/>
        <w:rPr>
          <w:sz w:val="24"/>
        </w:rPr>
      </w:pPr>
    </w:p>
    <w:p w:rsidR="00BA5B0F" w:rsidRPr="009A5A33" w:rsidRDefault="00580D5B" w:rsidP="009A5A33">
      <w:pPr>
        <w:rPr>
          <w:b/>
          <w:i/>
          <w:sz w:val="24"/>
        </w:rPr>
      </w:pPr>
      <w:r w:rsidRPr="009A5A33">
        <w:rPr>
          <w:b/>
          <w:i/>
          <w:sz w:val="24"/>
        </w:rPr>
        <w:t>Management of Individuals with TB Infection</w:t>
      </w:r>
    </w:p>
    <w:p w:rsidR="006F7082" w:rsidRPr="00111261" w:rsidRDefault="00001A5A" w:rsidP="00111261">
      <w:pPr>
        <w:pStyle w:val="ListParagraph"/>
        <w:numPr>
          <w:ilvl w:val="0"/>
          <w:numId w:val="22"/>
        </w:numPr>
        <w:rPr>
          <w:sz w:val="24"/>
        </w:rPr>
      </w:pPr>
      <w:r w:rsidRPr="00111261">
        <w:rPr>
          <w:sz w:val="24"/>
        </w:rPr>
        <w:t xml:space="preserve">All individuals </w:t>
      </w:r>
      <w:r w:rsidR="002A3662" w:rsidRPr="00111261">
        <w:rPr>
          <w:sz w:val="24"/>
        </w:rPr>
        <w:t>with latent TB infection</w:t>
      </w:r>
      <w:r w:rsidRPr="00111261">
        <w:rPr>
          <w:sz w:val="24"/>
        </w:rPr>
        <w:t xml:space="preserve"> should be offered treatment for </w:t>
      </w:r>
      <w:r w:rsidR="00236AFB" w:rsidRPr="00111261">
        <w:rPr>
          <w:sz w:val="24"/>
        </w:rPr>
        <w:t>TBI</w:t>
      </w:r>
      <w:r w:rsidRPr="00111261">
        <w:rPr>
          <w:sz w:val="24"/>
        </w:rPr>
        <w:t xml:space="preserve"> according to guidelines found in MMWR</w:t>
      </w:r>
      <w:r w:rsidR="00B1400F" w:rsidRPr="00111261">
        <w:rPr>
          <w:sz w:val="24"/>
        </w:rPr>
        <w:t>s</w:t>
      </w:r>
      <w:r w:rsidRPr="00111261">
        <w:rPr>
          <w:sz w:val="24"/>
        </w:rPr>
        <w:t xml:space="preserve"> “Target</w:t>
      </w:r>
      <w:r w:rsidR="00346056" w:rsidRPr="00111261">
        <w:rPr>
          <w:sz w:val="24"/>
        </w:rPr>
        <w:t>ed</w:t>
      </w:r>
      <w:r w:rsidRPr="00111261">
        <w:rPr>
          <w:sz w:val="24"/>
        </w:rPr>
        <w:t xml:space="preserve"> Testing and Treatment of Latent TB Infection</w:t>
      </w:r>
      <w:r w:rsidR="00EE04DA" w:rsidRPr="00111261">
        <w:rPr>
          <w:sz w:val="24"/>
        </w:rPr>
        <w:t>”</w:t>
      </w:r>
      <w:r w:rsidR="00236AFB" w:rsidRPr="00111261">
        <w:rPr>
          <w:sz w:val="24"/>
        </w:rPr>
        <w:t xml:space="preserve"> or </w:t>
      </w:r>
      <w:r w:rsidR="00B1400F" w:rsidRPr="00111261">
        <w:rPr>
          <w:sz w:val="24"/>
        </w:rPr>
        <w:t>“</w:t>
      </w:r>
      <w:r w:rsidR="000C2E2C" w:rsidRPr="00111261">
        <w:rPr>
          <w:color w:val="0A29A5"/>
          <w:sz w:val="24"/>
          <w:szCs w:val="24"/>
          <w:u w:val="single"/>
        </w:rPr>
        <w:t xml:space="preserve">Recommendations for Use of an Isoniazid–Rifapentine Regimen with Direct Observation to Treat Latent </w:t>
      </w:r>
      <w:r w:rsidR="000C2E2C" w:rsidRPr="00111261">
        <w:rPr>
          <w:i/>
          <w:iCs/>
          <w:color w:val="0A29A5"/>
          <w:sz w:val="24"/>
          <w:szCs w:val="24"/>
          <w:u w:val="single"/>
        </w:rPr>
        <w:t>Mycobacterium tuberculosis</w:t>
      </w:r>
      <w:r w:rsidR="000C2E2C" w:rsidRPr="00111261">
        <w:rPr>
          <w:color w:val="0A29A5"/>
          <w:sz w:val="24"/>
          <w:szCs w:val="24"/>
          <w:u w:val="single"/>
        </w:rPr>
        <w:t xml:space="preserve"> Infection</w:t>
      </w:r>
      <w:r w:rsidR="00B1400F" w:rsidRPr="00111261">
        <w:rPr>
          <w:sz w:val="24"/>
          <w:szCs w:val="24"/>
        </w:rPr>
        <w:t>.”</w:t>
      </w:r>
    </w:p>
    <w:p w:rsidR="00E55D46" w:rsidRPr="00111261" w:rsidRDefault="00E55D46" w:rsidP="00111261">
      <w:pPr>
        <w:pStyle w:val="ListParagraph"/>
        <w:numPr>
          <w:ilvl w:val="0"/>
          <w:numId w:val="22"/>
        </w:numPr>
        <w:rPr>
          <w:sz w:val="24"/>
        </w:rPr>
      </w:pPr>
      <w:r w:rsidRPr="00111261">
        <w:rPr>
          <w:sz w:val="24"/>
          <w:szCs w:val="24"/>
        </w:rPr>
        <w:t>All individuals initiating treatment should be provided with client education regarding possible side effects and adverse reactions to the treatment regimen selected.</w:t>
      </w:r>
      <w:r w:rsidR="000E4675" w:rsidRPr="00111261">
        <w:rPr>
          <w:sz w:val="24"/>
          <w:szCs w:val="24"/>
        </w:rPr>
        <w:t xml:space="preserve">  Clients should be informed </w:t>
      </w:r>
      <w:r w:rsidRPr="00111261">
        <w:rPr>
          <w:sz w:val="24"/>
          <w:szCs w:val="24"/>
        </w:rPr>
        <w:t xml:space="preserve">regarding steps to take such as calling the local health department/PHN or holding medications should problems arise.  </w:t>
      </w:r>
    </w:p>
    <w:p w:rsidR="00E55D46" w:rsidRPr="00111261" w:rsidRDefault="009E6423" w:rsidP="00111261">
      <w:pPr>
        <w:pStyle w:val="ListParagraph"/>
        <w:numPr>
          <w:ilvl w:val="0"/>
          <w:numId w:val="22"/>
        </w:numPr>
        <w:rPr>
          <w:b/>
          <w:sz w:val="24"/>
        </w:rPr>
      </w:pPr>
      <w:r w:rsidRPr="00111261">
        <w:rPr>
          <w:sz w:val="24"/>
        </w:rPr>
        <w:t xml:space="preserve">All individuals undergoing treatment </w:t>
      </w:r>
      <w:r w:rsidR="000C2E2C" w:rsidRPr="00111261">
        <w:rPr>
          <w:sz w:val="24"/>
        </w:rPr>
        <w:t>for latent</w:t>
      </w:r>
      <w:r w:rsidR="00E55D46" w:rsidRPr="00111261">
        <w:rPr>
          <w:sz w:val="24"/>
        </w:rPr>
        <w:t xml:space="preserve"> TBI</w:t>
      </w:r>
      <w:r w:rsidR="005C7641" w:rsidRPr="00111261">
        <w:rPr>
          <w:sz w:val="24"/>
        </w:rPr>
        <w:t xml:space="preserve"> </w:t>
      </w:r>
      <w:r w:rsidRPr="00111261">
        <w:rPr>
          <w:sz w:val="24"/>
        </w:rPr>
        <w:t>should receive a monthly clinical assessment</w:t>
      </w:r>
      <w:r w:rsidR="00B1400F" w:rsidRPr="00111261">
        <w:rPr>
          <w:sz w:val="24"/>
        </w:rPr>
        <w:t xml:space="preserve"> by a licensed staff member, i.e., RN, MD, etc.</w:t>
      </w:r>
      <w:r w:rsidR="006F7082" w:rsidRPr="00111261">
        <w:rPr>
          <w:sz w:val="24"/>
        </w:rPr>
        <w:t xml:space="preserve"> </w:t>
      </w:r>
    </w:p>
    <w:p w:rsidR="00BA5B0F" w:rsidRDefault="009E6423" w:rsidP="00111261">
      <w:pPr>
        <w:numPr>
          <w:ilvl w:val="0"/>
          <w:numId w:val="9"/>
        </w:numPr>
        <w:rPr>
          <w:b/>
          <w:sz w:val="24"/>
        </w:rPr>
      </w:pPr>
      <w:r>
        <w:rPr>
          <w:sz w:val="24"/>
        </w:rPr>
        <w:t xml:space="preserve">Monitor for adverse reactions and document any reported reactions in the </w:t>
      </w:r>
      <w:r w:rsidR="000906B0">
        <w:rPr>
          <w:sz w:val="24"/>
        </w:rPr>
        <w:t>client</w:t>
      </w:r>
      <w:r>
        <w:rPr>
          <w:sz w:val="24"/>
        </w:rPr>
        <w:t xml:space="preserve"> record.  </w:t>
      </w:r>
    </w:p>
    <w:p w:rsidR="00BA5B0F" w:rsidRDefault="009E6423" w:rsidP="00111261">
      <w:pPr>
        <w:numPr>
          <w:ilvl w:val="0"/>
          <w:numId w:val="23"/>
        </w:numPr>
        <w:tabs>
          <w:tab w:val="num" w:pos="720"/>
        </w:tabs>
        <w:rPr>
          <w:b/>
          <w:sz w:val="24"/>
        </w:rPr>
      </w:pPr>
      <w:r>
        <w:rPr>
          <w:sz w:val="24"/>
        </w:rPr>
        <w:t xml:space="preserve">Report any adverse reactions to the clinician within </w:t>
      </w:r>
      <w:r w:rsidR="007D6D31">
        <w:rPr>
          <w:sz w:val="24"/>
        </w:rPr>
        <w:t>one (1) business day</w:t>
      </w:r>
      <w:r>
        <w:rPr>
          <w:sz w:val="24"/>
        </w:rPr>
        <w:t xml:space="preserve">.  </w:t>
      </w:r>
    </w:p>
    <w:p w:rsidR="00BA5B0F" w:rsidRDefault="000C2E2C" w:rsidP="00111261">
      <w:pPr>
        <w:numPr>
          <w:ilvl w:val="0"/>
          <w:numId w:val="23"/>
        </w:numPr>
        <w:tabs>
          <w:tab w:val="num" w:pos="720"/>
        </w:tabs>
        <w:rPr>
          <w:b/>
          <w:sz w:val="24"/>
        </w:rPr>
      </w:pPr>
      <w:r>
        <w:rPr>
          <w:sz w:val="24"/>
        </w:rPr>
        <w:t>Assure medications</w:t>
      </w:r>
      <w:r w:rsidR="009E6423">
        <w:rPr>
          <w:sz w:val="24"/>
        </w:rPr>
        <w:t xml:space="preserve"> </w:t>
      </w:r>
      <w:r w:rsidR="00E55D46">
        <w:rPr>
          <w:sz w:val="24"/>
        </w:rPr>
        <w:t xml:space="preserve">are held </w:t>
      </w:r>
      <w:r w:rsidR="009E6423">
        <w:rPr>
          <w:sz w:val="24"/>
        </w:rPr>
        <w:t xml:space="preserve">until the </w:t>
      </w:r>
      <w:r w:rsidR="002A3662">
        <w:rPr>
          <w:sz w:val="24"/>
        </w:rPr>
        <w:t xml:space="preserve">clinician </w:t>
      </w:r>
      <w:r w:rsidR="009E6423">
        <w:rPr>
          <w:sz w:val="24"/>
        </w:rPr>
        <w:t>has been contacted</w:t>
      </w:r>
      <w:r w:rsidR="00E55D46">
        <w:rPr>
          <w:sz w:val="24"/>
        </w:rPr>
        <w:t xml:space="preserve"> according to local protocol.  </w:t>
      </w:r>
      <w:r w:rsidR="009E6423">
        <w:rPr>
          <w:sz w:val="24"/>
        </w:rPr>
        <w:t xml:space="preserve"> </w:t>
      </w:r>
    </w:p>
    <w:p w:rsidR="00BA5B0F" w:rsidRDefault="009E6423" w:rsidP="00111261">
      <w:pPr>
        <w:numPr>
          <w:ilvl w:val="0"/>
          <w:numId w:val="9"/>
        </w:numPr>
        <w:rPr>
          <w:b/>
          <w:sz w:val="24"/>
        </w:rPr>
      </w:pPr>
      <w:r>
        <w:rPr>
          <w:sz w:val="24"/>
        </w:rPr>
        <w:t xml:space="preserve">Follow guidelines in MMWR “Targeted Testing and Treatment of Latent Tuberculosis Infection” and district protocol for blood work frequency.  </w:t>
      </w:r>
    </w:p>
    <w:p w:rsidR="00BA5B0F" w:rsidRDefault="008A1B1F" w:rsidP="00111261">
      <w:pPr>
        <w:numPr>
          <w:ilvl w:val="0"/>
          <w:numId w:val="9"/>
        </w:numPr>
        <w:rPr>
          <w:b/>
          <w:sz w:val="24"/>
        </w:rPr>
      </w:pPr>
      <w:r>
        <w:rPr>
          <w:sz w:val="24"/>
        </w:rPr>
        <w:t xml:space="preserve">Rarely, </w:t>
      </w:r>
      <w:r w:rsidR="009E6423">
        <w:rPr>
          <w:sz w:val="24"/>
        </w:rPr>
        <w:t xml:space="preserve">ethambutol or other drugs </w:t>
      </w:r>
      <w:r>
        <w:rPr>
          <w:sz w:val="24"/>
        </w:rPr>
        <w:t xml:space="preserve">might be used to treat </w:t>
      </w:r>
      <w:r w:rsidR="005C7641">
        <w:rPr>
          <w:sz w:val="24"/>
        </w:rPr>
        <w:t>clients</w:t>
      </w:r>
      <w:r>
        <w:rPr>
          <w:sz w:val="24"/>
        </w:rPr>
        <w:t xml:space="preserve"> with latent TBI who are contacts to active cases with drug resistant disease.  </w:t>
      </w:r>
    </w:p>
    <w:p w:rsidR="00BA5B0F" w:rsidRDefault="000E4675" w:rsidP="00111261">
      <w:pPr>
        <w:numPr>
          <w:ilvl w:val="0"/>
          <w:numId w:val="24"/>
        </w:numPr>
        <w:rPr>
          <w:b/>
          <w:sz w:val="24"/>
        </w:rPr>
      </w:pPr>
      <w:r>
        <w:rPr>
          <w:sz w:val="24"/>
        </w:rPr>
        <w:t>If e</w:t>
      </w:r>
      <w:r w:rsidR="008A1B1F" w:rsidRPr="008A1B1F">
        <w:rPr>
          <w:sz w:val="24"/>
        </w:rPr>
        <w:t xml:space="preserve">thambutol or other drug is used </w:t>
      </w:r>
      <w:r w:rsidR="009E6423" w:rsidRPr="008A1B1F">
        <w:rPr>
          <w:sz w:val="24"/>
        </w:rPr>
        <w:t>that might impair the vision</w:t>
      </w:r>
      <w:r>
        <w:rPr>
          <w:sz w:val="24"/>
        </w:rPr>
        <w:t>,</w:t>
      </w:r>
      <w:r w:rsidR="009E6423" w:rsidRPr="008A1B1F">
        <w:rPr>
          <w:sz w:val="24"/>
        </w:rPr>
        <w:t xml:space="preserve"> </w:t>
      </w:r>
      <w:r w:rsidR="00633B10">
        <w:rPr>
          <w:sz w:val="24"/>
        </w:rPr>
        <w:t>baseline and monthly visual acuity and color vision screening should be done while the client is</w:t>
      </w:r>
      <w:r w:rsidR="008A1B1F">
        <w:rPr>
          <w:sz w:val="24"/>
        </w:rPr>
        <w:t xml:space="preserve"> </w:t>
      </w:r>
      <w:r w:rsidR="009E6423" w:rsidRPr="008A1B1F">
        <w:rPr>
          <w:sz w:val="24"/>
        </w:rPr>
        <w:t xml:space="preserve">on the </w:t>
      </w:r>
      <w:r w:rsidR="009E6423" w:rsidRPr="008A1B1F">
        <w:rPr>
          <w:sz w:val="24"/>
        </w:rPr>
        <w:lastRenderedPageBreak/>
        <w:t xml:space="preserve">drug.  </w:t>
      </w:r>
      <w:r>
        <w:rPr>
          <w:sz w:val="24"/>
        </w:rPr>
        <w:t xml:space="preserve">Vision screening can be stopped once ethambutol </w:t>
      </w:r>
      <w:r w:rsidR="007D6D31">
        <w:rPr>
          <w:sz w:val="24"/>
        </w:rPr>
        <w:t xml:space="preserve">or other drug that impairs vision </w:t>
      </w:r>
      <w:r>
        <w:rPr>
          <w:sz w:val="24"/>
        </w:rPr>
        <w:t>is discontinued.</w:t>
      </w:r>
    </w:p>
    <w:p w:rsidR="00BA5B0F" w:rsidRPr="00AD10B3" w:rsidRDefault="009E6423" w:rsidP="00111261">
      <w:pPr>
        <w:numPr>
          <w:ilvl w:val="1"/>
          <w:numId w:val="9"/>
        </w:numPr>
        <w:rPr>
          <w:b/>
          <w:sz w:val="24"/>
        </w:rPr>
      </w:pPr>
      <w:r w:rsidRPr="00AD10B3">
        <w:rPr>
          <w:sz w:val="24"/>
        </w:rPr>
        <w:t xml:space="preserve">All changes in results from previous screening should be reported to the clinician within </w:t>
      </w:r>
      <w:r w:rsidR="00633B10" w:rsidRPr="00AD10B3">
        <w:rPr>
          <w:sz w:val="24"/>
        </w:rPr>
        <w:t xml:space="preserve">one business day.  </w:t>
      </w:r>
    </w:p>
    <w:p w:rsidR="00BA5B0F" w:rsidRPr="00AD10B3" w:rsidRDefault="009E6423" w:rsidP="00111261">
      <w:pPr>
        <w:numPr>
          <w:ilvl w:val="1"/>
          <w:numId w:val="9"/>
        </w:numPr>
        <w:rPr>
          <w:b/>
          <w:sz w:val="24"/>
        </w:rPr>
      </w:pPr>
      <w:r w:rsidRPr="00AD10B3">
        <w:rPr>
          <w:sz w:val="24"/>
        </w:rPr>
        <w:t xml:space="preserve">If </w:t>
      </w:r>
      <w:r w:rsidR="000906B0" w:rsidRPr="00AD10B3">
        <w:rPr>
          <w:sz w:val="24"/>
        </w:rPr>
        <w:t>client</w:t>
      </w:r>
      <w:r w:rsidRPr="00AD10B3">
        <w:rPr>
          <w:sz w:val="24"/>
        </w:rPr>
        <w:t xml:space="preserve">s are started on medications </w:t>
      </w:r>
      <w:r w:rsidR="002A3662" w:rsidRPr="00AD10B3">
        <w:rPr>
          <w:sz w:val="24"/>
        </w:rPr>
        <w:t>that might impair vision</w:t>
      </w:r>
      <w:r w:rsidRPr="00AD10B3">
        <w:rPr>
          <w:sz w:val="24"/>
        </w:rPr>
        <w:t xml:space="preserve"> prior to the local health district becoming aware of the </w:t>
      </w:r>
      <w:r w:rsidR="000906B0" w:rsidRPr="00AD10B3">
        <w:rPr>
          <w:sz w:val="24"/>
        </w:rPr>
        <w:t>cli</w:t>
      </w:r>
      <w:r w:rsidR="00580D5B" w:rsidRPr="00AD10B3">
        <w:rPr>
          <w:b/>
          <w:sz w:val="24"/>
        </w:rPr>
        <w:t>e</w:t>
      </w:r>
      <w:r w:rsidR="000906B0" w:rsidRPr="00AD10B3">
        <w:rPr>
          <w:sz w:val="24"/>
        </w:rPr>
        <w:t>nt</w:t>
      </w:r>
      <w:r w:rsidRPr="00AD10B3">
        <w:rPr>
          <w:sz w:val="24"/>
        </w:rPr>
        <w:t xml:space="preserve">, baseline screening should occur </w:t>
      </w:r>
      <w:r w:rsidR="000E4675" w:rsidRPr="00AD10B3">
        <w:rPr>
          <w:sz w:val="24"/>
        </w:rPr>
        <w:t xml:space="preserve">at the first health department encounter and </w:t>
      </w:r>
      <w:r w:rsidRPr="00AD10B3">
        <w:rPr>
          <w:sz w:val="24"/>
        </w:rPr>
        <w:t>before any continued treatment is initiated by the local health district.</w:t>
      </w:r>
    </w:p>
    <w:p w:rsidR="00D429F7" w:rsidRPr="00111261" w:rsidRDefault="00001A5A" w:rsidP="00AD10B3">
      <w:pPr>
        <w:pStyle w:val="ListParagraph"/>
        <w:numPr>
          <w:ilvl w:val="0"/>
          <w:numId w:val="25"/>
        </w:numPr>
        <w:tabs>
          <w:tab w:val="num" w:pos="2880"/>
        </w:tabs>
        <w:rPr>
          <w:sz w:val="24"/>
        </w:rPr>
      </w:pPr>
      <w:r w:rsidRPr="00111261">
        <w:rPr>
          <w:sz w:val="24"/>
        </w:rPr>
        <w:t xml:space="preserve">Individuals with a past positive TST </w:t>
      </w:r>
      <w:r w:rsidR="00E55D46" w:rsidRPr="00111261">
        <w:rPr>
          <w:sz w:val="24"/>
        </w:rPr>
        <w:t xml:space="preserve">or IGRA </w:t>
      </w:r>
      <w:r w:rsidRPr="00111261">
        <w:rPr>
          <w:sz w:val="24"/>
        </w:rPr>
        <w:t>do no</w:t>
      </w:r>
      <w:r w:rsidR="00B7574D" w:rsidRPr="00111261">
        <w:rPr>
          <w:sz w:val="24"/>
        </w:rPr>
        <w:t>t</w:t>
      </w:r>
      <w:r w:rsidRPr="00111261">
        <w:rPr>
          <w:sz w:val="24"/>
        </w:rPr>
        <w:t xml:space="preserve"> need additional follow-up or a chest x-ray unless they are symptomatic. If the individual has not completed treatment for </w:t>
      </w:r>
      <w:r w:rsidR="00236AFB" w:rsidRPr="00111261">
        <w:rPr>
          <w:sz w:val="24"/>
        </w:rPr>
        <w:t>TBI</w:t>
      </w:r>
      <w:r w:rsidRPr="00111261">
        <w:rPr>
          <w:sz w:val="24"/>
        </w:rPr>
        <w:t xml:space="preserve">, this can be considered if the individual is interested.  </w:t>
      </w:r>
      <w:r w:rsidR="008A1B1F" w:rsidRPr="00111261">
        <w:rPr>
          <w:sz w:val="24"/>
        </w:rPr>
        <w:t>If</w:t>
      </w:r>
      <w:r w:rsidR="000E4675" w:rsidRPr="00111261">
        <w:rPr>
          <w:sz w:val="24"/>
        </w:rPr>
        <w:t xml:space="preserve"> a CXR result within the last</w:t>
      </w:r>
      <w:r w:rsidR="00AD10B3">
        <w:rPr>
          <w:sz w:val="24"/>
        </w:rPr>
        <w:t xml:space="preserve"> three (</w:t>
      </w:r>
      <w:r w:rsidR="000E4675" w:rsidRPr="00111261">
        <w:rPr>
          <w:sz w:val="24"/>
        </w:rPr>
        <w:t>3</w:t>
      </w:r>
      <w:r w:rsidR="00AD10B3">
        <w:rPr>
          <w:sz w:val="24"/>
        </w:rPr>
        <w:t>)</w:t>
      </w:r>
      <w:r w:rsidR="008A1B1F" w:rsidRPr="00111261">
        <w:rPr>
          <w:sz w:val="24"/>
        </w:rPr>
        <w:t xml:space="preserve"> months is not available, a</w:t>
      </w:r>
      <w:r w:rsidR="00020E1A" w:rsidRPr="00111261">
        <w:rPr>
          <w:sz w:val="24"/>
        </w:rPr>
        <w:t xml:space="preserve"> new CXR would need to be obtained before treatment for TBI is initiated</w:t>
      </w:r>
    </w:p>
    <w:p w:rsidR="00D429F7" w:rsidRPr="00D429F7" w:rsidRDefault="00D429F7" w:rsidP="00D429F7">
      <w:pPr>
        <w:ind w:left="1440"/>
        <w:rPr>
          <w:sz w:val="24"/>
        </w:rPr>
      </w:pPr>
    </w:p>
    <w:p w:rsidR="006F7082" w:rsidRPr="009A5A33" w:rsidRDefault="004C5CD2" w:rsidP="009A5A33">
      <w:pPr>
        <w:rPr>
          <w:b/>
          <w:i/>
          <w:sz w:val="24"/>
        </w:rPr>
      </w:pPr>
      <w:r w:rsidRPr="009A5A33">
        <w:rPr>
          <w:b/>
          <w:i/>
          <w:sz w:val="24"/>
        </w:rPr>
        <w:t>Recordkeeping</w:t>
      </w:r>
    </w:p>
    <w:p w:rsidR="0049668C" w:rsidRDefault="00C6416E" w:rsidP="00111261">
      <w:pPr>
        <w:numPr>
          <w:ilvl w:val="0"/>
          <w:numId w:val="26"/>
        </w:numPr>
        <w:rPr>
          <w:sz w:val="24"/>
        </w:rPr>
      </w:pPr>
      <w:r w:rsidRPr="00972507">
        <w:rPr>
          <w:sz w:val="24"/>
        </w:rPr>
        <w:t>Documentation</w:t>
      </w:r>
      <w:r w:rsidR="004C5CD2" w:rsidRPr="00972507">
        <w:rPr>
          <w:sz w:val="24"/>
        </w:rPr>
        <w:t xml:space="preserve"> is needed for all encounters with the TB program</w:t>
      </w:r>
      <w:r w:rsidR="0049668C" w:rsidRPr="0049668C">
        <w:rPr>
          <w:sz w:val="24"/>
        </w:rPr>
        <w:t xml:space="preserve"> </w:t>
      </w:r>
    </w:p>
    <w:p w:rsidR="0049668C" w:rsidRDefault="007C4202" w:rsidP="00111261">
      <w:pPr>
        <w:numPr>
          <w:ilvl w:val="0"/>
          <w:numId w:val="26"/>
        </w:numPr>
        <w:rPr>
          <w:sz w:val="24"/>
        </w:rPr>
      </w:pPr>
      <w:r>
        <w:rPr>
          <w:sz w:val="24"/>
        </w:rPr>
        <w:t>Documentation</w:t>
      </w:r>
      <w:r w:rsidR="0049668C">
        <w:rPr>
          <w:sz w:val="24"/>
        </w:rPr>
        <w:t xml:space="preserve"> by Exception chart forms are not appropriate for inclusion in the TB case management record.</w:t>
      </w:r>
    </w:p>
    <w:p w:rsidR="0049668C" w:rsidRDefault="0049668C" w:rsidP="00111261">
      <w:pPr>
        <w:numPr>
          <w:ilvl w:val="0"/>
          <w:numId w:val="26"/>
        </w:numPr>
        <w:rPr>
          <w:sz w:val="24"/>
        </w:rPr>
      </w:pPr>
      <w:r>
        <w:rPr>
          <w:sz w:val="24"/>
        </w:rPr>
        <w:t>Refer to DDP-tb guidelines for Use of the TB Case Management record.  Case records and records for suspects on a trial course of treatment for presumed active disease should be filed in a 6-prong folder.  A folder with fewer sections may be used for other records.</w:t>
      </w:r>
    </w:p>
    <w:p w:rsidR="0049668C" w:rsidRPr="004C5CD2" w:rsidRDefault="0049668C" w:rsidP="00111261">
      <w:pPr>
        <w:numPr>
          <w:ilvl w:val="0"/>
          <w:numId w:val="26"/>
        </w:numPr>
        <w:rPr>
          <w:sz w:val="24"/>
        </w:rPr>
      </w:pPr>
      <w:r>
        <w:rPr>
          <w:sz w:val="24"/>
        </w:rPr>
        <w:t>Forms, test results, and other medical records should be filed in the client record according to agency or local health district guidelines for assembling client records.</w:t>
      </w:r>
    </w:p>
    <w:p w:rsidR="00C00A37" w:rsidRDefault="00C00A37" w:rsidP="00111261">
      <w:pPr>
        <w:numPr>
          <w:ilvl w:val="0"/>
          <w:numId w:val="26"/>
        </w:numPr>
        <w:rPr>
          <w:sz w:val="24"/>
        </w:rPr>
      </w:pPr>
      <w:r>
        <w:rPr>
          <w:sz w:val="24"/>
        </w:rPr>
        <w:t>A case management record is needed for:</w:t>
      </w:r>
    </w:p>
    <w:p w:rsidR="00C00A37" w:rsidRDefault="00C00A37" w:rsidP="00111261">
      <w:pPr>
        <w:numPr>
          <w:ilvl w:val="0"/>
          <w:numId w:val="10"/>
        </w:numPr>
        <w:tabs>
          <w:tab w:val="left" w:pos="1080"/>
        </w:tabs>
        <w:rPr>
          <w:sz w:val="24"/>
        </w:rPr>
      </w:pPr>
      <w:r>
        <w:rPr>
          <w:sz w:val="24"/>
        </w:rPr>
        <w:t>All cases and suspects regardless of source of care</w:t>
      </w:r>
    </w:p>
    <w:p w:rsidR="00C00A37" w:rsidRDefault="00C00A37" w:rsidP="00111261">
      <w:pPr>
        <w:numPr>
          <w:ilvl w:val="0"/>
          <w:numId w:val="10"/>
        </w:numPr>
        <w:tabs>
          <w:tab w:val="left" w:pos="1080"/>
        </w:tabs>
        <w:rPr>
          <w:sz w:val="24"/>
        </w:rPr>
      </w:pPr>
      <w:r>
        <w:rPr>
          <w:sz w:val="24"/>
        </w:rPr>
        <w:t>All clients who meet one or more of the following criteria</w:t>
      </w:r>
    </w:p>
    <w:p w:rsidR="00C00A37" w:rsidRDefault="00C00A37" w:rsidP="00111261">
      <w:pPr>
        <w:numPr>
          <w:ilvl w:val="0"/>
          <w:numId w:val="28"/>
        </w:numPr>
        <w:tabs>
          <w:tab w:val="left" w:pos="1800"/>
        </w:tabs>
        <w:rPr>
          <w:sz w:val="24"/>
        </w:rPr>
      </w:pPr>
      <w:r>
        <w:rPr>
          <w:sz w:val="24"/>
        </w:rPr>
        <w:t>Referred for chest x-ray</w:t>
      </w:r>
    </w:p>
    <w:p w:rsidR="00C00A37" w:rsidRDefault="00C00A37" w:rsidP="00111261">
      <w:pPr>
        <w:numPr>
          <w:ilvl w:val="0"/>
          <w:numId w:val="28"/>
        </w:numPr>
        <w:tabs>
          <w:tab w:val="left" w:pos="1800"/>
        </w:tabs>
        <w:rPr>
          <w:sz w:val="24"/>
        </w:rPr>
      </w:pPr>
      <w:r>
        <w:rPr>
          <w:sz w:val="24"/>
        </w:rPr>
        <w:t>Sputum collected</w:t>
      </w:r>
    </w:p>
    <w:p w:rsidR="00C00A37" w:rsidRDefault="00C00A37" w:rsidP="00111261">
      <w:pPr>
        <w:numPr>
          <w:ilvl w:val="0"/>
          <w:numId w:val="28"/>
        </w:numPr>
        <w:tabs>
          <w:tab w:val="left" w:pos="1800"/>
        </w:tabs>
        <w:rPr>
          <w:sz w:val="24"/>
        </w:rPr>
      </w:pPr>
      <w:r>
        <w:rPr>
          <w:sz w:val="24"/>
        </w:rPr>
        <w:t>Identified as a suspect or active case of TB disease regardless of the source of medical care.</w:t>
      </w:r>
    </w:p>
    <w:p w:rsidR="00C00A37" w:rsidRDefault="00C00A37" w:rsidP="00111261">
      <w:pPr>
        <w:numPr>
          <w:ilvl w:val="0"/>
          <w:numId w:val="28"/>
        </w:numPr>
        <w:tabs>
          <w:tab w:val="left" w:pos="1800"/>
        </w:tabs>
        <w:rPr>
          <w:sz w:val="24"/>
        </w:rPr>
      </w:pPr>
      <w:r>
        <w:rPr>
          <w:sz w:val="24"/>
        </w:rPr>
        <w:t>Recommended for treatment for TBI as a contact to an active case regardless of the source of medical care.</w:t>
      </w:r>
    </w:p>
    <w:p w:rsidR="00C00A37" w:rsidRDefault="00C00A37" w:rsidP="00111261">
      <w:pPr>
        <w:numPr>
          <w:ilvl w:val="0"/>
          <w:numId w:val="28"/>
        </w:numPr>
        <w:tabs>
          <w:tab w:val="left" w:pos="1800"/>
        </w:tabs>
        <w:rPr>
          <w:sz w:val="24"/>
        </w:rPr>
      </w:pPr>
      <w:r>
        <w:rPr>
          <w:sz w:val="24"/>
        </w:rPr>
        <w:t>Recommended for treatment for TBI as a reactor or convertor by the local health department.</w:t>
      </w:r>
    </w:p>
    <w:p w:rsidR="00BA5B0F" w:rsidRPr="00111261" w:rsidRDefault="008A1B1F" w:rsidP="00111261">
      <w:pPr>
        <w:pStyle w:val="ListParagraph"/>
        <w:numPr>
          <w:ilvl w:val="0"/>
          <w:numId w:val="29"/>
        </w:numPr>
        <w:rPr>
          <w:sz w:val="24"/>
        </w:rPr>
      </w:pPr>
      <w:r w:rsidRPr="00111261">
        <w:rPr>
          <w:sz w:val="24"/>
        </w:rPr>
        <w:t xml:space="preserve">TB 502 </w:t>
      </w:r>
      <w:r w:rsidR="00FF1C24" w:rsidRPr="00111261">
        <w:rPr>
          <w:sz w:val="24"/>
        </w:rPr>
        <w:t xml:space="preserve">Contact </w:t>
      </w:r>
      <w:r w:rsidRPr="00111261">
        <w:rPr>
          <w:sz w:val="24"/>
        </w:rPr>
        <w:t>I</w:t>
      </w:r>
      <w:r w:rsidR="00FF1C24" w:rsidRPr="00111261">
        <w:rPr>
          <w:sz w:val="24"/>
        </w:rPr>
        <w:t xml:space="preserve">nvestigation forms and </w:t>
      </w:r>
      <w:r w:rsidR="00020E1A" w:rsidRPr="00111261">
        <w:rPr>
          <w:sz w:val="24"/>
        </w:rPr>
        <w:t xml:space="preserve">all other </w:t>
      </w:r>
      <w:r w:rsidR="00FF1C24" w:rsidRPr="00111261">
        <w:rPr>
          <w:sz w:val="24"/>
        </w:rPr>
        <w:t xml:space="preserve">documentation </w:t>
      </w:r>
      <w:r w:rsidR="00020E1A" w:rsidRPr="00111261">
        <w:rPr>
          <w:sz w:val="24"/>
        </w:rPr>
        <w:t xml:space="preserve">related to the investigation </w:t>
      </w:r>
      <w:r w:rsidR="00FF1C24" w:rsidRPr="00111261">
        <w:rPr>
          <w:sz w:val="24"/>
        </w:rPr>
        <w:t xml:space="preserve">should be filed in a separate prong folder adjacent to the </w:t>
      </w:r>
      <w:r w:rsidR="00064E23" w:rsidRPr="00111261">
        <w:rPr>
          <w:sz w:val="24"/>
        </w:rPr>
        <w:t>client</w:t>
      </w:r>
      <w:r w:rsidR="00FF1C24" w:rsidRPr="00111261">
        <w:rPr>
          <w:sz w:val="24"/>
        </w:rPr>
        <w:t xml:space="preserve"> record.  The folder should be labeled “Contacts of [</w:t>
      </w:r>
      <w:r w:rsidR="00FF1C24" w:rsidRPr="00111261">
        <w:rPr>
          <w:i/>
          <w:sz w:val="24"/>
        </w:rPr>
        <w:t>Case Name</w:t>
      </w:r>
      <w:r w:rsidR="00FF1C24" w:rsidRPr="00111261">
        <w:rPr>
          <w:sz w:val="24"/>
        </w:rPr>
        <w:t xml:space="preserve">].” </w:t>
      </w:r>
    </w:p>
    <w:p w:rsidR="00BA5B0F" w:rsidRDefault="0049668C" w:rsidP="00111261">
      <w:pPr>
        <w:numPr>
          <w:ilvl w:val="0"/>
          <w:numId w:val="10"/>
        </w:numPr>
        <w:rPr>
          <w:sz w:val="24"/>
        </w:rPr>
      </w:pPr>
      <w:r>
        <w:rPr>
          <w:sz w:val="24"/>
        </w:rPr>
        <w:t>Individual client Risk Assessment for Contact Evaluation forms should be stored in client records or elsewhere according to district policy and not within the Contacts of [</w:t>
      </w:r>
      <w:r w:rsidR="00580D5B" w:rsidRPr="00580D5B">
        <w:rPr>
          <w:i/>
          <w:sz w:val="24"/>
        </w:rPr>
        <w:t>Case Name</w:t>
      </w:r>
      <w:r>
        <w:rPr>
          <w:sz w:val="24"/>
        </w:rPr>
        <w:t xml:space="preserve">] folder.  </w:t>
      </w:r>
    </w:p>
    <w:p w:rsidR="00BA5B0F" w:rsidRDefault="00FF1C24" w:rsidP="00111261">
      <w:pPr>
        <w:numPr>
          <w:ilvl w:val="0"/>
          <w:numId w:val="10"/>
        </w:numPr>
        <w:rPr>
          <w:sz w:val="24"/>
        </w:rPr>
      </w:pPr>
      <w:r>
        <w:rPr>
          <w:sz w:val="24"/>
        </w:rPr>
        <w:t xml:space="preserve">A summary document detailing the findings of the contact investigation should be placed in the case record.  </w:t>
      </w:r>
      <w:r w:rsidR="00346056">
        <w:rPr>
          <w:sz w:val="24"/>
        </w:rPr>
        <w:t xml:space="preserve">This summary should </w:t>
      </w:r>
      <w:r w:rsidR="00020E1A">
        <w:rPr>
          <w:sz w:val="24"/>
        </w:rPr>
        <w:t xml:space="preserve">be a summary of findings and aggregate data and should </w:t>
      </w:r>
      <w:r w:rsidR="00346056">
        <w:rPr>
          <w:sz w:val="24"/>
        </w:rPr>
        <w:t xml:space="preserve">not contain information that would identify individual contacts.  </w:t>
      </w:r>
    </w:p>
    <w:p w:rsidR="00001A5A" w:rsidRDefault="00001A5A" w:rsidP="001A5571">
      <w:pPr>
        <w:tabs>
          <w:tab w:val="left" w:pos="1335"/>
        </w:tabs>
        <w:rPr>
          <w:b/>
          <w:sz w:val="24"/>
        </w:rPr>
      </w:pPr>
    </w:p>
    <w:p w:rsidR="00972507" w:rsidRDefault="00972507" w:rsidP="001A5571">
      <w:pPr>
        <w:tabs>
          <w:tab w:val="left" w:pos="1335"/>
        </w:tabs>
        <w:rPr>
          <w:b/>
          <w:sz w:val="24"/>
        </w:rPr>
      </w:pPr>
    </w:p>
    <w:p w:rsidR="00972507" w:rsidRDefault="00972507" w:rsidP="001A5571">
      <w:pPr>
        <w:tabs>
          <w:tab w:val="left" w:pos="1335"/>
        </w:tabs>
        <w:rPr>
          <w:b/>
          <w:sz w:val="24"/>
        </w:rPr>
      </w:pPr>
    </w:p>
    <w:p w:rsidR="004524D1" w:rsidRDefault="001A5571" w:rsidP="001A5571">
      <w:pPr>
        <w:tabs>
          <w:tab w:val="left" w:pos="1335"/>
        </w:tabs>
        <w:rPr>
          <w:b/>
          <w:sz w:val="24"/>
        </w:rPr>
      </w:pPr>
      <w:r>
        <w:rPr>
          <w:b/>
          <w:sz w:val="24"/>
        </w:rPr>
        <w:lastRenderedPageBreak/>
        <w:t>EVIDENCE BASE</w:t>
      </w:r>
      <w:r w:rsidR="008F24AE">
        <w:rPr>
          <w:b/>
          <w:sz w:val="24"/>
        </w:rPr>
        <w:t>:</w:t>
      </w:r>
    </w:p>
    <w:p w:rsidR="00972507" w:rsidRDefault="00972507" w:rsidP="001A5571">
      <w:pPr>
        <w:tabs>
          <w:tab w:val="left" w:pos="1335"/>
        </w:tabs>
        <w:rPr>
          <w:b/>
          <w:sz w:val="24"/>
        </w:rPr>
      </w:pPr>
    </w:p>
    <w:p w:rsidR="00E63233" w:rsidRPr="00F26949" w:rsidRDefault="00B61874" w:rsidP="00E63233">
      <w:pPr>
        <w:tabs>
          <w:tab w:val="left" w:pos="1335"/>
        </w:tabs>
        <w:ind w:left="720" w:hanging="720"/>
        <w:rPr>
          <w:sz w:val="24"/>
          <w:szCs w:val="24"/>
        </w:rPr>
      </w:pPr>
      <w:r w:rsidRPr="004524D1">
        <w:rPr>
          <w:i/>
          <w:iCs/>
          <w:sz w:val="24"/>
          <w:szCs w:val="24"/>
        </w:rPr>
        <w:t>Code of Virginia</w:t>
      </w:r>
      <w:r w:rsidRPr="004524D1">
        <w:rPr>
          <w:sz w:val="24"/>
          <w:szCs w:val="24"/>
        </w:rPr>
        <w:t xml:space="preserve"> (§ </w:t>
      </w:r>
      <w:r w:rsidR="00D76418">
        <w:rPr>
          <w:sz w:val="24"/>
          <w:szCs w:val="24"/>
        </w:rPr>
        <w:t>54.1-3408 G.</w:t>
      </w:r>
      <w:r w:rsidRPr="004524D1">
        <w:rPr>
          <w:sz w:val="24"/>
          <w:szCs w:val="24"/>
        </w:rPr>
        <w:t>)</w:t>
      </w:r>
      <w:r w:rsidR="00E63233">
        <w:rPr>
          <w:sz w:val="24"/>
          <w:szCs w:val="24"/>
        </w:rPr>
        <w:t xml:space="preserve"> </w:t>
      </w:r>
      <w:r w:rsidR="00D76418">
        <w:rPr>
          <w:sz w:val="24"/>
          <w:szCs w:val="24"/>
        </w:rPr>
        <w:t>Professional Use by Practitioners</w:t>
      </w:r>
      <w:r w:rsidR="00E63233">
        <w:rPr>
          <w:sz w:val="24"/>
          <w:szCs w:val="24"/>
        </w:rPr>
        <w:t>. Retrieved from:</w:t>
      </w:r>
    </w:p>
    <w:p w:rsidR="00D76418" w:rsidRPr="00E63233" w:rsidRDefault="00E63233" w:rsidP="00713065">
      <w:pPr>
        <w:tabs>
          <w:tab w:val="left" w:pos="1080"/>
          <w:tab w:val="left" w:pos="1170"/>
          <w:tab w:val="left" w:pos="1335"/>
        </w:tabs>
        <w:ind w:left="900" w:hanging="900"/>
        <w:rPr>
          <w:sz w:val="24"/>
          <w:szCs w:val="24"/>
        </w:rPr>
      </w:pPr>
      <w:r>
        <w:rPr>
          <w:sz w:val="24"/>
          <w:szCs w:val="24"/>
        </w:rPr>
        <w:tab/>
      </w:r>
      <w:r w:rsidR="00B61874">
        <w:rPr>
          <w:sz w:val="24"/>
          <w:szCs w:val="24"/>
        </w:rPr>
        <w:t xml:space="preserve"> </w:t>
      </w:r>
      <w:hyperlink r:id="rId9" w:history="1">
        <w:r w:rsidR="00ED2DD0" w:rsidRPr="00E63233">
          <w:rPr>
            <w:rStyle w:val="Hyperlink"/>
            <w:color w:val="auto"/>
            <w:sz w:val="24"/>
            <w:szCs w:val="24"/>
            <w:u w:val="none"/>
          </w:rPr>
          <w:t>http://leg1.state.va.us/cgi-bin/legp504.exe?000+cod+54.1-3408</w:t>
        </w:r>
      </w:hyperlink>
      <w:r w:rsidR="000C2E2C">
        <w:t xml:space="preserve"> </w:t>
      </w:r>
    </w:p>
    <w:p w:rsidR="00B61874" w:rsidRDefault="00CF60AF" w:rsidP="00B61874">
      <w:pPr>
        <w:tabs>
          <w:tab w:val="left" w:pos="1335"/>
        </w:tabs>
        <w:rPr>
          <w:sz w:val="24"/>
          <w:szCs w:val="24"/>
        </w:rPr>
      </w:pPr>
      <w:hyperlink r:id="rId10" w:history="1"/>
      <w:r w:rsidR="00D76418">
        <w:rPr>
          <w:sz w:val="24"/>
          <w:szCs w:val="24"/>
        </w:rPr>
        <w:t xml:space="preserve"> </w:t>
      </w:r>
    </w:p>
    <w:p w:rsidR="004579AF" w:rsidRPr="00F26949" w:rsidRDefault="004579AF" w:rsidP="00713065">
      <w:pPr>
        <w:tabs>
          <w:tab w:val="left" w:pos="1335"/>
        </w:tabs>
        <w:ind w:left="900" w:hanging="900"/>
        <w:rPr>
          <w:sz w:val="24"/>
          <w:szCs w:val="24"/>
        </w:rPr>
      </w:pPr>
      <w:r w:rsidRPr="0049103C">
        <w:rPr>
          <w:sz w:val="24"/>
          <w:szCs w:val="24"/>
        </w:rPr>
        <w:t>Controlling Tuberculosis in the United States.</w:t>
      </w:r>
      <w:r w:rsidRPr="00F26949">
        <w:rPr>
          <w:sz w:val="24"/>
          <w:szCs w:val="24"/>
        </w:rPr>
        <w:t xml:space="preserve">  Centers for Disease Control and Prevention.  MMWR 2005; 54(No. RR-12).</w:t>
      </w:r>
      <w:r>
        <w:rPr>
          <w:sz w:val="24"/>
          <w:szCs w:val="24"/>
        </w:rPr>
        <w:t xml:space="preserve"> Retrieved from:</w:t>
      </w:r>
    </w:p>
    <w:p w:rsidR="004579AF" w:rsidRDefault="004579AF" w:rsidP="00713065">
      <w:pPr>
        <w:tabs>
          <w:tab w:val="left" w:pos="900"/>
        </w:tabs>
        <w:ind w:left="900" w:hanging="900"/>
      </w:pPr>
      <w:r>
        <w:rPr>
          <w:sz w:val="24"/>
          <w:szCs w:val="24"/>
        </w:rPr>
        <w:tab/>
      </w:r>
      <w:hyperlink r:id="rId11" w:history="1">
        <w:r w:rsidRPr="00193027">
          <w:rPr>
            <w:rStyle w:val="Hyperlink"/>
            <w:sz w:val="24"/>
            <w:szCs w:val="24"/>
          </w:rPr>
          <w:t>http://www.cdc.gov/mmwr/PDF/rr/rr5412.pdf</w:t>
        </w:r>
      </w:hyperlink>
      <w:r>
        <w:t xml:space="preserve">   </w:t>
      </w:r>
    </w:p>
    <w:p w:rsidR="004579AF" w:rsidRPr="00E63233" w:rsidRDefault="004579AF" w:rsidP="004579AF">
      <w:pPr>
        <w:tabs>
          <w:tab w:val="left" w:pos="720"/>
        </w:tabs>
        <w:ind w:left="720" w:hanging="720"/>
        <w:rPr>
          <w:sz w:val="24"/>
          <w:szCs w:val="24"/>
        </w:rPr>
      </w:pPr>
    </w:p>
    <w:p w:rsidR="004579AF" w:rsidRPr="00F26949" w:rsidRDefault="004579AF" w:rsidP="00713065">
      <w:pPr>
        <w:tabs>
          <w:tab w:val="left" w:pos="1335"/>
        </w:tabs>
        <w:ind w:left="900" w:hanging="720"/>
        <w:rPr>
          <w:sz w:val="24"/>
          <w:szCs w:val="24"/>
        </w:rPr>
      </w:pPr>
      <w:r w:rsidRPr="0049103C">
        <w:rPr>
          <w:sz w:val="24"/>
          <w:szCs w:val="24"/>
        </w:rPr>
        <w:t>Essential Components of a Tuberculosis Prevention Program</w:t>
      </w:r>
      <w:r w:rsidRPr="00F26949">
        <w:rPr>
          <w:sz w:val="24"/>
          <w:szCs w:val="24"/>
        </w:rPr>
        <w:t>, MMWR Vol. 44 # RR-11, September 8, 1995.</w:t>
      </w:r>
      <w:r>
        <w:rPr>
          <w:sz w:val="24"/>
          <w:szCs w:val="24"/>
        </w:rPr>
        <w:t xml:space="preserve"> Retrieved from:</w:t>
      </w:r>
    </w:p>
    <w:p w:rsidR="004579AF" w:rsidRDefault="004579AF" w:rsidP="00713065">
      <w:pPr>
        <w:tabs>
          <w:tab w:val="left" w:pos="1335"/>
        </w:tabs>
        <w:ind w:left="900" w:hanging="720"/>
      </w:pPr>
      <w:r>
        <w:rPr>
          <w:sz w:val="24"/>
          <w:szCs w:val="24"/>
        </w:rPr>
        <w:tab/>
      </w:r>
      <w:hyperlink r:id="rId12" w:history="1">
        <w:r w:rsidRPr="00193027">
          <w:rPr>
            <w:rStyle w:val="Hyperlink"/>
            <w:sz w:val="24"/>
            <w:szCs w:val="24"/>
          </w:rPr>
          <w:t>http://www.cdc.gov/mmwr/PDF/rr/rr4411.pdf</w:t>
        </w:r>
      </w:hyperlink>
      <w:r>
        <w:rPr>
          <w:sz w:val="24"/>
          <w:szCs w:val="24"/>
        </w:rPr>
        <w:t xml:space="preserve"> </w:t>
      </w:r>
      <w:r w:rsidDel="00D5668B">
        <w:t xml:space="preserve"> </w:t>
      </w:r>
    </w:p>
    <w:p w:rsidR="004579AF" w:rsidRPr="00E63233" w:rsidRDefault="004579AF" w:rsidP="00713065">
      <w:pPr>
        <w:tabs>
          <w:tab w:val="left" w:pos="1335"/>
        </w:tabs>
        <w:ind w:left="900" w:hanging="720"/>
        <w:rPr>
          <w:sz w:val="24"/>
          <w:szCs w:val="24"/>
        </w:rPr>
      </w:pPr>
    </w:p>
    <w:p w:rsidR="004579AF" w:rsidRPr="00F26949" w:rsidRDefault="004579AF" w:rsidP="00713065">
      <w:pPr>
        <w:tabs>
          <w:tab w:val="left" w:pos="1335"/>
        </w:tabs>
        <w:ind w:left="900" w:hanging="900"/>
        <w:rPr>
          <w:sz w:val="24"/>
          <w:szCs w:val="24"/>
        </w:rPr>
      </w:pPr>
      <w:r w:rsidRPr="0049103C">
        <w:rPr>
          <w:sz w:val="24"/>
          <w:szCs w:val="24"/>
        </w:rPr>
        <w:t>Guidelines for the Investigation of Contacts of Persons with Infectious Tuberculosis.  Centers for Disease Control and Prevention</w:t>
      </w:r>
      <w:r w:rsidRPr="00F26949">
        <w:rPr>
          <w:sz w:val="24"/>
          <w:szCs w:val="24"/>
        </w:rPr>
        <w:t>.  MMWR 2005; 54(No. RR-15).</w:t>
      </w:r>
      <w:r>
        <w:rPr>
          <w:sz w:val="24"/>
          <w:szCs w:val="24"/>
        </w:rPr>
        <w:t xml:space="preserve"> Retrieved from:</w:t>
      </w:r>
    </w:p>
    <w:p w:rsidR="004579AF" w:rsidRDefault="004579AF" w:rsidP="00713065">
      <w:pPr>
        <w:tabs>
          <w:tab w:val="left" w:pos="1335"/>
        </w:tabs>
        <w:ind w:left="900" w:hanging="900"/>
      </w:pPr>
      <w:r>
        <w:tab/>
      </w:r>
      <w:hyperlink r:id="rId13" w:history="1">
        <w:r w:rsidRPr="00193027">
          <w:rPr>
            <w:rStyle w:val="Hyperlink"/>
            <w:sz w:val="24"/>
            <w:szCs w:val="24"/>
          </w:rPr>
          <w:t>http://www.cdc.gov/mmwr/pdf/rr/rr5415.pdf</w:t>
        </w:r>
      </w:hyperlink>
    </w:p>
    <w:p w:rsidR="004579AF" w:rsidRDefault="004579AF" w:rsidP="004579AF">
      <w:pPr>
        <w:tabs>
          <w:tab w:val="left" w:pos="1335"/>
        </w:tabs>
        <w:ind w:left="720" w:hanging="720"/>
        <w:rPr>
          <w:sz w:val="24"/>
          <w:szCs w:val="24"/>
        </w:rPr>
      </w:pPr>
    </w:p>
    <w:p w:rsidR="004579AF" w:rsidRPr="00F26949" w:rsidRDefault="004579AF" w:rsidP="00713065">
      <w:pPr>
        <w:tabs>
          <w:tab w:val="left" w:pos="1335"/>
        </w:tabs>
        <w:ind w:left="900" w:hanging="900"/>
        <w:rPr>
          <w:sz w:val="24"/>
          <w:szCs w:val="24"/>
        </w:rPr>
      </w:pPr>
      <w:r w:rsidRPr="0049103C">
        <w:rPr>
          <w:sz w:val="24"/>
          <w:szCs w:val="24"/>
        </w:rPr>
        <w:t xml:space="preserve">Guidelines for Preventing the Transmission of </w:t>
      </w:r>
      <w:r w:rsidRPr="0049103C">
        <w:rPr>
          <w:i/>
          <w:iCs/>
          <w:sz w:val="24"/>
          <w:szCs w:val="24"/>
        </w:rPr>
        <w:t>Mycobacterium tuberculosis</w:t>
      </w:r>
      <w:r w:rsidRPr="0049103C">
        <w:rPr>
          <w:sz w:val="24"/>
          <w:szCs w:val="24"/>
        </w:rPr>
        <w:t xml:space="preserve"> in Health-Care</w:t>
      </w:r>
      <w:r w:rsidRPr="00F26949">
        <w:rPr>
          <w:sz w:val="24"/>
          <w:szCs w:val="24"/>
          <w:u w:val="single"/>
        </w:rPr>
        <w:t xml:space="preserve"> Settings, 2005</w:t>
      </w:r>
      <w:r w:rsidRPr="00F26949">
        <w:rPr>
          <w:sz w:val="24"/>
          <w:szCs w:val="24"/>
        </w:rPr>
        <w:t>.  Centers for Disease Control and Prevention.   MMWR 2005:54(No. RR-17).</w:t>
      </w:r>
      <w:r>
        <w:rPr>
          <w:sz w:val="24"/>
          <w:szCs w:val="24"/>
        </w:rPr>
        <w:t xml:space="preserve"> Retrieved from:</w:t>
      </w:r>
    </w:p>
    <w:p w:rsidR="004579AF" w:rsidRPr="00E63233" w:rsidRDefault="004579AF" w:rsidP="00713065">
      <w:pPr>
        <w:tabs>
          <w:tab w:val="left" w:pos="1335"/>
        </w:tabs>
        <w:ind w:left="900" w:hanging="900"/>
        <w:rPr>
          <w:sz w:val="24"/>
          <w:szCs w:val="24"/>
        </w:rPr>
      </w:pPr>
      <w:r>
        <w:tab/>
      </w:r>
      <w:hyperlink r:id="rId14" w:history="1">
        <w:r w:rsidRPr="00193027">
          <w:rPr>
            <w:rStyle w:val="Hyperlink"/>
            <w:sz w:val="24"/>
            <w:szCs w:val="24"/>
          </w:rPr>
          <w:t>http://www.cdc.gov/mmwr/pdf/rr/rr5417.pdf</w:t>
        </w:r>
      </w:hyperlink>
      <w:r>
        <w:rPr>
          <w:sz w:val="24"/>
          <w:szCs w:val="24"/>
        </w:rPr>
        <w:t xml:space="preserve"> </w:t>
      </w:r>
      <w:r w:rsidDel="00BC59D0">
        <w:t xml:space="preserve"> </w:t>
      </w:r>
    </w:p>
    <w:p w:rsidR="004579AF" w:rsidRPr="00E63233" w:rsidRDefault="004579AF" w:rsidP="004579AF">
      <w:pPr>
        <w:tabs>
          <w:tab w:val="left" w:pos="1335"/>
        </w:tabs>
        <w:ind w:left="720" w:hanging="720"/>
        <w:rPr>
          <w:sz w:val="24"/>
          <w:szCs w:val="24"/>
        </w:rPr>
      </w:pPr>
    </w:p>
    <w:p w:rsidR="004579AF" w:rsidRPr="00F26949" w:rsidRDefault="004579AF" w:rsidP="00713065">
      <w:pPr>
        <w:tabs>
          <w:tab w:val="left" w:pos="1335"/>
        </w:tabs>
        <w:ind w:left="900" w:hanging="720"/>
        <w:rPr>
          <w:sz w:val="24"/>
          <w:szCs w:val="24"/>
        </w:rPr>
      </w:pPr>
      <w:r w:rsidRPr="0049103C">
        <w:rPr>
          <w:sz w:val="24"/>
          <w:szCs w:val="24"/>
        </w:rPr>
        <w:t>Prevention and Control of Tuberculosis in Correctional and Detention Facilities:  Recommendations from the CDC.</w:t>
      </w:r>
      <w:r w:rsidRPr="00F26949">
        <w:rPr>
          <w:sz w:val="24"/>
          <w:szCs w:val="24"/>
        </w:rPr>
        <w:t xml:space="preserve"> Centers for Disease Control and Prevention.  MMWR 2006; 55(No. RR-9).</w:t>
      </w:r>
      <w:r>
        <w:rPr>
          <w:sz w:val="24"/>
          <w:szCs w:val="24"/>
        </w:rPr>
        <w:t xml:space="preserve"> Retrieved from:</w:t>
      </w:r>
    </w:p>
    <w:p w:rsidR="004579AF" w:rsidRDefault="004579AF" w:rsidP="00713065">
      <w:pPr>
        <w:tabs>
          <w:tab w:val="left" w:pos="1335"/>
        </w:tabs>
        <w:ind w:left="900" w:hanging="720"/>
        <w:rPr>
          <w:sz w:val="24"/>
          <w:szCs w:val="24"/>
        </w:rPr>
      </w:pPr>
      <w:r>
        <w:tab/>
      </w:r>
      <w:hyperlink r:id="rId15" w:history="1">
        <w:r w:rsidRPr="00193027">
          <w:rPr>
            <w:rStyle w:val="Hyperlink"/>
            <w:sz w:val="24"/>
            <w:szCs w:val="24"/>
          </w:rPr>
          <w:t>http://www.cdc.gov/mmwr/PDF/rr/rr5509.pdf</w:t>
        </w:r>
      </w:hyperlink>
      <w:r>
        <w:rPr>
          <w:sz w:val="24"/>
          <w:szCs w:val="24"/>
        </w:rPr>
        <w:t xml:space="preserve"> </w:t>
      </w:r>
    </w:p>
    <w:p w:rsidR="004579AF" w:rsidRDefault="004579AF" w:rsidP="004579AF">
      <w:pPr>
        <w:tabs>
          <w:tab w:val="left" w:pos="1335"/>
        </w:tabs>
        <w:ind w:left="720" w:hanging="720"/>
        <w:rPr>
          <w:sz w:val="24"/>
          <w:szCs w:val="24"/>
        </w:rPr>
      </w:pPr>
    </w:p>
    <w:p w:rsidR="000C2E2C" w:rsidRDefault="00CF60AF" w:rsidP="00713065">
      <w:pPr>
        <w:tabs>
          <w:tab w:val="left" w:pos="1335"/>
        </w:tabs>
        <w:ind w:left="900" w:hanging="720"/>
        <w:rPr>
          <w:sz w:val="24"/>
          <w:szCs w:val="24"/>
        </w:rPr>
      </w:pPr>
      <w:hyperlink r:id="rId16" w:history="1">
        <w:r w:rsidR="004579AF" w:rsidRPr="00D429F7">
          <w:rPr>
            <w:sz w:val="24"/>
            <w:szCs w:val="24"/>
          </w:rPr>
          <w:t xml:space="preserve">Recommendations for Use of an Isoniazid–Rifapentine Regimen with Direct Observation to Treat Latent </w:t>
        </w:r>
        <w:r w:rsidR="004579AF" w:rsidRPr="00D429F7">
          <w:rPr>
            <w:i/>
            <w:iCs/>
            <w:sz w:val="24"/>
            <w:szCs w:val="24"/>
          </w:rPr>
          <w:t>Mycobacterium tuberculosis</w:t>
        </w:r>
        <w:r w:rsidR="004579AF" w:rsidRPr="00D429F7">
          <w:rPr>
            <w:sz w:val="24"/>
            <w:szCs w:val="24"/>
          </w:rPr>
          <w:t xml:space="preserve"> Infection</w:t>
        </w:r>
      </w:hyperlink>
      <w:r w:rsidR="004579AF">
        <w:rPr>
          <w:sz w:val="24"/>
          <w:szCs w:val="24"/>
        </w:rPr>
        <w:t>.</w:t>
      </w:r>
      <w:r w:rsidR="004579AF" w:rsidRPr="00D429F7">
        <w:rPr>
          <w:sz w:val="24"/>
          <w:szCs w:val="24"/>
        </w:rPr>
        <w:t xml:space="preserve"> </w:t>
      </w:r>
      <w:r w:rsidR="004579AF">
        <w:rPr>
          <w:sz w:val="24"/>
          <w:szCs w:val="24"/>
        </w:rPr>
        <w:t xml:space="preserve"> MMWR 2011 60 (</w:t>
      </w:r>
      <w:r w:rsidR="004579AF" w:rsidRPr="00580D5B">
        <w:rPr>
          <w:sz w:val="24"/>
          <w:szCs w:val="24"/>
        </w:rPr>
        <w:t>1650–1653</w:t>
      </w:r>
      <w:r w:rsidR="004579AF">
        <w:rPr>
          <w:sz w:val="24"/>
          <w:szCs w:val="24"/>
        </w:rPr>
        <w:t xml:space="preserve">). Retrieved from:   </w:t>
      </w:r>
      <w:hyperlink r:id="rId17" w:history="1">
        <w:r w:rsidR="004579AF" w:rsidRPr="00193027">
          <w:rPr>
            <w:rStyle w:val="Hyperlink"/>
            <w:sz w:val="24"/>
            <w:szCs w:val="24"/>
          </w:rPr>
          <w:t>http://www.cdc.gov/mmwr/pdf/wk/mm6048.pdf</w:t>
        </w:r>
      </w:hyperlink>
      <w:r w:rsidR="00F26949" w:rsidRPr="0049103C">
        <w:rPr>
          <w:sz w:val="24"/>
          <w:szCs w:val="24"/>
        </w:rPr>
        <w:t>Targeted Tuberculin Testing and Treatment of Latent Tuberculosis Infection</w:t>
      </w:r>
      <w:r w:rsidR="00F26949" w:rsidRPr="00F26949">
        <w:rPr>
          <w:sz w:val="24"/>
          <w:szCs w:val="24"/>
        </w:rPr>
        <w:t>.  Centers for Disease Control and Prevention.  MMWR 2000</w:t>
      </w:r>
      <w:r w:rsidR="009A2E52" w:rsidRPr="00F26949">
        <w:rPr>
          <w:sz w:val="24"/>
          <w:szCs w:val="24"/>
        </w:rPr>
        <w:t>; 49</w:t>
      </w:r>
      <w:r w:rsidR="00F26949" w:rsidRPr="00F26949">
        <w:rPr>
          <w:sz w:val="24"/>
          <w:szCs w:val="24"/>
        </w:rPr>
        <w:t>(No. RR-6).</w:t>
      </w:r>
      <w:r w:rsidR="00E63233">
        <w:rPr>
          <w:sz w:val="24"/>
          <w:szCs w:val="24"/>
        </w:rPr>
        <w:t xml:space="preserve"> Retrieved from:</w:t>
      </w:r>
      <w:r w:rsidR="005C7641">
        <w:rPr>
          <w:sz w:val="24"/>
          <w:szCs w:val="24"/>
        </w:rPr>
        <w:t xml:space="preserve">    </w:t>
      </w:r>
      <w:hyperlink r:id="rId18" w:history="1">
        <w:r w:rsidR="000C2E2C" w:rsidRPr="00193027">
          <w:rPr>
            <w:rStyle w:val="Hyperlink"/>
            <w:sz w:val="24"/>
            <w:szCs w:val="24"/>
          </w:rPr>
          <w:t>http://www.cdc.gov/mmwr/PDF/rr/rr4906.pdf</w:t>
        </w:r>
      </w:hyperlink>
    </w:p>
    <w:p w:rsidR="000C2E2C" w:rsidRDefault="000C2E2C" w:rsidP="000C2E2C">
      <w:pPr>
        <w:tabs>
          <w:tab w:val="left" w:pos="1335"/>
        </w:tabs>
        <w:ind w:left="720" w:hanging="720"/>
        <w:rPr>
          <w:sz w:val="24"/>
          <w:szCs w:val="24"/>
        </w:rPr>
      </w:pPr>
    </w:p>
    <w:p w:rsidR="00D5668B" w:rsidRPr="00277C2F" w:rsidRDefault="00D5668B" w:rsidP="00713065">
      <w:pPr>
        <w:pStyle w:val="Default"/>
        <w:ind w:left="900" w:hanging="900"/>
        <w:rPr>
          <w:rFonts w:ascii="Times New Roman" w:hAnsi="Times New Roman" w:cs="Times New Roman"/>
        </w:rPr>
      </w:pPr>
      <w:r w:rsidRPr="00277C2F">
        <w:rPr>
          <w:rFonts w:ascii="Times New Roman" w:hAnsi="Times New Roman" w:cs="Times New Roman"/>
        </w:rPr>
        <w:t>Virgi</w:t>
      </w:r>
      <w:r>
        <w:rPr>
          <w:rFonts w:ascii="Times New Roman" w:hAnsi="Times New Roman" w:cs="Times New Roman"/>
        </w:rPr>
        <w:t xml:space="preserve">nia Department of Health. </w:t>
      </w:r>
      <w:r w:rsidRPr="00277C2F">
        <w:rPr>
          <w:rFonts w:ascii="Times New Roman" w:hAnsi="Times New Roman" w:cs="Times New Roman"/>
        </w:rPr>
        <w:t xml:space="preserve">(2012) </w:t>
      </w:r>
      <w:r>
        <w:rPr>
          <w:rFonts w:ascii="Times New Roman" w:hAnsi="Times New Roman" w:cs="Times New Roman"/>
        </w:rPr>
        <w:t xml:space="preserve"> </w:t>
      </w:r>
      <w:r w:rsidRPr="00277C2F">
        <w:rPr>
          <w:rFonts w:ascii="Times New Roman" w:hAnsi="Times New Roman" w:cs="Times New Roman"/>
        </w:rPr>
        <w:t xml:space="preserve"> </w:t>
      </w:r>
      <w:r w:rsidRPr="00277C2F">
        <w:rPr>
          <w:rFonts w:ascii="Times New Roman" w:hAnsi="Times New Roman" w:cs="Times New Roman"/>
          <w:bCs/>
          <w:i/>
          <w:color w:val="201D1E"/>
        </w:rPr>
        <w:t>Guidelines for the Use of Isoniazid/Rifapentine for Treatment of Latent TB Infection in Health Department Settings</w:t>
      </w:r>
      <w:r>
        <w:rPr>
          <w:rFonts w:ascii="Times New Roman" w:hAnsi="Times New Roman" w:cs="Times New Roman"/>
          <w:bCs/>
          <w:color w:val="201D1E"/>
        </w:rPr>
        <w:t xml:space="preserve">.  Virginia Department of Health:  Division of Disease Prevention.  Available at:  </w:t>
      </w:r>
      <w:hyperlink r:id="rId19" w:history="1">
        <w:r w:rsidR="000C2E2C" w:rsidRPr="00193027">
          <w:rPr>
            <w:rStyle w:val="Hyperlink"/>
            <w:rFonts w:ascii="Times New Roman" w:hAnsi="Times New Roman" w:cs="Times New Roman"/>
          </w:rPr>
          <w:t>http://www.vdh.virginia.gov/TB/documents/VDHGuidelines_INHRifapentine_100112_002.pdf</w:t>
        </w:r>
      </w:hyperlink>
      <w:r w:rsidR="000C2E2C">
        <w:rPr>
          <w:rFonts w:ascii="Times New Roman" w:hAnsi="Times New Roman" w:cs="Times New Roman"/>
        </w:rPr>
        <w:t xml:space="preserve"> </w:t>
      </w:r>
    </w:p>
    <w:p w:rsidR="00D5668B" w:rsidRDefault="00D5668B" w:rsidP="00E63233">
      <w:pPr>
        <w:tabs>
          <w:tab w:val="left" w:pos="1335"/>
        </w:tabs>
        <w:ind w:left="720" w:hanging="720"/>
        <w:rPr>
          <w:sz w:val="24"/>
          <w:szCs w:val="24"/>
        </w:rPr>
      </w:pPr>
    </w:p>
    <w:p w:rsidR="00BA5B0F" w:rsidRDefault="00BA5B0F">
      <w:pPr>
        <w:tabs>
          <w:tab w:val="left" w:pos="720"/>
        </w:tabs>
        <w:ind w:left="720" w:hanging="720"/>
        <w:rPr>
          <w:sz w:val="24"/>
          <w:szCs w:val="24"/>
        </w:rPr>
      </w:pPr>
    </w:p>
    <w:p w:rsidR="004579AF" w:rsidRPr="00406C08" w:rsidRDefault="004579AF" w:rsidP="00713065">
      <w:pPr>
        <w:tabs>
          <w:tab w:val="left" w:pos="1335"/>
        </w:tabs>
        <w:ind w:left="900" w:hanging="900"/>
        <w:rPr>
          <w:sz w:val="24"/>
        </w:rPr>
      </w:pPr>
      <w:r w:rsidRPr="00406C08">
        <w:rPr>
          <w:sz w:val="24"/>
        </w:rPr>
        <w:t>Virginia Department of Health</w:t>
      </w:r>
      <w:r>
        <w:rPr>
          <w:sz w:val="24"/>
        </w:rPr>
        <w:t xml:space="preserve">.  (2011). </w:t>
      </w:r>
      <w:r w:rsidRPr="00406C08">
        <w:rPr>
          <w:i/>
          <w:sz w:val="24"/>
        </w:rPr>
        <w:t xml:space="preserve">Guidelines for Tuberculosis Records and For Use.   </w:t>
      </w:r>
      <w:r>
        <w:rPr>
          <w:sz w:val="24"/>
        </w:rPr>
        <w:t>Virginia Department of Health: Division of Disease Prevention. Available at:</w:t>
      </w:r>
    </w:p>
    <w:p w:rsidR="004579AF" w:rsidRDefault="004579AF" w:rsidP="00713065">
      <w:pPr>
        <w:tabs>
          <w:tab w:val="left" w:pos="1335"/>
        </w:tabs>
        <w:ind w:left="900" w:hanging="900"/>
        <w:rPr>
          <w:sz w:val="24"/>
        </w:rPr>
      </w:pPr>
      <w:r>
        <w:rPr>
          <w:sz w:val="24"/>
        </w:rPr>
        <w:tab/>
      </w:r>
      <w:hyperlink r:id="rId20" w:history="1">
        <w:r w:rsidRPr="00193027">
          <w:rPr>
            <w:rStyle w:val="Hyperlink"/>
            <w:sz w:val="24"/>
          </w:rPr>
          <w:t>http://www.vdh.virginia.gov/TB/Forms/documents/GuidelinesforTBRecordsandFormUse060811.pdf</w:t>
        </w:r>
      </w:hyperlink>
      <w:r>
        <w:rPr>
          <w:sz w:val="24"/>
        </w:rPr>
        <w:t xml:space="preserve"> </w:t>
      </w:r>
      <w:r w:rsidRPr="00277C2F">
        <w:rPr>
          <w:sz w:val="24"/>
        </w:rPr>
        <w:t xml:space="preserve"> </w:t>
      </w:r>
    </w:p>
    <w:p w:rsidR="004579AF" w:rsidRPr="00E63233" w:rsidRDefault="004579AF" w:rsidP="004579AF">
      <w:pPr>
        <w:tabs>
          <w:tab w:val="left" w:pos="1335"/>
        </w:tabs>
        <w:ind w:left="720" w:hanging="720"/>
        <w:rPr>
          <w:sz w:val="24"/>
        </w:rPr>
      </w:pPr>
    </w:p>
    <w:p w:rsidR="00E63233" w:rsidRPr="00406C08" w:rsidRDefault="00001A5A" w:rsidP="00713065">
      <w:pPr>
        <w:tabs>
          <w:tab w:val="left" w:pos="1335"/>
        </w:tabs>
        <w:ind w:left="900" w:hanging="900"/>
        <w:rPr>
          <w:sz w:val="24"/>
        </w:rPr>
      </w:pPr>
      <w:r>
        <w:rPr>
          <w:sz w:val="24"/>
        </w:rPr>
        <w:lastRenderedPageBreak/>
        <w:t>V</w:t>
      </w:r>
      <w:r w:rsidR="00751FB3">
        <w:rPr>
          <w:sz w:val="24"/>
        </w:rPr>
        <w:t>irginia Department of Health. (20</w:t>
      </w:r>
      <w:r w:rsidR="00D5668B">
        <w:rPr>
          <w:sz w:val="24"/>
        </w:rPr>
        <w:t>13</w:t>
      </w:r>
      <w:r w:rsidR="00751FB3">
        <w:rPr>
          <w:sz w:val="24"/>
        </w:rPr>
        <w:t xml:space="preserve">) </w:t>
      </w:r>
      <w:r w:rsidR="00751FB3" w:rsidRPr="00751FB3">
        <w:rPr>
          <w:i/>
          <w:sz w:val="24"/>
        </w:rPr>
        <w:t>P</w:t>
      </w:r>
      <w:r w:rsidRPr="00751FB3">
        <w:rPr>
          <w:i/>
          <w:sz w:val="24"/>
        </w:rPr>
        <w:t>olicy on Screening for Infection and Disease</w:t>
      </w:r>
      <w:r>
        <w:rPr>
          <w:sz w:val="24"/>
        </w:rPr>
        <w:t xml:space="preserve">.  </w:t>
      </w:r>
      <w:smartTag w:uri="urn:schemas-microsoft-com:office:smarttags" w:element="place">
        <w:smartTag w:uri="urn:schemas-microsoft-com:office:smarttags" w:element="PlaceName">
          <w:r w:rsidR="00751FB3">
            <w:rPr>
              <w:sz w:val="24"/>
            </w:rPr>
            <w:t>Virginia</w:t>
          </w:r>
        </w:smartTag>
        <w:r w:rsidR="00751FB3">
          <w:rPr>
            <w:sz w:val="24"/>
          </w:rPr>
          <w:t xml:space="preserve"> </w:t>
        </w:r>
        <w:smartTag w:uri="urn:schemas-microsoft-com:office:smarttags" w:element="PlaceName">
          <w:r w:rsidR="00751FB3">
            <w:rPr>
              <w:sz w:val="24"/>
            </w:rPr>
            <w:t>Department</w:t>
          </w:r>
        </w:smartTag>
      </w:smartTag>
      <w:r w:rsidR="00751FB3">
        <w:rPr>
          <w:sz w:val="24"/>
        </w:rPr>
        <w:t xml:space="preserve"> of Health: Division of Disease Prevention. </w:t>
      </w:r>
      <w:r w:rsidR="00E63233">
        <w:rPr>
          <w:sz w:val="24"/>
        </w:rPr>
        <w:t>Available at:</w:t>
      </w:r>
    </w:p>
    <w:p w:rsidR="001A5571" w:rsidRPr="00E63233" w:rsidRDefault="00E63233" w:rsidP="00713065">
      <w:pPr>
        <w:tabs>
          <w:tab w:val="left" w:pos="1335"/>
        </w:tabs>
        <w:ind w:left="900" w:hanging="900"/>
        <w:rPr>
          <w:b/>
          <w:sz w:val="24"/>
        </w:rPr>
      </w:pPr>
      <w:r>
        <w:tab/>
      </w:r>
      <w:hyperlink r:id="rId21" w:history="1">
        <w:r w:rsidR="000C2E2C" w:rsidRPr="00193027">
          <w:rPr>
            <w:rStyle w:val="Hyperlink"/>
            <w:sz w:val="24"/>
            <w:szCs w:val="24"/>
          </w:rPr>
          <w:t>http://www.vdh.virginia.gov/TB/Policies/screening.htm</w:t>
        </w:r>
      </w:hyperlink>
      <w:r w:rsidR="000C2E2C">
        <w:rPr>
          <w:sz w:val="24"/>
          <w:szCs w:val="24"/>
        </w:rPr>
        <w:t xml:space="preserve"> </w:t>
      </w:r>
      <w:r w:rsidR="00D5668B" w:rsidDel="00D5668B">
        <w:t xml:space="preserve"> </w:t>
      </w:r>
    </w:p>
    <w:p w:rsidR="001A5571" w:rsidRDefault="001A5571" w:rsidP="00ED2DD0">
      <w:pPr>
        <w:tabs>
          <w:tab w:val="left" w:pos="1335"/>
        </w:tabs>
        <w:ind w:left="720" w:hanging="720"/>
        <w:rPr>
          <w:b/>
          <w:sz w:val="24"/>
        </w:rPr>
      </w:pPr>
    </w:p>
    <w:p w:rsidR="00406C08" w:rsidRPr="00406C08" w:rsidRDefault="00406C08" w:rsidP="00713065">
      <w:pPr>
        <w:tabs>
          <w:tab w:val="left" w:pos="1335"/>
        </w:tabs>
        <w:ind w:left="900" w:hanging="900"/>
        <w:rPr>
          <w:sz w:val="24"/>
        </w:rPr>
      </w:pPr>
      <w:r>
        <w:rPr>
          <w:sz w:val="24"/>
        </w:rPr>
        <w:t xml:space="preserve">Virginia Department of Health. (2005). </w:t>
      </w:r>
      <w:r w:rsidRPr="00406C08">
        <w:rPr>
          <w:i/>
          <w:sz w:val="24"/>
        </w:rPr>
        <w:t xml:space="preserve">Tuberculosis Service Plan. </w:t>
      </w:r>
      <w:smartTag w:uri="urn:schemas-microsoft-com:office:smarttags" w:element="place">
        <w:smartTag w:uri="urn:schemas-microsoft-com:office:smarttags" w:element="PlaceName">
          <w:r>
            <w:rPr>
              <w:sz w:val="24"/>
            </w:rPr>
            <w:t>Virginia</w:t>
          </w:r>
        </w:smartTag>
        <w:r>
          <w:rPr>
            <w:sz w:val="24"/>
          </w:rPr>
          <w:t xml:space="preserve"> </w:t>
        </w:r>
        <w:smartTag w:uri="urn:schemas-microsoft-com:office:smarttags" w:element="PlaceName">
          <w:r>
            <w:rPr>
              <w:sz w:val="24"/>
            </w:rPr>
            <w:t>Department</w:t>
          </w:r>
        </w:smartTag>
      </w:smartTag>
      <w:r>
        <w:rPr>
          <w:sz w:val="24"/>
        </w:rPr>
        <w:t xml:space="preserve"> of Health: Division of Disease Prevention.</w:t>
      </w:r>
      <w:r w:rsidR="00E63233">
        <w:rPr>
          <w:sz w:val="24"/>
        </w:rPr>
        <w:t xml:space="preserve"> Available at:</w:t>
      </w:r>
    </w:p>
    <w:p w:rsidR="00BB57EE" w:rsidRPr="00E63233" w:rsidRDefault="00ED2DD0" w:rsidP="00713065">
      <w:pPr>
        <w:tabs>
          <w:tab w:val="left" w:pos="1335"/>
        </w:tabs>
        <w:ind w:left="900" w:hanging="900"/>
        <w:rPr>
          <w:sz w:val="24"/>
        </w:rPr>
      </w:pPr>
      <w:r>
        <w:rPr>
          <w:sz w:val="24"/>
        </w:rPr>
        <w:tab/>
      </w:r>
      <w:hyperlink r:id="rId22" w:anchor="forms" w:history="1">
        <w:r w:rsidR="000C2E2C" w:rsidRPr="00193027">
          <w:rPr>
            <w:rStyle w:val="Hyperlink"/>
            <w:sz w:val="24"/>
          </w:rPr>
          <w:t>http://www.vdh.virginia.gov/TB/ResourcesforLHDinVA.htm#forms</w:t>
        </w:r>
      </w:hyperlink>
      <w:r w:rsidR="000C2E2C">
        <w:rPr>
          <w:sz w:val="24"/>
        </w:rPr>
        <w:t xml:space="preserve"> </w:t>
      </w:r>
      <w:r w:rsidR="000F16B5" w:rsidDel="000F16B5">
        <w:t xml:space="preserve"> </w:t>
      </w:r>
    </w:p>
    <w:p w:rsidR="00BA5B0F" w:rsidRDefault="00BA5B0F">
      <w:pPr>
        <w:tabs>
          <w:tab w:val="left" w:pos="1335"/>
        </w:tabs>
        <w:ind w:left="720" w:hanging="720"/>
        <w:rPr>
          <w:b/>
          <w:sz w:val="24"/>
        </w:rPr>
      </w:pPr>
    </w:p>
    <w:p w:rsidR="006A0D4E" w:rsidRDefault="006A0D4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713065" w:rsidP="00713065">
      <w:pPr>
        <w:tabs>
          <w:tab w:val="left" w:pos="5430"/>
        </w:tabs>
        <w:rPr>
          <w:b/>
          <w:sz w:val="24"/>
        </w:rPr>
      </w:pPr>
      <w:r>
        <w:rPr>
          <w:b/>
          <w:sz w:val="24"/>
        </w:rPr>
        <w:tab/>
      </w: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8F24AE" w:rsidRDefault="008F24AE" w:rsidP="001A5571">
      <w:pPr>
        <w:tabs>
          <w:tab w:val="left" w:pos="1335"/>
        </w:tabs>
        <w:rPr>
          <w:b/>
          <w:sz w:val="24"/>
        </w:rPr>
      </w:pPr>
    </w:p>
    <w:p w:rsidR="00ED2DD0" w:rsidRDefault="00ED2DD0" w:rsidP="001A5571">
      <w:pPr>
        <w:tabs>
          <w:tab w:val="left" w:pos="1335"/>
        </w:tabs>
        <w:rPr>
          <w:b/>
          <w:sz w:val="24"/>
        </w:rPr>
      </w:pPr>
    </w:p>
    <w:p w:rsidR="00972507" w:rsidRDefault="00972507" w:rsidP="001A5571">
      <w:pPr>
        <w:tabs>
          <w:tab w:val="left" w:pos="1335"/>
        </w:tabs>
        <w:rPr>
          <w:b/>
          <w:sz w:val="24"/>
        </w:rPr>
      </w:pPr>
    </w:p>
    <w:p w:rsidR="00ED2DD0" w:rsidRDefault="00ED2DD0" w:rsidP="001A5571">
      <w:pPr>
        <w:tabs>
          <w:tab w:val="left" w:pos="1335"/>
        </w:tabs>
        <w:rPr>
          <w:b/>
          <w:sz w:val="24"/>
        </w:rPr>
      </w:pPr>
    </w:p>
    <w:p w:rsidR="006A0D4E" w:rsidRDefault="001A5571" w:rsidP="001A5571">
      <w:pPr>
        <w:tabs>
          <w:tab w:val="left" w:pos="1335"/>
        </w:tabs>
        <w:rPr>
          <w:b/>
          <w:sz w:val="16"/>
          <w:szCs w:val="16"/>
        </w:rPr>
      </w:pPr>
      <w:r>
        <w:rPr>
          <w:b/>
          <w:sz w:val="24"/>
        </w:rPr>
        <w:t>Electronic File Location:</w:t>
      </w:r>
      <w:r w:rsidR="00ED2DD0">
        <w:rPr>
          <w:b/>
          <w:sz w:val="24"/>
        </w:rPr>
        <w:t xml:space="preserve"> </w:t>
      </w:r>
      <w:r w:rsidR="001E2E55" w:rsidRPr="006A0D4E">
        <w:rPr>
          <w:b/>
          <w:sz w:val="16"/>
          <w:szCs w:val="16"/>
        </w:rPr>
        <w:fldChar w:fldCharType="begin"/>
      </w:r>
      <w:r w:rsidR="006A0D4E" w:rsidRPr="006A0D4E">
        <w:rPr>
          <w:b/>
          <w:sz w:val="16"/>
          <w:szCs w:val="16"/>
        </w:rPr>
        <w:instrText xml:space="preserve"> FILENAME \p </w:instrText>
      </w:r>
      <w:r w:rsidR="001E2E55" w:rsidRPr="006A0D4E">
        <w:rPr>
          <w:b/>
          <w:sz w:val="16"/>
          <w:szCs w:val="16"/>
        </w:rPr>
        <w:fldChar w:fldCharType="separate"/>
      </w:r>
      <w:r w:rsidR="006A0D4E" w:rsidRPr="006A0D4E">
        <w:rPr>
          <w:b/>
          <w:noProof/>
          <w:sz w:val="16"/>
          <w:szCs w:val="16"/>
        </w:rPr>
        <w:t>C:\Documents and Settings\jwakeham\My Documents\nursdirectives_</w:t>
      </w:r>
      <w:r w:rsidR="00236AFB">
        <w:rPr>
          <w:b/>
          <w:noProof/>
          <w:sz w:val="16"/>
          <w:szCs w:val="16"/>
        </w:rPr>
        <w:t>TBI</w:t>
      </w:r>
      <w:r w:rsidR="006A0D4E" w:rsidRPr="006A0D4E">
        <w:rPr>
          <w:b/>
          <w:noProof/>
          <w:sz w:val="16"/>
          <w:szCs w:val="16"/>
        </w:rPr>
        <w:t>_093008.doc</w:t>
      </w:r>
      <w:r w:rsidR="001E2E55" w:rsidRPr="006A0D4E">
        <w:rPr>
          <w:b/>
          <w:sz w:val="16"/>
          <w:szCs w:val="16"/>
        </w:rPr>
        <w:fldChar w:fldCharType="end"/>
      </w:r>
    </w:p>
    <w:p w:rsidR="00972507" w:rsidRDefault="00972507" w:rsidP="001A5571">
      <w:pPr>
        <w:tabs>
          <w:tab w:val="left" w:pos="1335"/>
        </w:tabs>
        <w:rPr>
          <w:b/>
          <w:sz w:val="24"/>
        </w:rPr>
      </w:pPr>
    </w:p>
    <w:p w:rsidR="001A5571" w:rsidRDefault="001A5571" w:rsidP="001A5571">
      <w:pPr>
        <w:tabs>
          <w:tab w:val="left" w:pos="1335"/>
        </w:tabs>
        <w:rPr>
          <w:sz w:val="24"/>
        </w:rPr>
      </w:pPr>
      <w:r>
        <w:rPr>
          <w:b/>
          <w:sz w:val="24"/>
        </w:rPr>
        <w:t>Effective Date:</w:t>
      </w:r>
      <w:r w:rsidR="0049103C">
        <w:rPr>
          <w:b/>
          <w:sz w:val="24"/>
        </w:rPr>
        <w:t xml:space="preserve"> </w:t>
      </w:r>
      <w:r w:rsidR="0049103C">
        <w:rPr>
          <w:sz w:val="24"/>
        </w:rPr>
        <w:t>March 2009</w:t>
      </w:r>
    </w:p>
    <w:p w:rsidR="00972507" w:rsidRPr="0049103C" w:rsidRDefault="00972507" w:rsidP="001A5571">
      <w:pPr>
        <w:tabs>
          <w:tab w:val="left" w:pos="1335"/>
        </w:tabs>
        <w:rPr>
          <w:sz w:val="24"/>
        </w:rPr>
      </w:pPr>
    </w:p>
    <w:p w:rsidR="001A5571" w:rsidRPr="00972507" w:rsidRDefault="001A5571" w:rsidP="001A5571">
      <w:pPr>
        <w:tabs>
          <w:tab w:val="left" w:pos="1335"/>
        </w:tabs>
        <w:rPr>
          <w:sz w:val="24"/>
        </w:rPr>
      </w:pPr>
      <w:r>
        <w:rPr>
          <w:b/>
          <w:sz w:val="24"/>
        </w:rPr>
        <w:t>Review Date:</w:t>
      </w:r>
      <w:r>
        <w:rPr>
          <w:b/>
          <w:sz w:val="24"/>
        </w:rPr>
        <w:tab/>
      </w:r>
      <w:r>
        <w:rPr>
          <w:b/>
          <w:sz w:val="24"/>
        </w:rPr>
        <w:tab/>
      </w:r>
      <w:r>
        <w:rPr>
          <w:b/>
          <w:sz w:val="24"/>
        </w:rPr>
        <w:tab/>
      </w:r>
      <w:r>
        <w:rPr>
          <w:b/>
          <w:sz w:val="24"/>
        </w:rPr>
        <w:tab/>
      </w:r>
      <w:r>
        <w:rPr>
          <w:b/>
          <w:sz w:val="24"/>
        </w:rPr>
        <w:tab/>
      </w:r>
      <w:r>
        <w:rPr>
          <w:b/>
          <w:sz w:val="24"/>
        </w:rPr>
        <w:tab/>
      </w:r>
      <w:r>
        <w:rPr>
          <w:b/>
          <w:sz w:val="24"/>
        </w:rPr>
        <w:tab/>
      </w:r>
      <w:r w:rsidR="00972507">
        <w:rPr>
          <w:b/>
          <w:sz w:val="24"/>
        </w:rPr>
        <w:t xml:space="preserve">      </w:t>
      </w:r>
      <w:r w:rsidR="006C54E9">
        <w:rPr>
          <w:b/>
          <w:sz w:val="24"/>
        </w:rPr>
        <w:t xml:space="preserve">          </w:t>
      </w:r>
      <w:r w:rsidR="00972507">
        <w:rPr>
          <w:b/>
          <w:sz w:val="24"/>
        </w:rPr>
        <w:t xml:space="preserve"> </w:t>
      </w:r>
      <w:r>
        <w:rPr>
          <w:b/>
          <w:sz w:val="24"/>
        </w:rPr>
        <w:t xml:space="preserve">Revision Date: </w:t>
      </w:r>
      <w:r w:rsidR="009A5A33">
        <w:rPr>
          <w:sz w:val="24"/>
        </w:rPr>
        <w:t>June</w:t>
      </w:r>
      <w:r w:rsidR="004579AF">
        <w:rPr>
          <w:sz w:val="24"/>
        </w:rPr>
        <w:t xml:space="preserve"> </w:t>
      </w:r>
      <w:r w:rsidR="009A5A33">
        <w:rPr>
          <w:sz w:val="24"/>
        </w:rPr>
        <w:t>2015</w:t>
      </w:r>
    </w:p>
    <w:sectPr w:rsidR="001A5571" w:rsidRPr="00972507" w:rsidSect="006F7082">
      <w:footerReference w:type="even"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84E" w:rsidRDefault="0013084E">
      <w:r>
        <w:separator/>
      </w:r>
    </w:p>
  </w:endnote>
  <w:endnote w:type="continuationSeparator" w:id="0">
    <w:p w:rsidR="0013084E" w:rsidRDefault="0013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4E" w:rsidRDefault="001E2E55" w:rsidP="007F70E5">
    <w:pPr>
      <w:pStyle w:val="Footer"/>
      <w:framePr w:wrap="around" w:vAnchor="text" w:hAnchor="margin" w:xAlign="right" w:y="1"/>
      <w:rPr>
        <w:rStyle w:val="PageNumber"/>
      </w:rPr>
    </w:pPr>
    <w:r>
      <w:rPr>
        <w:rStyle w:val="PageNumber"/>
      </w:rPr>
      <w:fldChar w:fldCharType="begin"/>
    </w:r>
    <w:r w:rsidR="0013084E">
      <w:rPr>
        <w:rStyle w:val="PageNumber"/>
      </w:rPr>
      <w:instrText xml:space="preserve">PAGE  </w:instrText>
    </w:r>
    <w:r>
      <w:rPr>
        <w:rStyle w:val="PageNumber"/>
      </w:rPr>
      <w:fldChar w:fldCharType="end"/>
    </w:r>
  </w:p>
  <w:p w:rsidR="0013084E" w:rsidRDefault="0013084E" w:rsidP="004A6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84E" w:rsidRDefault="0013084E">
    <w:pPr>
      <w:pStyle w:val="Footer"/>
      <w:jc w:val="right"/>
    </w:pPr>
    <w:r>
      <w:t xml:space="preserve">Page </w:t>
    </w:r>
    <w:r w:rsidR="001E2E55">
      <w:rPr>
        <w:b/>
        <w:sz w:val="24"/>
        <w:szCs w:val="24"/>
      </w:rPr>
      <w:fldChar w:fldCharType="begin"/>
    </w:r>
    <w:r>
      <w:rPr>
        <w:b/>
      </w:rPr>
      <w:instrText xml:space="preserve"> PAGE </w:instrText>
    </w:r>
    <w:r w:rsidR="001E2E55">
      <w:rPr>
        <w:b/>
        <w:sz w:val="24"/>
        <w:szCs w:val="24"/>
      </w:rPr>
      <w:fldChar w:fldCharType="separate"/>
    </w:r>
    <w:r w:rsidR="00CF60AF">
      <w:rPr>
        <w:b/>
        <w:noProof/>
      </w:rPr>
      <w:t>2</w:t>
    </w:r>
    <w:r w:rsidR="001E2E55">
      <w:rPr>
        <w:b/>
        <w:sz w:val="24"/>
        <w:szCs w:val="24"/>
      </w:rPr>
      <w:fldChar w:fldCharType="end"/>
    </w:r>
    <w:r>
      <w:t xml:space="preserve"> of </w:t>
    </w:r>
    <w:r w:rsidR="001E2E55">
      <w:rPr>
        <w:b/>
        <w:sz w:val="24"/>
        <w:szCs w:val="24"/>
      </w:rPr>
      <w:fldChar w:fldCharType="begin"/>
    </w:r>
    <w:r>
      <w:rPr>
        <w:b/>
      </w:rPr>
      <w:instrText xml:space="preserve"> NUMPAGES  </w:instrText>
    </w:r>
    <w:r w:rsidR="001E2E55">
      <w:rPr>
        <w:b/>
        <w:sz w:val="24"/>
        <w:szCs w:val="24"/>
      </w:rPr>
      <w:fldChar w:fldCharType="separate"/>
    </w:r>
    <w:r w:rsidR="00CF60AF">
      <w:rPr>
        <w:b/>
        <w:noProof/>
      </w:rPr>
      <w:t>5</w:t>
    </w:r>
    <w:r w:rsidR="001E2E55">
      <w:rPr>
        <w:b/>
        <w:sz w:val="24"/>
        <w:szCs w:val="24"/>
      </w:rPr>
      <w:fldChar w:fldCharType="end"/>
    </w:r>
  </w:p>
  <w:p w:rsidR="0013084E" w:rsidRDefault="0013084E" w:rsidP="004A6C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84E" w:rsidRDefault="0013084E">
      <w:r>
        <w:separator/>
      </w:r>
    </w:p>
  </w:footnote>
  <w:footnote w:type="continuationSeparator" w:id="0">
    <w:p w:rsidR="0013084E" w:rsidRDefault="00130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F73"/>
    <w:multiLevelType w:val="hybridMultilevel"/>
    <w:tmpl w:val="29421D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97F41550">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96C2F"/>
    <w:multiLevelType w:val="hybridMultilevel"/>
    <w:tmpl w:val="0C52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378B6"/>
    <w:multiLevelType w:val="hybridMultilevel"/>
    <w:tmpl w:val="6C92780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1">
      <w:start w:val="1"/>
      <w:numFmt w:val="bullet"/>
      <w:lvlText w:val=""/>
      <w:lvlJc w:val="left"/>
      <w:pPr>
        <w:tabs>
          <w:tab w:val="num" w:pos="3960"/>
        </w:tabs>
        <w:ind w:left="3960" w:hanging="360"/>
      </w:pPr>
      <w:rPr>
        <w:rFonts w:ascii="Symbol" w:hAnsi="Symbol"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D24B64"/>
    <w:multiLevelType w:val="hybridMultilevel"/>
    <w:tmpl w:val="2EB65CF4"/>
    <w:lvl w:ilvl="0" w:tplc="455AE1B6">
      <w:start w:val="1"/>
      <w:numFmt w:val="decimal"/>
      <w:lvlText w:val="%1."/>
      <w:lvlJc w:val="left"/>
      <w:pPr>
        <w:tabs>
          <w:tab w:val="num" w:pos="720"/>
        </w:tabs>
        <w:ind w:left="720" w:hanging="360"/>
      </w:pPr>
      <w:rPr>
        <w:rFonts w:hint="default"/>
        <w:b/>
      </w:rPr>
    </w:lvl>
    <w:lvl w:ilvl="1" w:tplc="987656E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7252F6"/>
    <w:multiLevelType w:val="hybridMultilevel"/>
    <w:tmpl w:val="B922C5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DB6B71"/>
    <w:multiLevelType w:val="multilevel"/>
    <w:tmpl w:val="3B4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63714"/>
    <w:multiLevelType w:val="hybridMultilevel"/>
    <w:tmpl w:val="5838BA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8E7A3E"/>
    <w:multiLevelType w:val="hybridMultilevel"/>
    <w:tmpl w:val="0326346E"/>
    <w:lvl w:ilvl="0" w:tplc="E64A3330">
      <w:start w:val="1"/>
      <w:numFmt w:val="decimal"/>
      <w:lvlText w:val="%1."/>
      <w:lvlJc w:val="left"/>
      <w:pPr>
        <w:tabs>
          <w:tab w:val="num" w:pos="720"/>
        </w:tabs>
        <w:ind w:left="720" w:hanging="360"/>
      </w:pPr>
      <w:rPr>
        <w:rFonts w:hint="default"/>
        <w:b/>
      </w:rPr>
    </w:lvl>
    <w:lvl w:ilvl="1" w:tplc="1624DB06">
      <w:start w:val="1"/>
      <w:numFmt w:val="lowerLetter"/>
      <w:lvlText w:val="%2."/>
      <w:lvlJc w:val="left"/>
      <w:pPr>
        <w:tabs>
          <w:tab w:val="num" w:pos="1440"/>
        </w:tabs>
        <w:ind w:left="1440" w:hanging="360"/>
      </w:pPr>
      <w:rPr>
        <w:b/>
      </w:rPr>
    </w:lvl>
    <w:lvl w:ilvl="2" w:tplc="BD866192">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EF2198"/>
    <w:multiLevelType w:val="hybridMultilevel"/>
    <w:tmpl w:val="DA2E9EA6"/>
    <w:lvl w:ilvl="0" w:tplc="04090003">
      <w:start w:val="1"/>
      <w:numFmt w:val="bullet"/>
      <w:lvlText w:val="o"/>
      <w:lvlJc w:val="left"/>
      <w:pPr>
        <w:tabs>
          <w:tab w:val="num" w:pos="1080"/>
        </w:tabs>
        <w:ind w:left="1080" w:hanging="360"/>
      </w:pPr>
      <w:rPr>
        <w:rFonts w:ascii="Courier New" w:hAnsi="Courier New" w:cs="Courier New"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97F41550">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2409B0"/>
    <w:multiLevelType w:val="hybridMultilevel"/>
    <w:tmpl w:val="910C1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077C53"/>
    <w:multiLevelType w:val="hybridMultilevel"/>
    <w:tmpl w:val="BF8AC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35442"/>
    <w:multiLevelType w:val="hybridMultilevel"/>
    <w:tmpl w:val="63CE3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215D2B"/>
    <w:multiLevelType w:val="hybridMultilevel"/>
    <w:tmpl w:val="B866AF3A"/>
    <w:lvl w:ilvl="0" w:tplc="04090003">
      <w:start w:val="1"/>
      <w:numFmt w:val="bullet"/>
      <w:lvlText w:val="o"/>
      <w:lvlJc w:val="left"/>
      <w:pPr>
        <w:tabs>
          <w:tab w:val="num" w:pos="720"/>
        </w:tabs>
        <w:ind w:left="720" w:hanging="360"/>
      </w:pPr>
      <w:rPr>
        <w:rFonts w:ascii="Courier New" w:hAnsi="Courier New" w:cs="Courier New" w:hint="default"/>
      </w:rPr>
    </w:lvl>
    <w:lvl w:ilvl="1" w:tplc="1E60A570">
      <w:start w:val="1"/>
      <w:numFmt w:val="bullet"/>
      <w:lvlText w:val=""/>
      <w:lvlJc w:val="left"/>
      <w:pPr>
        <w:tabs>
          <w:tab w:val="num" w:pos="1440"/>
        </w:tabs>
        <w:ind w:left="1440" w:hanging="360"/>
      </w:pPr>
      <w:rPr>
        <w:rFonts w:ascii="Wingdings 2" w:hAnsi="Wingdings 2"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E1EF9"/>
    <w:multiLevelType w:val="hybridMultilevel"/>
    <w:tmpl w:val="E7CC3F0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1D2A88"/>
    <w:multiLevelType w:val="hybridMultilevel"/>
    <w:tmpl w:val="79D42B90"/>
    <w:lvl w:ilvl="0" w:tplc="D450940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AF54B172">
      <w:start w:val="2"/>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B35F72"/>
    <w:multiLevelType w:val="hybridMultilevel"/>
    <w:tmpl w:val="11A8CB68"/>
    <w:lvl w:ilvl="0" w:tplc="61EE4A58">
      <w:start w:val="1"/>
      <w:numFmt w:val="decimal"/>
      <w:lvlText w:val="%1."/>
      <w:lvlJc w:val="left"/>
      <w:pPr>
        <w:tabs>
          <w:tab w:val="num" w:pos="720"/>
        </w:tabs>
        <w:ind w:left="720" w:hanging="360"/>
      </w:pPr>
      <w:rPr>
        <w:rFonts w:hint="default"/>
        <w:b/>
      </w:rPr>
    </w:lvl>
    <w:lvl w:ilvl="1" w:tplc="48264BCA">
      <w:start w:val="1"/>
      <w:numFmt w:val="lowerLetter"/>
      <w:lvlText w:val="%2."/>
      <w:lvlJc w:val="left"/>
      <w:pPr>
        <w:tabs>
          <w:tab w:val="num" w:pos="1440"/>
        </w:tabs>
        <w:ind w:left="1440" w:hanging="360"/>
      </w:pPr>
      <w:rPr>
        <w:b/>
      </w:rPr>
    </w:lvl>
    <w:lvl w:ilvl="2" w:tplc="0772EE3C">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3A31D3"/>
    <w:multiLevelType w:val="hybridMultilevel"/>
    <w:tmpl w:val="C022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A49D2"/>
    <w:multiLevelType w:val="hybridMultilevel"/>
    <w:tmpl w:val="65BA1968"/>
    <w:lvl w:ilvl="0" w:tplc="015C95F4">
      <w:start w:val="1"/>
      <w:numFmt w:val="bullet"/>
      <w:lvlText w:val="o"/>
      <w:lvlJc w:val="left"/>
      <w:pPr>
        <w:ind w:left="360" w:hanging="360"/>
      </w:pPr>
      <w:rPr>
        <w:rFonts w:ascii="Courier New" w:hAnsi="Courier New" w:cs="Courier New"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DA2BE6"/>
    <w:multiLevelType w:val="hybridMultilevel"/>
    <w:tmpl w:val="A0A4229C"/>
    <w:lvl w:ilvl="0" w:tplc="04090003">
      <w:start w:val="1"/>
      <w:numFmt w:val="bullet"/>
      <w:lvlText w:val="o"/>
      <w:lvlJc w:val="left"/>
      <w:pPr>
        <w:tabs>
          <w:tab w:val="num" w:pos="720"/>
        </w:tabs>
        <w:ind w:left="720" w:hanging="360"/>
      </w:pPr>
      <w:rPr>
        <w:rFonts w:ascii="Courier New" w:hAnsi="Courier New" w:cs="Courier New" w:hint="default"/>
      </w:rPr>
    </w:lvl>
    <w:lvl w:ilvl="1" w:tplc="AECEB920">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97F41550">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F2FB3"/>
    <w:multiLevelType w:val="hybridMultilevel"/>
    <w:tmpl w:val="68224A30"/>
    <w:lvl w:ilvl="0" w:tplc="580AFD48">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454914"/>
    <w:multiLevelType w:val="hybridMultilevel"/>
    <w:tmpl w:val="2800CDC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1">
      <w:start w:val="1"/>
      <w:numFmt w:val="bullet"/>
      <w:lvlText w:val=""/>
      <w:lvlJc w:val="left"/>
      <w:pPr>
        <w:tabs>
          <w:tab w:val="num" w:pos="3960"/>
        </w:tabs>
        <w:ind w:left="3960" w:hanging="360"/>
      </w:pPr>
      <w:rPr>
        <w:rFonts w:ascii="Symbol" w:hAnsi="Symbol"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C574A40"/>
    <w:multiLevelType w:val="hybridMultilevel"/>
    <w:tmpl w:val="203850AC"/>
    <w:lvl w:ilvl="0" w:tplc="2C1CBDA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976080"/>
    <w:multiLevelType w:val="hybridMultilevel"/>
    <w:tmpl w:val="C5B6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D27D94"/>
    <w:multiLevelType w:val="hybridMultilevel"/>
    <w:tmpl w:val="D3202DE0"/>
    <w:lvl w:ilvl="0" w:tplc="015C95F4">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D69F0"/>
    <w:multiLevelType w:val="hybridMultilevel"/>
    <w:tmpl w:val="627CB6FA"/>
    <w:lvl w:ilvl="0" w:tplc="872C0934">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8460B67"/>
    <w:multiLevelType w:val="hybridMultilevel"/>
    <w:tmpl w:val="AF1E7D3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F54F0"/>
    <w:multiLevelType w:val="hybridMultilevel"/>
    <w:tmpl w:val="689C8C9E"/>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3">
      <w:start w:val="1"/>
      <w:numFmt w:val="bullet"/>
      <w:lvlText w:val="o"/>
      <w:lvlJc w:val="left"/>
      <w:pPr>
        <w:tabs>
          <w:tab w:val="num" w:pos="3240"/>
        </w:tabs>
        <w:ind w:left="3240" w:hanging="360"/>
      </w:pPr>
      <w:rPr>
        <w:rFonts w:ascii="Courier New" w:hAnsi="Courier New" w:cs="Courier New"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97F41550">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F3C1216"/>
    <w:multiLevelType w:val="hybridMultilevel"/>
    <w:tmpl w:val="957EA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30281A"/>
    <w:multiLevelType w:val="hybridMultilevel"/>
    <w:tmpl w:val="29E21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19"/>
  </w:num>
  <w:num w:numId="3">
    <w:abstractNumId w:val="15"/>
  </w:num>
  <w:num w:numId="4">
    <w:abstractNumId w:val="7"/>
  </w:num>
  <w:num w:numId="5">
    <w:abstractNumId w:val="24"/>
  </w:num>
  <w:num w:numId="6">
    <w:abstractNumId w:val="21"/>
  </w:num>
  <w:num w:numId="7">
    <w:abstractNumId w:val="14"/>
  </w:num>
  <w:num w:numId="8">
    <w:abstractNumId w:val="4"/>
  </w:num>
  <w:num w:numId="9">
    <w:abstractNumId w:val="12"/>
  </w:num>
  <w:num w:numId="10">
    <w:abstractNumId w:val="25"/>
  </w:num>
  <w:num w:numId="11">
    <w:abstractNumId w:val="17"/>
  </w:num>
  <w:num w:numId="12">
    <w:abstractNumId w:val="23"/>
  </w:num>
  <w:num w:numId="13">
    <w:abstractNumId w:val="0"/>
  </w:num>
  <w:num w:numId="14">
    <w:abstractNumId w:val="18"/>
  </w:num>
  <w:num w:numId="15">
    <w:abstractNumId w:val="5"/>
  </w:num>
  <w:num w:numId="16">
    <w:abstractNumId w:val="10"/>
  </w:num>
  <w:num w:numId="17">
    <w:abstractNumId w:val="13"/>
  </w:num>
  <w:num w:numId="18">
    <w:abstractNumId w:val="11"/>
  </w:num>
  <w:num w:numId="19">
    <w:abstractNumId w:val="28"/>
  </w:num>
  <w:num w:numId="20">
    <w:abstractNumId w:val="1"/>
  </w:num>
  <w:num w:numId="21">
    <w:abstractNumId w:val="16"/>
  </w:num>
  <w:num w:numId="22">
    <w:abstractNumId w:val="9"/>
  </w:num>
  <w:num w:numId="23">
    <w:abstractNumId w:val="2"/>
  </w:num>
  <w:num w:numId="24">
    <w:abstractNumId w:val="20"/>
  </w:num>
  <w:num w:numId="25">
    <w:abstractNumId w:val="27"/>
  </w:num>
  <w:num w:numId="26">
    <w:abstractNumId w:val="6"/>
  </w:num>
  <w:num w:numId="27">
    <w:abstractNumId w:val="8"/>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228"/>
    <w:rsid w:val="00001A5A"/>
    <w:rsid w:val="00020E1A"/>
    <w:rsid w:val="0002172D"/>
    <w:rsid w:val="000274D6"/>
    <w:rsid w:val="00046BA0"/>
    <w:rsid w:val="000505F9"/>
    <w:rsid w:val="00064E23"/>
    <w:rsid w:val="000906B0"/>
    <w:rsid w:val="00097BAC"/>
    <w:rsid w:val="000A0AFC"/>
    <w:rsid w:val="000A221A"/>
    <w:rsid w:val="000B0967"/>
    <w:rsid w:val="000B1495"/>
    <w:rsid w:val="000C2E2C"/>
    <w:rsid w:val="000C37C7"/>
    <w:rsid w:val="000E4675"/>
    <w:rsid w:val="000F16B5"/>
    <w:rsid w:val="00107731"/>
    <w:rsid w:val="00111261"/>
    <w:rsid w:val="001279CF"/>
    <w:rsid w:val="0013084E"/>
    <w:rsid w:val="00157A8E"/>
    <w:rsid w:val="00160A17"/>
    <w:rsid w:val="00197DDD"/>
    <w:rsid w:val="001A5571"/>
    <w:rsid w:val="001A7234"/>
    <w:rsid w:val="001D3017"/>
    <w:rsid w:val="001E0D92"/>
    <w:rsid w:val="001E2E55"/>
    <w:rsid w:val="001E6721"/>
    <w:rsid w:val="00205389"/>
    <w:rsid w:val="00205D76"/>
    <w:rsid w:val="002064BA"/>
    <w:rsid w:val="00220CFA"/>
    <w:rsid w:val="00225CFC"/>
    <w:rsid w:val="00235D5D"/>
    <w:rsid w:val="00236AFB"/>
    <w:rsid w:val="00261341"/>
    <w:rsid w:val="00262E32"/>
    <w:rsid w:val="00277C2F"/>
    <w:rsid w:val="002A3662"/>
    <w:rsid w:val="002D263D"/>
    <w:rsid w:val="003207A2"/>
    <w:rsid w:val="003313E4"/>
    <w:rsid w:val="00346056"/>
    <w:rsid w:val="00362ED5"/>
    <w:rsid w:val="00381315"/>
    <w:rsid w:val="00382E9B"/>
    <w:rsid w:val="00392667"/>
    <w:rsid w:val="003948C4"/>
    <w:rsid w:val="003A161F"/>
    <w:rsid w:val="003A5F7B"/>
    <w:rsid w:val="003C6DEA"/>
    <w:rsid w:val="003D0097"/>
    <w:rsid w:val="003E0F0B"/>
    <w:rsid w:val="00405F63"/>
    <w:rsid w:val="00406A16"/>
    <w:rsid w:val="00406C08"/>
    <w:rsid w:val="004215B7"/>
    <w:rsid w:val="004464BB"/>
    <w:rsid w:val="004524D1"/>
    <w:rsid w:val="00454A18"/>
    <w:rsid w:val="00457659"/>
    <w:rsid w:val="004579AF"/>
    <w:rsid w:val="004750B5"/>
    <w:rsid w:val="00483125"/>
    <w:rsid w:val="0049103C"/>
    <w:rsid w:val="0049668C"/>
    <w:rsid w:val="004A6C15"/>
    <w:rsid w:val="004C5CD2"/>
    <w:rsid w:val="004D2714"/>
    <w:rsid w:val="004F0CDF"/>
    <w:rsid w:val="004F2BAA"/>
    <w:rsid w:val="005574AB"/>
    <w:rsid w:val="00580D5B"/>
    <w:rsid w:val="00581B80"/>
    <w:rsid w:val="00595168"/>
    <w:rsid w:val="00595CB4"/>
    <w:rsid w:val="005A0423"/>
    <w:rsid w:val="005B59CD"/>
    <w:rsid w:val="005C0D9A"/>
    <w:rsid w:val="005C7641"/>
    <w:rsid w:val="005D3BC6"/>
    <w:rsid w:val="005E2349"/>
    <w:rsid w:val="005E4623"/>
    <w:rsid w:val="005F302F"/>
    <w:rsid w:val="00611B33"/>
    <w:rsid w:val="00614025"/>
    <w:rsid w:val="006276BD"/>
    <w:rsid w:val="006279AE"/>
    <w:rsid w:val="00633B10"/>
    <w:rsid w:val="006517D5"/>
    <w:rsid w:val="00662E51"/>
    <w:rsid w:val="00670479"/>
    <w:rsid w:val="00691882"/>
    <w:rsid w:val="0069450F"/>
    <w:rsid w:val="006A0D4E"/>
    <w:rsid w:val="006B580C"/>
    <w:rsid w:val="006B5A14"/>
    <w:rsid w:val="006C393B"/>
    <w:rsid w:val="006C4C94"/>
    <w:rsid w:val="006C54E9"/>
    <w:rsid w:val="006F60D6"/>
    <w:rsid w:val="006F7082"/>
    <w:rsid w:val="00713065"/>
    <w:rsid w:val="007225E4"/>
    <w:rsid w:val="007261D6"/>
    <w:rsid w:val="0073550E"/>
    <w:rsid w:val="00751FB3"/>
    <w:rsid w:val="00766B11"/>
    <w:rsid w:val="007807D9"/>
    <w:rsid w:val="00785E37"/>
    <w:rsid w:val="007A61E2"/>
    <w:rsid w:val="007C4202"/>
    <w:rsid w:val="007D6D31"/>
    <w:rsid w:val="007F70E5"/>
    <w:rsid w:val="0080183E"/>
    <w:rsid w:val="00805D48"/>
    <w:rsid w:val="00813DE4"/>
    <w:rsid w:val="00825464"/>
    <w:rsid w:val="0086446D"/>
    <w:rsid w:val="0086500A"/>
    <w:rsid w:val="00897B6E"/>
    <w:rsid w:val="008A1B1F"/>
    <w:rsid w:val="008D6F40"/>
    <w:rsid w:val="008E3079"/>
    <w:rsid w:val="008F24AE"/>
    <w:rsid w:val="009130C0"/>
    <w:rsid w:val="00920132"/>
    <w:rsid w:val="009224F4"/>
    <w:rsid w:val="00942CFA"/>
    <w:rsid w:val="00967731"/>
    <w:rsid w:val="00972507"/>
    <w:rsid w:val="00972C1E"/>
    <w:rsid w:val="00976199"/>
    <w:rsid w:val="009851B1"/>
    <w:rsid w:val="0098639A"/>
    <w:rsid w:val="009A2345"/>
    <w:rsid w:val="009A2E52"/>
    <w:rsid w:val="009A5A33"/>
    <w:rsid w:val="009D49C7"/>
    <w:rsid w:val="009E6423"/>
    <w:rsid w:val="00A0269D"/>
    <w:rsid w:val="00A12FDD"/>
    <w:rsid w:val="00A67249"/>
    <w:rsid w:val="00A74A95"/>
    <w:rsid w:val="00A7739D"/>
    <w:rsid w:val="00A93214"/>
    <w:rsid w:val="00A97C9D"/>
    <w:rsid w:val="00AA0906"/>
    <w:rsid w:val="00AC1584"/>
    <w:rsid w:val="00AC4364"/>
    <w:rsid w:val="00AD10B3"/>
    <w:rsid w:val="00AF665C"/>
    <w:rsid w:val="00B1400F"/>
    <w:rsid w:val="00B23D21"/>
    <w:rsid w:val="00B27E04"/>
    <w:rsid w:val="00B32608"/>
    <w:rsid w:val="00B45527"/>
    <w:rsid w:val="00B61874"/>
    <w:rsid w:val="00B74E5B"/>
    <w:rsid w:val="00B7574D"/>
    <w:rsid w:val="00B870C8"/>
    <w:rsid w:val="00BA5B0F"/>
    <w:rsid w:val="00BA6672"/>
    <w:rsid w:val="00BB57EE"/>
    <w:rsid w:val="00BC59D0"/>
    <w:rsid w:val="00C004CD"/>
    <w:rsid w:val="00C00A37"/>
    <w:rsid w:val="00C2033F"/>
    <w:rsid w:val="00C27FF2"/>
    <w:rsid w:val="00C36585"/>
    <w:rsid w:val="00C6416E"/>
    <w:rsid w:val="00C64B89"/>
    <w:rsid w:val="00C65A3E"/>
    <w:rsid w:val="00C65E89"/>
    <w:rsid w:val="00CA4D86"/>
    <w:rsid w:val="00CE7AE5"/>
    <w:rsid w:val="00CF60AF"/>
    <w:rsid w:val="00D170D4"/>
    <w:rsid w:val="00D318B6"/>
    <w:rsid w:val="00D429F7"/>
    <w:rsid w:val="00D448E3"/>
    <w:rsid w:val="00D44D5E"/>
    <w:rsid w:val="00D467D3"/>
    <w:rsid w:val="00D54E81"/>
    <w:rsid w:val="00D5668B"/>
    <w:rsid w:val="00D76418"/>
    <w:rsid w:val="00D85C59"/>
    <w:rsid w:val="00DA3487"/>
    <w:rsid w:val="00DA350C"/>
    <w:rsid w:val="00DC0C78"/>
    <w:rsid w:val="00DD3082"/>
    <w:rsid w:val="00DD62B7"/>
    <w:rsid w:val="00DE4544"/>
    <w:rsid w:val="00E20727"/>
    <w:rsid w:val="00E26CF4"/>
    <w:rsid w:val="00E273B2"/>
    <w:rsid w:val="00E5254C"/>
    <w:rsid w:val="00E55D46"/>
    <w:rsid w:val="00E63233"/>
    <w:rsid w:val="00E8165B"/>
    <w:rsid w:val="00EB6278"/>
    <w:rsid w:val="00EC0A10"/>
    <w:rsid w:val="00ED2DD0"/>
    <w:rsid w:val="00EE04DA"/>
    <w:rsid w:val="00EE1A36"/>
    <w:rsid w:val="00EE5DCD"/>
    <w:rsid w:val="00F01D14"/>
    <w:rsid w:val="00F1338B"/>
    <w:rsid w:val="00F2174D"/>
    <w:rsid w:val="00F26949"/>
    <w:rsid w:val="00F41037"/>
    <w:rsid w:val="00F47C8F"/>
    <w:rsid w:val="00F51A7D"/>
    <w:rsid w:val="00F52275"/>
    <w:rsid w:val="00F559DB"/>
    <w:rsid w:val="00F66227"/>
    <w:rsid w:val="00F73A6A"/>
    <w:rsid w:val="00FF0228"/>
    <w:rsid w:val="00FF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7889"/>
    <o:shapelayout v:ext="edit">
      <o:idmap v:ext="edit" data="1"/>
    </o:shapelayout>
  </w:shapeDefaults>
  <w:decimalSymbol w:val="."/>
  <w:listSeparator w:val=","/>
  <w15:docId w15:val="{130866DC-4171-4678-82C7-DE3B0A70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E3079"/>
    <w:rPr>
      <w:rFonts w:ascii="Tahoma" w:hAnsi="Tahoma" w:cs="Tahoma"/>
      <w:sz w:val="16"/>
      <w:szCs w:val="16"/>
    </w:rPr>
  </w:style>
  <w:style w:type="character" w:styleId="Strong">
    <w:name w:val="Strong"/>
    <w:basedOn w:val="DefaultParagraphFont"/>
    <w:qFormat/>
    <w:rsid w:val="00483125"/>
    <w:rPr>
      <w:b/>
      <w:bCs/>
    </w:rPr>
  </w:style>
  <w:style w:type="paragraph" w:styleId="NormalWeb">
    <w:name w:val="Normal (Web)"/>
    <w:basedOn w:val="Normal"/>
    <w:rsid w:val="00483125"/>
    <w:pPr>
      <w:spacing w:before="100" w:beforeAutospacing="1" w:after="100" w:afterAutospacing="1" w:line="300" w:lineRule="atLeast"/>
    </w:pPr>
    <w:rPr>
      <w:rFonts w:ascii="Verdana" w:hAnsi="Verdana"/>
      <w:sz w:val="19"/>
      <w:szCs w:val="19"/>
    </w:rPr>
  </w:style>
  <w:style w:type="table" w:styleId="TableGrid">
    <w:name w:val="Table Grid"/>
    <w:basedOn w:val="TableNormal"/>
    <w:rsid w:val="00483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24D1"/>
    <w:rPr>
      <w:color w:val="0000FF"/>
      <w:u w:val="single"/>
    </w:rPr>
  </w:style>
  <w:style w:type="paragraph" w:styleId="Footer">
    <w:name w:val="footer"/>
    <w:basedOn w:val="Normal"/>
    <w:link w:val="FooterChar"/>
    <w:uiPriority w:val="99"/>
    <w:rsid w:val="004A6C15"/>
    <w:pPr>
      <w:tabs>
        <w:tab w:val="center" w:pos="4320"/>
        <w:tab w:val="right" w:pos="8640"/>
      </w:tabs>
    </w:pPr>
  </w:style>
  <w:style w:type="character" w:styleId="PageNumber">
    <w:name w:val="page number"/>
    <w:basedOn w:val="DefaultParagraphFont"/>
    <w:rsid w:val="004A6C15"/>
  </w:style>
  <w:style w:type="character" w:styleId="CommentReference">
    <w:name w:val="annotation reference"/>
    <w:basedOn w:val="DefaultParagraphFont"/>
    <w:semiHidden/>
    <w:rsid w:val="00DD62B7"/>
    <w:rPr>
      <w:sz w:val="16"/>
      <w:szCs w:val="16"/>
    </w:rPr>
  </w:style>
  <w:style w:type="paragraph" w:styleId="CommentText">
    <w:name w:val="annotation text"/>
    <w:basedOn w:val="Normal"/>
    <w:semiHidden/>
    <w:rsid w:val="00DD62B7"/>
  </w:style>
  <w:style w:type="paragraph" w:styleId="CommentSubject">
    <w:name w:val="annotation subject"/>
    <w:basedOn w:val="CommentText"/>
    <w:next w:val="CommentText"/>
    <w:semiHidden/>
    <w:rsid w:val="00DD62B7"/>
    <w:rPr>
      <w:b/>
      <w:bCs/>
    </w:rPr>
  </w:style>
  <w:style w:type="paragraph" w:styleId="Header">
    <w:name w:val="header"/>
    <w:basedOn w:val="Normal"/>
    <w:rsid w:val="006F7082"/>
    <w:pPr>
      <w:tabs>
        <w:tab w:val="center" w:pos="4320"/>
        <w:tab w:val="right" w:pos="8640"/>
      </w:tabs>
    </w:pPr>
  </w:style>
  <w:style w:type="character" w:customStyle="1" w:styleId="FooterChar">
    <w:name w:val="Footer Char"/>
    <w:basedOn w:val="DefaultParagraphFont"/>
    <w:link w:val="Footer"/>
    <w:uiPriority w:val="99"/>
    <w:rsid w:val="00972507"/>
  </w:style>
  <w:style w:type="paragraph" w:customStyle="1" w:styleId="Default">
    <w:name w:val="Default"/>
    <w:rsid w:val="00277C2F"/>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277C2F"/>
    <w:rPr>
      <w:color w:val="800080" w:themeColor="followedHyperlink"/>
      <w:u w:val="single"/>
    </w:rPr>
  </w:style>
  <w:style w:type="character" w:styleId="Emphasis">
    <w:name w:val="Emphasis"/>
    <w:basedOn w:val="DefaultParagraphFont"/>
    <w:uiPriority w:val="20"/>
    <w:qFormat/>
    <w:rsid w:val="00BC59D0"/>
    <w:rPr>
      <w:i/>
      <w:iCs/>
    </w:rPr>
  </w:style>
  <w:style w:type="paragraph" w:styleId="ListParagraph">
    <w:name w:val="List Paragraph"/>
    <w:basedOn w:val="Normal"/>
    <w:uiPriority w:val="34"/>
    <w:qFormat/>
    <w:rsid w:val="00D42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31850">
      <w:bodyDiv w:val="1"/>
      <w:marLeft w:val="0"/>
      <w:marRight w:val="0"/>
      <w:marTop w:val="0"/>
      <w:marBottom w:val="0"/>
      <w:divBdr>
        <w:top w:val="none" w:sz="0" w:space="0" w:color="auto"/>
        <w:left w:val="none" w:sz="0" w:space="0" w:color="auto"/>
        <w:bottom w:val="none" w:sz="0" w:space="0" w:color="auto"/>
        <w:right w:val="none" w:sz="0" w:space="0" w:color="auto"/>
      </w:divBdr>
      <w:divsChild>
        <w:div w:id="2126852150">
          <w:marLeft w:val="0"/>
          <w:marRight w:val="0"/>
          <w:marTop w:val="0"/>
          <w:marBottom w:val="0"/>
          <w:divBdr>
            <w:top w:val="none" w:sz="0" w:space="0" w:color="auto"/>
            <w:left w:val="single" w:sz="18" w:space="0" w:color="666666"/>
            <w:bottom w:val="none" w:sz="0" w:space="0" w:color="auto"/>
            <w:right w:val="single" w:sz="18" w:space="0" w:color="666666"/>
          </w:divBdr>
          <w:divsChild>
            <w:div w:id="811404222">
              <w:marLeft w:val="2475"/>
              <w:marRight w:val="10"/>
              <w:marTop w:val="0"/>
              <w:marBottom w:val="0"/>
              <w:divBdr>
                <w:top w:val="none" w:sz="0" w:space="0" w:color="auto"/>
                <w:left w:val="single" w:sz="6" w:space="11" w:color="CCCCCC"/>
                <w:bottom w:val="single" w:sz="6" w:space="11" w:color="CCCCCC"/>
                <w:right w:val="single" w:sz="6" w:space="11"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mmwr/pdf/rr/rr5415.pdf" TargetMode="External"/><Relationship Id="rId18" Type="http://schemas.openxmlformats.org/officeDocument/2006/relationships/hyperlink" Target="http://www.cdc.gov/mmwr/PDF/rr/rr4906.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dh.virginia.gov/TB/Policies/screening.htm" TargetMode="External"/><Relationship Id="rId7" Type="http://schemas.openxmlformats.org/officeDocument/2006/relationships/endnotes" Target="endnotes.xml"/><Relationship Id="rId12" Type="http://schemas.openxmlformats.org/officeDocument/2006/relationships/hyperlink" Target="http://www.cdc.gov/mmwr/PDF/rr/rr4411.pdf" TargetMode="External"/><Relationship Id="rId17" Type="http://schemas.openxmlformats.org/officeDocument/2006/relationships/hyperlink" Target="http://www.cdc.gov/mmwr/pdf/wk/mm604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mmwr/preview/mmwrhtml/mm6048a3.htm?s_cid=mm6048a3_w" TargetMode="External"/><Relationship Id="rId20" Type="http://schemas.openxmlformats.org/officeDocument/2006/relationships/hyperlink" Target="http://www.vdh.virginia.gov/TB/Forms/documents/GuidelinesforTBRecordsandFormUse06081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mmwr/PDF/rr/rr5412.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dc.gov/mmwr/PDF/rr/rr5509.pdf" TargetMode="External"/><Relationship Id="rId23" Type="http://schemas.openxmlformats.org/officeDocument/2006/relationships/footer" Target="footer1.xml"/><Relationship Id="rId10" Type="http://schemas.openxmlformats.org/officeDocument/2006/relationships/hyperlink" Target="http://leg1.state.va.us/cgi-bin/legp504.exe?000+cod+32.1-50" TargetMode="External"/><Relationship Id="rId19" Type="http://schemas.openxmlformats.org/officeDocument/2006/relationships/hyperlink" Target="http://www.vdh.virginia.gov/TB/documents/VDHGuidelines_INHRifapentine_100112_002.pdf" TargetMode="External"/><Relationship Id="rId4" Type="http://schemas.openxmlformats.org/officeDocument/2006/relationships/settings" Target="settings.xml"/><Relationship Id="rId9" Type="http://schemas.openxmlformats.org/officeDocument/2006/relationships/hyperlink" Target="http://leg1.state.va.us/cgi-bin/legp504.exe?000+cod+54.1-3408" TargetMode="External"/><Relationship Id="rId14" Type="http://schemas.openxmlformats.org/officeDocument/2006/relationships/hyperlink" Target="http://www.cdc.gov/mmwr/pdf/rr/rr5417.pdf" TargetMode="External"/><Relationship Id="rId22" Type="http://schemas.openxmlformats.org/officeDocument/2006/relationships/hyperlink" Target="http://www.vdh.virginia.gov/TB/ResourcesforLHDinV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9152F-F147-412A-874F-14DB58F85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1876</Words>
  <Characters>10698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VDH</Company>
  <LinksUpToDate>false</LinksUpToDate>
  <CharactersWithSpaces>12549</CharactersWithSpaces>
  <SharedDoc>false</SharedDoc>
  <HLinks>
    <vt:vector size="84" baseType="variant">
      <vt:variant>
        <vt:i4>2949154</vt:i4>
      </vt:variant>
      <vt:variant>
        <vt:i4>39</vt:i4>
      </vt:variant>
      <vt:variant>
        <vt:i4>0</vt:i4>
      </vt:variant>
      <vt:variant>
        <vt:i4>5</vt:i4>
      </vt:variant>
      <vt:variant>
        <vt:lpwstr>http://www.vdh.virginia.gov/epidemiology/DiseasePrevention/Programs/Tuberculosis/Forms/documents/SPMast.doc</vt:lpwstr>
      </vt:variant>
      <vt:variant>
        <vt:lpwstr/>
      </vt:variant>
      <vt:variant>
        <vt:i4>8126584</vt:i4>
      </vt:variant>
      <vt:variant>
        <vt:i4>36</vt:i4>
      </vt:variant>
      <vt:variant>
        <vt:i4>0</vt:i4>
      </vt:variant>
      <vt:variant>
        <vt:i4>5</vt:i4>
      </vt:variant>
      <vt:variant>
        <vt:lpwstr>http://www.vdh.virginia.gov/epidemiology/DiseasePrevention/Programs/Tuberculosis/Forms/documents/Guide.pdf</vt:lpwstr>
      </vt:variant>
      <vt:variant>
        <vt:lpwstr/>
      </vt:variant>
      <vt:variant>
        <vt:i4>7864372</vt:i4>
      </vt:variant>
      <vt:variant>
        <vt:i4>33</vt:i4>
      </vt:variant>
      <vt:variant>
        <vt:i4>0</vt:i4>
      </vt:variant>
      <vt:variant>
        <vt:i4>5</vt:i4>
      </vt:variant>
      <vt:variant>
        <vt:lpwstr>http://www.vdh.virginia.gov/epidemiology/DiseasePrevention/Programs/Tuberculosis/Policies/screening.htm</vt:lpwstr>
      </vt:variant>
      <vt:variant>
        <vt:lpwstr/>
      </vt:variant>
      <vt:variant>
        <vt:i4>196695</vt:i4>
      </vt:variant>
      <vt:variant>
        <vt:i4>30</vt:i4>
      </vt:variant>
      <vt:variant>
        <vt:i4>0</vt:i4>
      </vt:variant>
      <vt:variant>
        <vt:i4>5</vt:i4>
      </vt:variant>
      <vt:variant>
        <vt:lpwstr>http://www.umdnj.edu/globaltb/products/tbcasemgmtmodules.htm</vt:lpwstr>
      </vt:variant>
      <vt:variant>
        <vt:lpwstr/>
      </vt:variant>
      <vt:variant>
        <vt:i4>1441822</vt:i4>
      </vt:variant>
      <vt:variant>
        <vt:i4>27</vt:i4>
      </vt:variant>
      <vt:variant>
        <vt:i4>0</vt:i4>
      </vt:variant>
      <vt:variant>
        <vt:i4>5</vt:i4>
      </vt:variant>
      <vt:variant>
        <vt:lpwstr>http://www.cdc.gov/mmwr/preview/mmwrhtml/00038823.htm</vt:lpwstr>
      </vt:variant>
      <vt:variant>
        <vt:lpwstr/>
      </vt:variant>
      <vt:variant>
        <vt:i4>655449</vt:i4>
      </vt:variant>
      <vt:variant>
        <vt:i4>24</vt:i4>
      </vt:variant>
      <vt:variant>
        <vt:i4>0</vt:i4>
      </vt:variant>
      <vt:variant>
        <vt:i4>5</vt:i4>
      </vt:variant>
      <vt:variant>
        <vt:lpwstr>http://www.cdc.gov/mmwr/preview/mmwrhtml/rr5509a1.htm</vt:lpwstr>
      </vt:variant>
      <vt:variant>
        <vt:lpwstr/>
      </vt:variant>
      <vt:variant>
        <vt:i4>720980</vt:i4>
      </vt:variant>
      <vt:variant>
        <vt:i4>21</vt:i4>
      </vt:variant>
      <vt:variant>
        <vt:i4>0</vt:i4>
      </vt:variant>
      <vt:variant>
        <vt:i4>5</vt:i4>
      </vt:variant>
      <vt:variant>
        <vt:lpwstr>http://www.cdc.gov/mmwr/preview/mmwrhtml/rr5415a1.htm</vt:lpwstr>
      </vt:variant>
      <vt:variant>
        <vt:lpwstr/>
      </vt:variant>
      <vt:variant>
        <vt:i4>720979</vt:i4>
      </vt:variant>
      <vt:variant>
        <vt:i4>18</vt:i4>
      </vt:variant>
      <vt:variant>
        <vt:i4>0</vt:i4>
      </vt:variant>
      <vt:variant>
        <vt:i4>5</vt:i4>
      </vt:variant>
      <vt:variant>
        <vt:lpwstr>http://www.cdc.gov/mmwr/preview/mmwrhtml/rr5412a1.htm</vt:lpwstr>
      </vt:variant>
      <vt:variant>
        <vt:lpwstr/>
      </vt:variant>
      <vt:variant>
        <vt:i4>1703943</vt:i4>
      </vt:variant>
      <vt:variant>
        <vt:i4>15</vt:i4>
      </vt:variant>
      <vt:variant>
        <vt:i4>0</vt:i4>
      </vt:variant>
      <vt:variant>
        <vt:i4>5</vt:i4>
      </vt:variant>
      <vt:variant>
        <vt:lpwstr>http://www.cdc.gov/mmwr/preview/mmwrhtml/rr5417a1.htm?s_cid=rr5417a1_e</vt:lpwstr>
      </vt:variant>
      <vt:variant>
        <vt:lpwstr/>
      </vt:variant>
      <vt:variant>
        <vt:i4>720986</vt:i4>
      </vt:variant>
      <vt:variant>
        <vt:i4>12</vt:i4>
      </vt:variant>
      <vt:variant>
        <vt:i4>0</vt:i4>
      </vt:variant>
      <vt:variant>
        <vt:i4>5</vt:i4>
      </vt:variant>
      <vt:variant>
        <vt:lpwstr>http://www.cdc.gov/mmwr/preview/mmwrhtml/rr4906a1.htm</vt:lpwstr>
      </vt:variant>
      <vt:variant>
        <vt:lpwstr/>
      </vt:variant>
      <vt:variant>
        <vt:i4>8126504</vt:i4>
      </vt:variant>
      <vt:variant>
        <vt:i4>9</vt:i4>
      </vt:variant>
      <vt:variant>
        <vt:i4>0</vt:i4>
      </vt:variant>
      <vt:variant>
        <vt:i4>5</vt:i4>
      </vt:variant>
      <vt:variant>
        <vt:lpwstr>http://www.vdh.virginia.gov/epidemiology/DiseasePrevention/Programs/Tuberculosis/documents/TB_Standards of Care_012607.pdf</vt:lpwstr>
      </vt:variant>
      <vt:variant>
        <vt:lpwstr/>
      </vt:variant>
      <vt:variant>
        <vt:i4>3276858</vt:i4>
      </vt:variant>
      <vt:variant>
        <vt:i4>6</vt:i4>
      </vt:variant>
      <vt:variant>
        <vt:i4>0</vt:i4>
      </vt:variant>
      <vt:variant>
        <vt:i4>5</vt:i4>
      </vt:variant>
      <vt:variant>
        <vt:lpwstr>http://leg1.state.va.us/cgi-bin/legp504.exe?000+cod+32.1-50</vt:lpwstr>
      </vt:variant>
      <vt:variant>
        <vt:lpwstr/>
      </vt:variant>
      <vt:variant>
        <vt:i4>131080</vt:i4>
      </vt:variant>
      <vt:variant>
        <vt:i4>3</vt:i4>
      </vt:variant>
      <vt:variant>
        <vt:i4>0</vt:i4>
      </vt:variant>
      <vt:variant>
        <vt:i4>5</vt:i4>
      </vt:variant>
      <vt:variant>
        <vt:lpwstr>http://leg1.state.va.us/cgi-bin/legp504.exe?000+cod+54.1-3408</vt:lpwstr>
      </vt:variant>
      <vt:variant>
        <vt:lpwstr/>
      </vt:variant>
      <vt:variant>
        <vt:i4>7864372</vt:i4>
      </vt:variant>
      <vt:variant>
        <vt:i4>0</vt:i4>
      </vt:variant>
      <vt:variant>
        <vt:i4>0</vt:i4>
      </vt:variant>
      <vt:variant>
        <vt:i4>5</vt:i4>
      </vt:variant>
      <vt:variant>
        <vt:lpwstr>http://www.vdh.virginia.gov/epidemiology/DiseasePrevention/Programs/Tuberculosis/Policies/screening.htm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gpilarinos</dc:creator>
  <cp:lastModifiedBy>Khalil, Amanda Maust (VDH)</cp:lastModifiedBy>
  <cp:revision>2</cp:revision>
  <cp:lastPrinted>2015-10-28T17:13:00Z</cp:lastPrinted>
  <dcterms:created xsi:type="dcterms:W3CDTF">2018-11-14T13:31:00Z</dcterms:created>
  <dcterms:modified xsi:type="dcterms:W3CDTF">2018-11-14T13:31:00Z</dcterms:modified>
</cp:coreProperties>
</file>