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Pr="000663A3" w:rsidRDefault="00235E7F" w:rsidP="00235E7F">
      <w:pPr>
        <w:tabs>
          <w:tab w:val="center" w:pos="4800"/>
        </w:tabs>
        <w:suppressAutoHyphens/>
        <w:spacing w:after="0" w:line="240" w:lineRule="auto"/>
        <w:jc w:val="center"/>
        <w:rPr>
          <w:rFonts w:ascii="Times New Roman" w:hAnsi="Times New Roman"/>
          <w:b/>
          <w:sz w:val="18"/>
        </w:rPr>
      </w:pPr>
      <w:r w:rsidRPr="000663A3">
        <w:rPr>
          <w:rFonts w:ascii="Times New Roman" w:hAnsi="Times New Roman"/>
          <w:b/>
          <w:sz w:val="24"/>
          <w:szCs w:val="24"/>
        </w:rPr>
        <w:t>VDH/</w:t>
      </w:r>
      <w:r w:rsidR="00727164" w:rsidRPr="000663A3">
        <w:rPr>
          <w:rFonts w:ascii="Times New Roman" w:hAnsi="Times New Roman"/>
          <w:b/>
          <w:sz w:val="24"/>
          <w:szCs w:val="24"/>
        </w:rPr>
        <w:t xml:space="preserve">OFFICE OF </w:t>
      </w:r>
      <w:r w:rsidR="00C84A02" w:rsidRPr="000663A3">
        <w:rPr>
          <w:rFonts w:ascii="Times New Roman" w:hAnsi="Times New Roman"/>
          <w:b/>
          <w:sz w:val="24"/>
          <w:szCs w:val="24"/>
        </w:rPr>
        <w:t>DRINKING WATER</w:t>
      </w:r>
    </w:p>
    <w:p w:rsidR="00C84A02" w:rsidRPr="000663A3" w:rsidRDefault="00C84A02" w:rsidP="00235E7F">
      <w:pPr>
        <w:tabs>
          <w:tab w:val="center" w:pos="4800"/>
        </w:tabs>
        <w:suppressAutoHyphens/>
        <w:spacing w:after="0" w:line="240" w:lineRule="auto"/>
        <w:jc w:val="center"/>
        <w:rPr>
          <w:rFonts w:ascii="Times New Roman" w:hAnsi="Times New Roman"/>
          <w:b/>
          <w:sz w:val="18"/>
        </w:rPr>
      </w:pPr>
      <w:r w:rsidRPr="000663A3">
        <w:rPr>
          <w:rFonts w:ascii="Times New Roman" w:hAnsi="Times New Roman"/>
          <w:b/>
          <w:i/>
          <w:sz w:val="20"/>
        </w:rPr>
        <w:t>FINANCIAL AND CONSTRUCTION ASSISTANCE PROGRAMS (FCAP</w:t>
      </w:r>
      <w:r w:rsidRPr="000663A3">
        <w:rPr>
          <w:rFonts w:ascii="Times New Roman" w:hAnsi="Times New Roman"/>
          <w:b/>
          <w:i/>
        </w:rPr>
        <w:t>)</w:t>
      </w:r>
    </w:p>
    <w:p w:rsidR="00235E7F" w:rsidRPr="000663A3" w:rsidRDefault="00235E7F" w:rsidP="00235E7F">
      <w:pPr>
        <w:spacing w:after="0" w:line="240" w:lineRule="auto"/>
        <w:jc w:val="center"/>
        <w:rPr>
          <w:rFonts w:ascii="Times New Roman" w:hAnsi="Times New Roman"/>
          <w:b/>
          <w:szCs w:val="32"/>
        </w:rPr>
      </w:pPr>
    </w:p>
    <w:p w:rsidR="00FA4DA7" w:rsidRPr="000663A3" w:rsidRDefault="00176838" w:rsidP="00235E7F">
      <w:pPr>
        <w:spacing w:after="0" w:line="240" w:lineRule="auto"/>
        <w:jc w:val="center"/>
        <w:rPr>
          <w:rFonts w:ascii="Times New Roman" w:hAnsi="Times New Roman"/>
          <w:b/>
          <w:sz w:val="28"/>
          <w:szCs w:val="32"/>
          <w:u w:val="single"/>
        </w:rPr>
      </w:pPr>
      <w:r w:rsidRPr="000663A3">
        <w:rPr>
          <w:rFonts w:ascii="Times New Roman" w:hAnsi="Times New Roman"/>
          <w:b/>
          <w:sz w:val="28"/>
          <w:szCs w:val="32"/>
          <w:u w:val="single"/>
        </w:rPr>
        <w:t>Building Financial Sustainability</w:t>
      </w:r>
      <w:r w:rsidR="00235E7F" w:rsidRPr="000663A3">
        <w:rPr>
          <w:rFonts w:ascii="Times New Roman" w:hAnsi="Times New Roman"/>
          <w:b/>
          <w:sz w:val="28"/>
          <w:szCs w:val="32"/>
          <w:u w:val="single"/>
        </w:rPr>
        <w:t>/Financial Health Indicators</w:t>
      </w:r>
    </w:p>
    <w:p w:rsidR="00235E7F" w:rsidRPr="000663A3" w:rsidRDefault="00235E7F" w:rsidP="00727164">
      <w:pPr>
        <w:spacing w:after="0" w:line="240" w:lineRule="auto"/>
        <w:ind w:left="360"/>
        <w:jc w:val="both"/>
        <w:rPr>
          <w:rFonts w:ascii="Times New Roman" w:hAnsi="Times New Roman"/>
          <w:sz w:val="20"/>
        </w:rPr>
      </w:pPr>
    </w:p>
    <w:p w:rsidR="007A6A5B" w:rsidRPr="000663A3" w:rsidRDefault="00901BF0" w:rsidP="001A3D8B">
      <w:pPr>
        <w:spacing w:after="0" w:line="240" w:lineRule="auto"/>
        <w:jc w:val="both"/>
        <w:rPr>
          <w:rFonts w:ascii="Times New Roman" w:hAnsi="Times New Roman"/>
        </w:rPr>
      </w:pPr>
      <w:r w:rsidRPr="000663A3">
        <w:rPr>
          <w:rFonts w:ascii="Times New Roman" w:hAnsi="Times New Roman"/>
        </w:rPr>
        <w:t>Having adequate financial capacity and a</w:t>
      </w:r>
      <w:r w:rsidR="000F506D" w:rsidRPr="000663A3">
        <w:rPr>
          <w:rFonts w:ascii="Times New Roman" w:hAnsi="Times New Roman"/>
        </w:rPr>
        <w:t>n acceptable credit review is a</w:t>
      </w:r>
      <w:r w:rsidR="00176838" w:rsidRPr="000663A3">
        <w:rPr>
          <w:rFonts w:ascii="Times New Roman" w:hAnsi="Times New Roman"/>
        </w:rPr>
        <w:t xml:space="preserve"> Program requirement </w:t>
      </w:r>
      <w:r w:rsidR="00235E7F" w:rsidRPr="000663A3">
        <w:rPr>
          <w:rFonts w:ascii="Times New Roman" w:hAnsi="Times New Roman"/>
        </w:rPr>
        <w:t xml:space="preserve">for </w:t>
      </w:r>
      <w:r w:rsidR="000F506D" w:rsidRPr="000663A3">
        <w:rPr>
          <w:rFonts w:ascii="Times New Roman" w:hAnsi="Times New Roman"/>
        </w:rPr>
        <w:t xml:space="preserve">revolving fund </w:t>
      </w:r>
      <w:r w:rsidR="00235E7F" w:rsidRPr="000663A3">
        <w:rPr>
          <w:rFonts w:ascii="Times New Roman" w:hAnsi="Times New Roman"/>
        </w:rPr>
        <w:t>loan projects</w:t>
      </w:r>
      <w:r w:rsidR="00176838" w:rsidRPr="000663A3">
        <w:rPr>
          <w:rFonts w:ascii="Times New Roman" w:hAnsi="Times New Roman"/>
        </w:rPr>
        <w:t xml:space="preserve">. </w:t>
      </w:r>
      <w:r w:rsidRPr="000663A3">
        <w:rPr>
          <w:rFonts w:ascii="Times New Roman" w:hAnsi="Times New Roman"/>
        </w:rPr>
        <w:t xml:space="preserve"> Listed below are some f</w:t>
      </w:r>
      <w:r w:rsidR="00176838" w:rsidRPr="000663A3">
        <w:rPr>
          <w:rFonts w:ascii="Times New Roman" w:hAnsi="Times New Roman"/>
        </w:rPr>
        <w:t xml:space="preserve">inancial indicators that </w:t>
      </w:r>
      <w:r w:rsidR="00206945" w:rsidRPr="000663A3">
        <w:rPr>
          <w:rFonts w:ascii="Times New Roman" w:hAnsi="Times New Roman"/>
        </w:rPr>
        <w:t>may</w:t>
      </w:r>
      <w:r w:rsidR="00921A04" w:rsidRPr="000663A3">
        <w:rPr>
          <w:rFonts w:ascii="Times New Roman" w:hAnsi="Times New Roman"/>
        </w:rPr>
        <w:t xml:space="preserve"> be </w:t>
      </w:r>
      <w:r w:rsidR="00176838" w:rsidRPr="000663A3">
        <w:rPr>
          <w:rFonts w:ascii="Times New Roman" w:hAnsi="Times New Roman"/>
        </w:rPr>
        <w:t xml:space="preserve">evaluated during </w:t>
      </w:r>
      <w:r w:rsidRPr="000663A3">
        <w:rPr>
          <w:rFonts w:ascii="Times New Roman" w:hAnsi="Times New Roman"/>
        </w:rPr>
        <w:t>a</w:t>
      </w:r>
      <w:r w:rsidR="00176838" w:rsidRPr="000663A3">
        <w:rPr>
          <w:rFonts w:ascii="Times New Roman" w:hAnsi="Times New Roman"/>
        </w:rPr>
        <w:t xml:space="preserve"> review</w:t>
      </w:r>
      <w:r w:rsidRPr="000663A3">
        <w:rPr>
          <w:rFonts w:ascii="Times New Roman" w:hAnsi="Times New Roman"/>
        </w:rPr>
        <w:t xml:space="preserve"> by VDH or by the Virginia Resources Authority (VRA)</w:t>
      </w:r>
      <w:r w:rsidR="00921A04" w:rsidRPr="000663A3">
        <w:rPr>
          <w:rFonts w:ascii="Times New Roman" w:hAnsi="Times New Roman"/>
        </w:rPr>
        <w:t xml:space="preserve">. </w:t>
      </w:r>
      <w:r w:rsidRPr="000663A3">
        <w:rPr>
          <w:rFonts w:ascii="Times New Roman" w:hAnsi="Times New Roman"/>
        </w:rPr>
        <w:t xml:space="preserve"> R</w:t>
      </w:r>
      <w:r w:rsidR="00235E7F" w:rsidRPr="000663A3">
        <w:rPr>
          <w:rFonts w:ascii="Times New Roman" w:hAnsi="Times New Roman"/>
        </w:rPr>
        <w:t xml:space="preserve">eviews </w:t>
      </w:r>
      <w:r w:rsidR="00AC6484" w:rsidRPr="000663A3">
        <w:rPr>
          <w:rFonts w:ascii="Times New Roman" w:hAnsi="Times New Roman"/>
        </w:rPr>
        <w:t xml:space="preserve">are not limited to  the factors listed below and </w:t>
      </w:r>
      <w:r w:rsidR="000F506D" w:rsidRPr="000663A3">
        <w:rPr>
          <w:rFonts w:ascii="Times New Roman" w:hAnsi="Times New Roman"/>
        </w:rPr>
        <w:t>may include other</w:t>
      </w:r>
      <w:r w:rsidR="00235E7F" w:rsidRPr="000663A3">
        <w:rPr>
          <w:rFonts w:ascii="Times New Roman" w:hAnsi="Times New Roman"/>
        </w:rPr>
        <w:t xml:space="preserve"> factors</w:t>
      </w:r>
      <w:r w:rsidR="000F506D" w:rsidRPr="000663A3">
        <w:rPr>
          <w:rFonts w:ascii="Times New Roman" w:hAnsi="Times New Roman"/>
        </w:rPr>
        <w:t>.</w:t>
      </w:r>
    </w:p>
    <w:p w:rsidR="007A6A5B" w:rsidRPr="000663A3" w:rsidRDefault="007A6A5B" w:rsidP="001A3D8B">
      <w:pPr>
        <w:spacing w:after="0" w:line="240" w:lineRule="auto"/>
        <w:jc w:val="both"/>
        <w:rPr>
          <w:rFonts w:ascii="Times New Roman" w:hAnsi="Times New Roman"/>
        </w:rPr>
      </w:pPr>
      <w:bookmarkStart w:id="0" w:name="_GoBack"/>
      <w:bookmarkEnd w:id="0"/>
    </w:p>
    <w:p w:rsidR="009F6E5E" w:rsidRPr="000663A3" w:rsidRDefault="009F6E5E" w:rsidP="001A3D8B">
      <w:pPr>
        <w:spacing w:after="0" w:line="240" w:lineRule="auto"/>
        <w:jc w:val="both"/>
        <w:rPr>
          <w:rFonts w:ascii="Times New Roman" w:hAnsi="Times New Roman"/>
        </w:rPr>
      </w:pPr>
    </w:p>
    <w:p w:rsidR="00235E7F" w:rsidRPr="000663A3" w:rsidRDefault="00235E7F" w:rsidP="00A73561">
      <w:pPr>
        <w:spacing w:after="0" w:line="240" w:lineRule="auto"/>
        <w:jc w:val="both"/>
        <w:rPr>
          <w:rFonts w:ascii="Times New Roman" w:hAnsi="Times New Roman"/>
          <w:i/>
        </w:rPr>
      </w:pPr>
      <w:r w:rsidRPr="000663A3">
        <w:rPr>
          <w:rFonts w:ascii="Times New Roman" w:hAnsi="Times New Roman"/>
          <w:b/>
          <w:i/>
          <w:u w:val="single"/>
        </w:rPr>
        <w:t>Revenue Pledge Factors</w:t>
      </w:r>
      <w:r w:rsidR="00AC6484" w:rsidRPr="000663A3">
        <w:rPr>
          <w:rFonts w:ascii="Times New Roman" w:hAnsi="Times New Roman"/>
          <w:b/>
          <w:i/>
          <w:u w:val="single"/>
        </w:rPr>
        <w:t>:</w:t>
      </w:r>
      <w:r w:rsidR="00AC6484" w:rsidRPr="000663A3">
        <w:rPr>
          <w:rFonts w:ascii="Times New Roman" w:hAnsi="Times New Roman"/>
          <w:i/>
        </w:rPr>
        <w:t xml:space="preserve"> (User fees pledged for loan repayment)</w:t>
      </w:r>
    </w:p>
    <w:p w:rsidR="00235E7F" w:rsidRPr="000663A3" w:rsidRDefault="00235E7F" w:rsidP="00A73561">
      <w:pPr>
        <w:spacing w:after="0" w:line="240" w:lineRule="auto"/>
        <w:jc w:val="both"/>
        <w:rPr>
          <w:rFonts w:ascii="Times New Roman" w:hAnsi="Times New Roman"/>
          <w:sz w:val="20"/>
        </w:rPr>
      </w:pPr>
    </w:p>
    <w:p w:rsidR="007A6A5B" w:rsidRPr="000663A3" w:rsidRDefault="007A6A5B"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Debt Service Coverage</w:t>
      </w:r>
      <w:r w:rsidR="00921A04" w:rsidRPr="000663A3">
        <w:rPr>
          <w:rFonts w:ascii="Times New Roman" w:hAnsi="Times New Roman"/>
          <w:b/>
          <w:i/>
          <w:sz w:val="20"/>
        </w:rPr>
        <w:t xml:space="preserve"> Ratio</w:t>
      </w:r>
      <w:r w:rsidRPr="000663A3">
        <w:rPr>
          <w:rFonts w:ascii="Times New Roman" w:hAnsi="Times New Roman"/>
          <w:b/>
          <w:i/>
          <w:sz w:val="20"/>
        </w:rPr>
        <w:t xml:space="preserve">: </w:t>
      </w:r>
      <w:r w:rsidRPr="000663A3">
        <w:rPr>
          <w:rFonts w:ascii="Times New Roman" w:hAnsi="Times New Roman"/>
          <w:sz w:val="20"/>
        </w:rPr>
        <w:t xml:space="preserve">Net Revenue </w:t>
      </w:r>
      <w:r w:rsidR="00AC6484" w:rsidRPr="000663A3">
        <w:rPr>
          <w:rFonts w:ascii="Times New Roman" w:hAnsi="Times New Roman"/>
          <w:sz w:val="20"/>
        </w:rPr>
        <w:t xml:space="preserve">(revenue – O&amp;M) </w:t>
      </w:r>
      <w:r w:rsidRPr="000663A3">
        <w:rPr>
          <w:rFonts w:ascii="Times New Roman" w:hAnsi="Times New Roman"/>
          <w:sz w:val="20"/>
        </w:rPr>
        <w:t>available for debt service divided by applicable debt service</w:t>
      </w:r>
      <w:r w:rsidR="00921A04" w:rsidRPr="000663A3">
        <w:rPr>
          <w:rFonts w:ascii="Times New Roman" w:hAnsi="Times New Roman"/>
          <w:sz w:val="20"/>
        </w:rPr>
        <w:t>.</w:t>
      </w:r>
      <w:r w:rsidR="00AC6484" w:rsidRPr="000663A3">
        <w:rPr>
          <w:rFonts w:ascii="Times New Roman" w:hAnsi="Times New Roman"/>
          <w:sz w:val="20"/>
        </w:rPr>
        <w:t xml:space="preserve">  Evaluated using the first two fiscal years after project completion.</w:t>
      </w:r>
    </w:p>
    <w:p w:rsidR="007A6A5B" w:rsidRPr="000663A3" w:rsidRDefault="007A6A5B" w:rsidP="00A73561">
      <w:pPr>
        <w:spacing w:after="0" w:line="240" w:lineRule="auto"/>
        <w:jc w:val="both"/>
        <w:rPr>
          <w:rFonts w:ascii="Times New Roman" w:hAnsi="Times New Roman"/>
          <w:b/>
          <w:i/>
          <w:sz w:val="16"/>
        </w:rPr>
      </w:pPr>
    </w:p>
    <w:p w:rsidR="007A6A5B" w:rsidRPr="000663A3" w:rsidRDefault="007A6A5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Less than 1.15x</w:t>
      </w:r>
    </w:p>
    <w:p w:rsidR="007A6A5B" w:rsidRPr="000663A3" w:rsidRDefault="007A6A5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r>
      <w:r w:rsidR="001A3D8B" w:rsidRPr="000663A3">
        <w:rPr>
          <w:rFonts w:ascii="Times New Roman" w:hAnsi="Times New Roman"/>
          <w:sz w:val="20"/>
          <w:szCs w:val="18"/>
        </w:rPr>
        <w:t>From</w:t>
      </w:r>
      <w:r w:rsidRPr="000663A3">
        <w:rPr>
          <w:rFonts w:ascii="Times New Roman" w:hAnsi="Times New Roman"/>
          <w:sz w:val="20"/>
          <w:szCs w:val="18"/>
        </w:rPr>
        <w:t xml:space="preserve"> 1.15x  </w:t>
      </w:r>
      <w:r w:rsidR="001A3D8B" w:rsidRPr="000663A3">
        <w:rPr>
          <w:rFonts w:ascii="Times New Roman" w:hAnsi="Times New Roman"/>
          <w:sz w:val="20"/>
          <w:szCs w:val="18"/>
        </w:rPr>
        <w:t>to</w:t>
      </w:r>
      <w:r w:rsidRPr="000663A3">
        <w:rPr>
          <w:rFonts w:ascii="Times New Roman" w:hAnsi="Times New Roman"/>
          <w:sz w:val="20"/>
          <w:szCs w:val="18"/>
        </w:rPr>
        <w:t xml:space="preserve"> 1.5</w:t>
      </w:r>
      <w:r w:rsidR="00921A04" w:rsidRPr="000663A3">
        <w:rPr>
          <w:rFonts w:ascii="Times New Roman" w:hAnsi="Times New Roman"/>
          <w:sz w:val="20"/>
          <w:szCs w:val="18"/>
        </w:rPr>
        <w:t>x</w:t>
      </w:r>
    </w:p>
    <w:p w:rsidR="007A6A5B" w:rsidRPr="000663A3" w:rsidRDefault="007A6A5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Greater than 1.5x</w:t>
      </w:r>
    </w:p>
    <w:p w:rsidR="007A6A5B" w:rsidRPr="000663A3" w:rsidRDefault="007A6A5B" w:rsidP="00A73561">
      <w:pPr>
        <w:spacing w:after="0" w:line="240" w:lineRule="auto"/>
        <w:jc w:val="both"/>
        <w:rPr>
          <w:rFonts w:ascii="Times New Roman" w:hAnsi="Times New Roman"/>
          <w:sz w:val="16"/>
          <w:szCs w:val="18"/>
        </w:rPr>
      </w:pPr>
    </w:p>
    <w:p w:rsidR="00921A04" w:rsidRPr="000663A3" w:rsidRDefault="00921A04"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Days Cash on Hand:  </w:t>
      </w:r>
      <w:r w:rsidRPr="000663A3">
        <w:rPr>
          <w:rFonts w:ascii="Times New Roman" w:hAnsi="Times New Roman"/>
          <w:sz w:val="20"/>
        </w:rPr>
        <w:t>Amount of total available unrestricted liquid reserves divided by daily operating expenditure requirements.</w:t>
      </w:r>
    </w:p>
    <w:p w:rsidR="00921A04" w:rsidRPr="000663A3" w:rsidRDefault="00921A04" w:rsidP="00A73561">
      <w:pPr>
        <w:spacing w:after="0" w:line="240" w:lineRule="auto"/>
        <w:jc w:val="both"/>
        <w:rPr>
          <w:rFonts w:ascii="Times New Roman" w:hAnsi="Times New Roman"/>
          <w:b/>
          <w:i/>
          <w:sz w:val="16"/>
        </w:rPr>
      </w:pPr>
    </w:p>
    <w:p w:rsidR="00921A04" w:rsidRPr="000663A3" w:rsidRDefault="00921A04"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Less than 60 days</w:t>
      </w:r>
    </w:p>
    <w:p w:rsidR="00921A04" w:rsidRPr="000663A3" w:rsidRDefault="00921A04"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r>
      <w:r w:rsidR="001A3D8B" w:rsidRPr="000663A3">
        <w:rPr>
          <w:rFonts w:ascii="Times New Roman" w:hAnsi="Times New Roman"/>
          <w:sz w:val="20"/>
          <w:szCs w:val="18"/>
        </w:rPr>
        <w:t>From</w:t>
      </w:r>
      <w:r w:rsidRPr="000663A3">
        <w:rPr>
          <w:rFonts w:ascii="Times New Roman" w:hAnsi="Times New Roman"/>
          <w:sz w:val="20"/>
          <w:szCs w:val="18"/>
        </w:rPr>
        <w:t xml:space="preserve"> 60  </w:t>
      </w:r>
      <w:r w:rsidR="001A3D8B" w:rsidRPr="000663A3">
        <w:rPr>
          <w:rFonts w:ascii="Times New Roman" w:hAnsi="Times New Roman"/>
          <w:sz w:val="20"/>
          <w:szCs w:val="18"/>
        </w:rPr>
        <w:t>to</w:t>
      </w:r>
      <w:r w:rsidRPr="000663A3">
        <w:rPr>
          <w:rFonts w:ascii="Times New Roman" w:hAnsi="Times New Roman"/>
          <w:sz w:val="20"/>
          <w:szCs w:val="18"/>
        </w:rPr>
        <w:t xml:space="preserve"> 120 days</w:t>
      </w:r>
    </w:p>
    <w:p w:rsidR="00921A04" w:rsidRPr="000663A3" w:rsidRDefault="00921A04"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Greater than 120 days</w:t>
      </w:r>
    </w:p>
    <w:p w:rsidR="009F6E5E" w:rsidRPr="000663A3" w:rsidRDefault="009F6E5E" w:rsidP="009F6E5E">
      <w:pPr>
        <w:tabs>
          <w:tab w:val="left" w:pos="2430"/>
        </w:tabs>
        <w:spacing w:after="0" w:line="240" w:lineRule="auto"/>
        <w:jc w:val="both"/>
        <w:rPr>
          <w:rFonts w:ascii="Times New Roman" w:hAnsi="Times New Roman"/>
          <w:sz w:val="20"/>
          <w:szCs w:val="18"/>
        </w:rPr>
      </w:pPr>
    </w:p>
    <w:p w:rsidR="009F6E5E" w:rsidRPr="000663A3" w:rsidRDefault="009F6E5E" w:rsidP="009F6E5E">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Operating Ratio:  </w:t>
      </w:r>
      <w:r w:rsidRPr="000663A3">
        <w:rPr>
          <w:rFonts w:ascii="Times New Roman" w:hAnsi="Times New Roman"/>
          <w:sz w:val="20"/>
        </w:rPr>
        <w:t>Total operating income plus operating reserves divided by total operating costs (not including debt)</w:t>
      </w:r>
    </w:p>
    <w:p w:rsidR="009F6E5E" w:rsidRPr="000663A3" w:rsidRDefault="009F6E5E" w:rsidP="009F6E5E">
      <w:pPr>
        <w:spacing w:after="0" w:line="240" w:lineRule="auto"/>
        <w:jc w:val="both"/>
        <w:rPr>
          <w:rFonts w:ascii="Times New Roman" w:hAnsi="Times New Roman"/>
          <w:b/>
          <w:i/>
          <w:sz w:val="16"/>
        </w:rPr>
      </w:pPr>
    </w:p>
    <w:p w:rsidR="009F6E5E" w:rsidRPr="000663A3" w:rsidRDefault="009F6E5E" w:rsidP="009F6E5E">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Less than 1.1</w:t>
      </w:r>
    </w:p>
    <w:p w:rsidR="009F6E5E" w:rsidRPr="000663A3" w:rsidRDefault="009F6E5E" w:rsidP="009F6E5E">
      <w:pPr>
        <w:pStyle w:val="ListParagraph"/>
        <w:numPr>
          <w:ilvl w:val="0"/>
          <w:numId w:val="1"/>
        </w:numPr>
        <w:tabs>
          <w:tab w:val="left" w:pos="2430"/>
          <w:tab w:val="left" w:pos="414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t xml:space="preserve">From 1.1  to 3.0,   </w:t>
      </w:r>
      <w:r w:rsidRPr="000663A3">
        <w:rPr>
          <w:rFonts w:ascii="Times New Roman" w:hAnsi="Times New Roman"/>
          <w:sz w:val="20"/>
          <w:szCs w:val="18"/>
        </w:rPr>
        <w:tab/>
        <w:t>Small systems (1.25 to 3.0),  Medium and large (1.1 to 2.0)</w:t>
      </w:r>
    </w:p>
    <w:p w:rsidR="009F6E5E" w:rsidRPr="000663A3" w:rsidRDefault="009F6E5E" w:rsidP="009F6E5E">
      <w:pPr>
        <w:pStyle w:val="ListParagraph"/>
        <w:numPr>
          <w:ilvl w:val="0"/>
          <w:numId w:val="1"/>
        </w:numPr>
        <w:tabs>
          <w:tab w:val="left" w:pos="2430"/>
          <w:tab w:val="left" w:pos="414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Greater than 3.0</w:t>
      </w:r>
      <w:r w:rsidRPr="000663A3">
        <w:rPr>
          <w:rFonts w:ascii="Times New Roman" w:hAnsi="Times New Roman"/>
          <w:sz w:val="20"/>
          <w:szCs w:val="18"/>
        </w:rPr>
        <w:tab/>
        <w:t>Small systems (3.0),  Medium and large (2.0)</w:t>
      </w:r>
    </w:p>
    <w:p w:rsidR="007A6A5B" w:rsidRPr="000663A3" w:rsidRDefault="007A6A5B" w:rsidP="00A73561">
      <w:pPr>
        <w:spacing w:after="0" w:line="240" w:lineRule="auto"/>
        <w:jc w:val="both"/>
        <w:rPr>
          <w:rFonts w:ascii="Times New Roman" w:hAnsi="Times New Roman"/>
          <w:b/>
          <w:i/>
          <w:sz w:val="20"/>
          <w:u w:val="single"/>
        </w:rPr>
      </w:pPr>
    </w:p>
    <w:p w:rsidR="009F6E5E" w:rsidRPr="000663A3" w:rsidRDefault="009F6E5E" w:rsidP="00A73561">
      <w:pPr>
        <w:spacing w:after="0" w:line="240" w:lineRule="auto"/>
        <w:jc w:val="both"/>
        <w:rPr>
          <w:rFonts w:ascii="Times New Roman" w:hAnsi="Times New Roman"/>
          <w:b/>
          <w:i/>
          <w:sz w:val="20"/>
          <w:u w:val="single"/>
        </w:rPr>
      </w:pPr>
    </w:p>
    <w:p w:rsidR="00235E7F" w:rsidRPr="000663A3" w:rsidRDefault="00235E7F" w:rsidP="00A73561">
      <w:pPr>
        <w:spacing w:after="0" w:line="240" w:lineRule="auto"/>
        <w:jc w:val="both"/>
        <w:rPr>
          <w:rFonts w:ascii="Times New Roman" w:hAnsi="Times New Roman"/>
          <w:b/>
          <w:i/>
          <w:u w:val="single"/>
        </w:rPr>
      </w:pPr>
      <w:r w:rsidRPr="000663A3">
        <w:rPr>
          <w:rFonts w:ascii="Times New Roman" w:hAnsi="Times New Roman"/>
          <w:b/>
          <w:i/>
          <w:u w:val="single"/>
        </w:rPr>
        <w:t>General Obligation Factors</w:t>
      </w:r>
      <w:r w:rsidR="00AC6484" w:rsidRPr="000663A3">
        <w:rPr>
          <w:rFonts w:ascii="Times New Roman" w:hAnsi="Times New Roman"/>
          <w:b/>
          <w:i/>
          <w:u w:val="single"/>
        </w:rPr>
        <w:t>:</w:t>
      </w:r>
      <w:r w:rsidR="00E5471C" w:rsidRPr="000663A3">
        <w:rPr>
          <w:rStyle w:val="FootnoteReference"/>
          <w:rFonts w:ascii="Times New Roman" w:hAnsi="Times New Roman"/>
          <w:b/>
          <w:i/>
          <w:u w:val="single"/>
        </w:rPr>
        <w:footnoteReference w:id="2"/>
      </w:r>
      <w:r w:rsidR="00AC6484" w:rsidRPr="000663A3">
        <w:rPr>
          <w:rFonts w:ascii="Times New Roman" w:hAnsi="Times New Roman"/>
          <w:i/>
        </w:rPr>
        <w:t xml:space="preserve"> (Locality pledges its full faith and credit</w:t>
      </w:r>
      <w:r w:rsidR="00E5471C" w:rsidRPr="000663A3">
        <w:rPr>
          <w:rFonts w:ascii="Times New Roman" w:hAnsi="Times New Roman"/>
          <w:i/>
        </w:rPr>
        <w:t>, backed by taxing power</w:t>
      </w:r>
      <w:r w:rsidR="00AC6484" w:rsidRPr="000663A3">
        <w:rPr>
          <w:rFonts w:ascii="Times New Roman" w:hAnsi="Times New Roman"/>
          <w:i/>
        </w:rPr>
        <w:t>)</w:t>
      </w:r>
    </w:p>
    <w:p w:rsidR="00235E7F" w:rsidRPr="000663A3" w:rsidRDefault="00235E7F" w:rsidP="00A73561">
      <w:pPr>
        <w:spacing w:after="0" w:line="240" w:lineRule="auto"/>
        <w:jc w:val="both"/>
        <w:rPr>
          <w:rFonts w:ascii="Times New Roman" w:hAnsi="Times New Roman"/>
          <w:b/>
          <w:i/>
          <w:sz w:val="20"/>
          <w:u w:val="single"/>
        </w:rPr>
      </w:pPr>
    </w:p>
    <w:p w:rsidR="00E5471C" w:rsidRPr="000663A3" w:rsidRDefault="00E5471C" w:rsidP="00E5471C">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State Aid (if applicable): </w:t>
      </w:r>
      <w:r w:rsidRPr="000663A3">
        <w:rPr>
          <w:rFonts w:ascii="Times New Roman" w:hAnsi="Times New Roman"/>
          <w:sz w:val="20"/>
        </w:rPr>
        <w:t>Available state aid divided by applicable debt service.</w:t>
      </w:r>
    </w:p>
    <w:p w:rsidR="00E5471C" w:rsidRPr="000663A3" w:rsidRDefault="00E5471C" w:rsidP="00E5471C">
      <w:pPr>
        <w:spacing w:after="0" w:line="240" w:lineRule="auto"/>
        <w:jc w:val="both"/>
        <w:rPr>
          <w:rFonts w:ascii="Times New Roman" w:hAnsi="Times New Roman"/>
          <w:b/>
          <w:i/>
          <w:sz w:val="16"/>
        </w:rPr>
      </w:pPr>
    </w:p>
    <w:p w:rsidR="00E5471C" w:rsidRPr="000663A3" w:rsidRDefault="00E5471C" w:rsidP="00E5471C">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Less than 1.0x</w:t>
      </w:r>
    </w:p>
    <w:p w:rsidR="00E5471C" w:rsidRPr="000663A3" w:rsidRDefault="00E5471C" w:rsidP="00E5471C">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t>From 1.0x  to 1.5x</w:t>
      </w:r>
    </w:p>
    <w:p w:rsidR="00E5471C" w:rsidRPr="000663A3" w:rsidRDefault="00E5471C" w:rsidP="00E5471C">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Greater than 1.5x</w:t>
      </w:r>
    </w:p>
    <w:p w:rsidR="00E5471C" w:rsidRPr="000663A3" w:rsidRDefault="00E5471C" w:rsidP="00E5471C">
      <w:pPr>
        <w:tabs>
          <w:tab w:val="left" w:pos="2430"/>
        </w:tabs>
        <w:spacing w:after="0" w:line="240" w:lineRule="auto"/>
        <w:jc w:val="both"/>
        <w:rPr>
          <w:rFonts w:ascii="Times New Roman" w:hAnsi="Times New Roman"/>
          <w:sz w:val="20"/>
          <w:szCs w:val="18"/>
        </w:rPr>
      </w:pPr>
    </w:p>
    <w:p w:rsidR="00235E7F" w:rsidRPr="000663A3" w:rsidRDefault="00235E7F"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Debt Service vs. Expenditures: </w:t>
      </w:r>
      <w:r w:rsidRPr="000663A3">
        <w:rPr>
          <w:rFonts w:ascii="Times New Roman" w:hAnsi="Times New Roman"/>
          <w:sz w:val="20"/>
        </w:rPr>
        <w:t>Debt service compared to the total operating budget.</w:t>
      </w:r>
    </w:p>
    <w:p w:rsidR="00235E7F" w:rsidRPr="000663A3" w:rsidRDefault="00235E7F" w:rsidP="00A73561">
      <w:pPr>
        <w:spacing w:after="0" w:line="240" w:lineRule="auto"/>
        <w:jc w:val="both"/>
        <w:rPr>
          <w:rFonts w:ascii="Times New Roman" w:hAnsi="Times New Roman"/>
          <w:b/>
          <w:i/>
          <w:sz w:val="16"/>
        </w:rPr>
      </w:pPr>
    </w:p>
    <w:p w:rsidR="00235E7F" w:rsidRPr="000663A3" w:rsidRDefault="00235E7F"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r>
      <w:r w:rsidR="00A73561" w:rsidRPr="000663A3">
        <w:rPr>
          <w:rFonts w:ascii="Times New Roman" w:hAnsi="Times New Roman"/>
          <w:sz w:val="20"/>
          <w:szCs w:val="18"/>
        </w:rPr>
        <w:t>Greater than 15%</w:t>
      </w:r>
    </w:p>
    <w:p w:rsidR="00235E7F" w:rsidRPr="000663A3" w:rsidRDefault="00235E7F"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r>
      <w:r w:rsidR="001A3D8B" w:rsidRPr="000663A3">
        <w:rPr>
          <w:rFonts w:ascii="Times New Roman" w:hAnsi="Times New Roman"/>
          <w:sz w:val="20"/>
          <w:szCs w:val="18"/>
        </w:rPr>
        <w:t>From</w:t>
      </w:r>
      <w:r w:rsidRPr="000663A3">
        <w:rPr>
          <w:rFonts w:ascii="Times New Roman" w:hAnsi="Times New Roman"/>
          <w:sz w:val="20"/>
          <w:szCs w:val="18"/>
        </w:rPr>
        <w:t xml:space="preserve"> </w:t>
      </w:r>
      <w:r w:rsidR="001A3D8B" w:rsidRPr="000663A3">
        <w:rPr>
          <w:rFonts w:ascii="Times New Roman" w:hAnsi="Times New Roman"/>
          <w:sz w:val="20"/>
          <w:szCs w:val="18"/>
        </w:rPr>
        <w:t>10%</w:t>
      </w:r>
      <w:r w:rsidRPr="000663A3">
        <w:rPr>
          <w:rFonts w:ascii="Times New Roman" w:hAnsi="Times New Roman"/>
          <w:sz w:val="20"/>
          <w:szCs w:val="18"/>
        </w:rPr>
        <w:t xml:space="preserve">  </w:t>
      </w:r>
      <w:r w:rsidR="001A3D8B" w:rsidRPr="000663A3">
        <w:rPr>
          <w:rFonts w:ascii="Times New Roman" w:hAnsi="Times New Roman"/>
          <w:sz w:val="20"/>
          <w:szCs w:val="18"/>
        </w:rPr>
        <w:t>to</w:t>
      </w:r>
      <w:r w:rsidRPr="000663A3">
        <w:rPr>
          <w:rFonts w:ascii="Times New Roman" w:hAnsi="Times New Roman"/>
          <w:sz w:val="20"/>
          <w:szCs w:val="18"/>
        </w:rPr>
        <w:t xml:space="preserve"> </w:t>
      </w:r>
      <w:r w:rsidR="001A3D8B" w:rsidRPr="000663A3">
        <w:rPr>
          <w:rFonts w:ascii="Times New Roman" w:hAnsi="Times New Roman"/>
          <w:sz w:val="20"/>
          <w:szCs w:val="18"/>
        </w:rPr>
        <w:t>15%</w:t>
      </w:r>
    </w:p>
    <w:p w:rsidR="00235E7F" w:rsidRPr="000663A3" w:rsidRDefault="001A3D8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r>
      <w:r w:rsidR="00A73561" w:rsidRPr="000663A3">
        <w:rPr>
          <w:rFonts w:ascii="Times New Roman" w:hAnsi="Times New Roman"/>
          <w:sz w:val="20"/>
          <w:szCs w:val="18"/>
        </w:rPr>
        <w:t>Less than 10%</w:t>
      </w:r>
    </w:p>
    <w:p w:rsidR="00235E7F" w:rsidRPr="000663A3" w:rsidRDefault="00235E7F" w:rsidP="00A73561">
      <w:pPr>
        <w:spacing w:after="0" w:line="240" w:lineRule="auto"/>
        <w:jc w:val="both"/>
        <w:rPr>
          <w:rFonts w:ascii="Times New Roman" w:hAnsi="Times New Roman"/>
          <w:b/>
          <w:i/>
          <w:sz w:val="20"/>
        </w:rPr>
      </w:pPr>
    </w:p>
    <w:p w:rsidR="001A3D8B" w:rsidRPr="000663A3" w:rsidRDefault="001554A8"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Unassigned Fund Balance</w:t>
      </w:r>
      <w:r w:rsidR="001A3D8B" w:rsidRPr="000663A3">
        <w:rPr>
          <w:rFonts w:ascii="Times New Roman" w:hAnsi="Times New Roman"/>
          <w:b/>
          <w:i/>
          <w:sz w:val="20"/>
        </w:rPr>
        <w:t xml:space="preserve">: </w:t>
      </w:r>
      <w:r w:rsidRPr="000663A3">
        <w:rPr>
          <w:rFonts w:ascii="Times New Roman" w:hAnsi="Times New Roman"/>
          <w:sz w:val="20"/>
        </w:rPr>
        <w:t>Unassigned fund balance vs. total revenue</w:t>
      </w:r>
      <w:r w:rsidR="001A3D8B" w:rsidRPr="000663A3">
        <w:rPr>
          <w:rFonts w:ascii="Times New Roman" w:hAnsi="Times New Roman"/>
          <w:sz w:val="20"/>
        </w:rPr>
        <w:t>.</w:t>
      </w:r>
    </w:p>
    <w:p w:rsidR="001A3D8B" w:rsidRPr="000663A3" w:rsidRDefault="001A3D8B" w:rsidP="00A73561">
      <w:pPr>
        <w:spacing w:after="0" w:line="240" w:lineRule="auto"/>
        <w:jc w:val="both"/>
        <w:rPr>
          <w:rFonts w:ascii="Times New Roman" w:hAnsi="Times New Roman"/>
          <w:b/>
          <w:i/>
          <w:sz w:val="16"/>
        </w:rPr>
      </w:pPr>
    </w:p>
    <w:p w:rsidR="001A3D8B" w:rsidRPr="000663A3" w:rsidRDefault="001A3D8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 xml:space="preserve">Less than </w:t>
      </w:r>
      <w:r w:rsidR="001554A8" w:rsidRPr="000663A3">
        <w:rPr>
          <w:rFonts w:ascii="Times New Roman" w:hAnsi="Times New Roman"/>
          <w:sz w:val="20"/>
          <w:szCs w:val="18"/>
        </w:rPr>
        <w:t>5</w:t>
      </w:r>
      <w:r w:rsidRPr="000663A3">
        <w:rPr>
          <w:rFonts w:ascii="Times New Roman" w:hAnsi="Times New Roman"/>
          <w:sz w:val="20"/>
          <w:szCs w:val="18"/>
        </w:rPr>
        <w:t>%</w:t>
      </w:r>
    </w:p>
    <w:p w:rsidR="001A3D8B" w:rsidRPr="000663A3" w:rsidRDefault="001A3D8B"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t xml:space="preserve">From </w:t>
      </w:r>
      <w:r w:rsidR="001554A8" w:rsidRPr="000663A3">
        <w:rPr>
          <w:rFonts w:ascii="Times New Roman" w:hAnsi="Times New Roman"/>
          <w:sz w:val="20"/>
          <w:szCs w:val="18"/>
        </w:rPr>
        <w:t>5</w:t>
      </w:r>
      <w:r w:rsidRPr="000663A3">
        <w:rPr>
          <w:rFonts w:ascii="Times New Roman" w:hAnsi="Times New Roman"/>
          <w:sz w:val="20"/>
          <w:szCs w:val="18"/>
        </w:rPr>
        <w:t>%  to 1</w:t>
      </w:r>
      <w:r w:rsidR="001554A8" w:rsidRPr="000663A3">
        <w:rPr>
          <w:rFonts w:ascii="Times New Roman" w:hAnsi="Times New Roman"/>
          <w:sz w:val="20"/>
          <w:szCs w:val="18"/>
        </w:rPr>
        <w:t>0</w:t>
      </w:r>
      <w:r w:rsidRPr="000663A3">
        <w:rPr>
          <w:rFonts w:ascii="Times New Roman" w:hAnsi="Times New Roman"/>
          <w:sz w:val="20"/>
          <w:szCs w:val="18"/>
        </w:rPr>
        <w:t>%</w:t>
      </w:r>
    </w:p>
    <w:p w:rsidR="001A3D8B" w:rsidRPr="000663A3" w:rsidRDefault="001A3D8B" w:rsidP="00E5471C">
      <w:pPr>
        <w:pStyle w:val="ListParagraph"/>
        <w:numPr>
          <w:ilvl w:val="0"/>
          <w:numId w:val="1"/>
        </w:numPr>
        <w:tabs>
          <w:tab w:val="left" w:pos="1536"/>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r>
      <w:r w:rsidR="00E5471C" w:rsidRPr="000663A3">
        <w:rPr>
          <w:rFonts w:ascii="Times New Roman" w:hAnsi="Times New Roman"/>
          <w:sz w:val="20"/>
          <w:szCs w:val="18"/>
        </w:rPr>
        <w:tab/>
      </w:r>
      <w:r w:rsidRPr="000663A3">
        <w:rPr>
          <w:rFonts w:ascii="Times New Roman" w:hAnsi="Times New Roman"/>
          <w:sz w:val="20"/>
          <w:szCs w:val="18"/>
        </w:rPr>
        <w:t>Greater than 1</w:t>
      </w:r>
      <w:r w:rsidR="001554A8" w:rsidRPr="000663A3">
        <w:rPr>
          <w:rFonts w:ascii="Times New Roman" w:hAnsi="Times New Roman"/>
          <w:sz w:val="20"/>
          <w:szCs w:val="18"/>
        </w:rPr>
        <w:t>0</w:t>
      </w:r>
      <w:r w:rsidRPr="000663A3">
        <w:rPr>
          <w:rFonts w:ascii="Times New Roman" w:hAnsi="Times New Roman"/>
          <w:sz w:val="20"/>
          <w:szCs w:val="18"/>
        </w:rPr>
        <w:t>%</w:t>
      </w:r>
    </w:p>
    <w:p w:rsidR="001A3D8B" w:rsidRPr="000663A3" w:rsidRDefault="001A3D8B" w:rsidP="00A73561">
      <w:pPr>
        <w:spacing w:after="0" w:line="240" w:lineRule="auto"/>
        <w:jc w:val="both"/>
        <w:rPr>
          <w:rFonts w:ascii="Times New Roman" w:hAnsi="Times New Roman"/>
          <w:b/>
          <w:i/>
          <w:sz w:val="20"/>
        </w:rPr>
      </w:pPr>
    </w:p>
    <w:p w:rsidR="009F6E5E" w:rsidRPr="000663A3" w:rsidRDefault="009F6E5E" w:rsidP="00A73561">
      <w:pPr>
        <w:spacing w:after="0" w:line="240" w:lineRule="auto"/>
        <w:jc w:val="both"/>
        <w:rPr>
          <w:rFonts w:ascii="Times New Roman" w:hAnsi="Times New Roman"/>
          <w:b/>
          <w:i/>
          <w:sz w:val="20"/>
        </w:rPr>
      </w:pPr>
    </w:p>
    <w:p w:rsidR="009F6E5E" w:rsidRPr="000663A3" w:rsidRDefault="009F6E5E" w:rsidP="00A73561">
      <w:pPr>
        <w:spacing w:after="0" w:line="240" w:lineRule="auto"/>
        <w:jc w:val="both"/>
        <w:rPr>
          <w:rFonts w:ascii="Times New Roman" w:hAnsi="Times New Roman"/>
          <w:b/>
          <w:i/>
          <w:sz w:val="20"/>
        </w:rPr>
      </w:pPr>
    </w:p>
    <w:p w:rsidR="00A73561" w:rsidRPr="000663A3" w:rsidRDefault="00A73561"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Debt Payout Ratio: </w:t>
      </w:r>
      <w:r w:rsidRPr="000663A3">
        <w:rPr>
          <w:rFonts w:ascii="Times New Roman" w:hAnsi="Times New Roman"/>
          <w:sz w:val="20"/>
        </w:rPr>
        <w:t>Measurement of how much debt is paid off in ten years.</w:t>
      </w:r>
    </w:p>
    <w:p w:rsidR="00A73561" w:rsidRPr="000663A3" w:rsidRDefault="00A73561" w:rsidP="00A73561">
      <w:pPr>
        <w:spacing w:after="0" w:line="240" w:lineRule="auto"/>
        <w:jc w:val="both"/>
        <w:rPr>
          <w:rFonts w:ascii="Times New Roman" w:hAnsi="Times New Roman"/>
          <w:b/>
          <w:i/>
          <w:sz w:val="16"/>
        </w:rPr>
      </w:pP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Less than 50%</w:t>
      </w: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t>From 50%  to 60%</w:t>
      </w: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Greater than 60%</w:t>
      </w:r>
    </w:p>
    <w:p w:rsidR="00A73561" w:rsidRPr="000663A3" w:rsidRDefault="00A73561" w:rsidP="00A73561">
      <w:pPr>
        <w:tabs>
          <w:tab w:val="left" w:pos="2430"/>
        </w:tabs>
        <w:spacing w:after="0" w:line="240" w:lineRule="auto"/>
        <w:jc w:val="both"/>
        <w:rPr>
          <w:rFonts w:ascii="Times New Roman" w:hAnsi="Times New Roman"/>
          <w:sz w:val="20"/>
          <w:szCs w:val="18"/>
        </w:rPr>
      </w:pPr>
    </w:p>
    <w:p w:rsidR="00A73561" w:rsidRPr="000663A3" w:rsidRDefault="00A73561"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 xml:space="preserve">Total Debt vs. Total Valuation: </w:t>
      </w:r>
    </w:p>
    <w:p w:rsidR="00A73561" w:rsidRPr="000663A3" w:rsidRDefault="00A73561" w:rsidP="00A73561">
      <w:pPr>
        <w:spacing w:after="0" w:line="240" w:lineRule="auto"/>
        <w:jc w:val="both"/>
        <w:rPr>
          <w:rFonts w:ascii="Times New Roman" w:hAnsi="Times New Roman"/>
          <w:b/>
          <w:i/>
          <w:sz w:val="16"/>
        </w:rPr>
      </w:pP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Poor</w:t>
      </w:r>
      <w:r w:rsidRPr="000663A3">
        <w:rPr>
          <w:rFonts w:ascii="Times New Roman" w:hAnsi="Times New Roman"/>
          <w:sz w:val="20"/>
          <w:szCs w:val="18"/>
        </w:rPr>
        <w:tab/>
        <w:t>Greater than 6%</w:t>
      </w: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Adequate</w:t>
      </w:r>
      <w:r w:rsidRPr="000663A3">
        <w:rPr>
          <w:rFonts w:ascii="Times New Roman" w:hAnsi="Times New Roman"/>
          <w:sz w:val="20"/>
          <w:szCs w:val="18"/>
        </w:rPr>
        <w:tab/>
        <w:t>From 2%  to 6%</w:t>
      </w:r>
    </w:p>
    <w:p w:rsidR="00A73561" w:rsidRPr="000663A3" w:rsidRDefault="00A73561" w:rsidP="00A73561">
      <w:pPr>
        <w:pStyle w:val="ListParagraph"/>
        <w:numPr>
          <w:ilvl w:val="0"/>
          <w:numId w:val="1"/>
        </w:numPr>
        <w:tabs>
          <w:tab w:val="left" w:pos="2430"/>
        </w:tabs>
        <w:spacing w:after="0" w:line="240" w:lineRule="auto"/>
        <w:ind w:left="720"/>
        <w:jc w:val="both"/>
        <w:rPr>
          <w:rFonts w:ascii="Times New Roman" w:hAnsi="Times New Roman"/>
          <w:sz w:val="20"/>
          <w:szCs w:val="18"/>
        </w:rPr>
      </w:pPr>
      <w:r w:rsidRPr="000663A3">
        <w:rPr>
          <w:rFonts w:ascii="Times New Roman" w:hAnsi="Times New Roman"/>
          <w:sz w:val="20"/>
          <w:szCs w:val="18"/>
        </w:rPr>
        <w:t>Strong</w:t>
      </w:r>
      <w:r w:rsidRPr="000663A3">
        <w:rPr>
          <w:rFonts w:ascii="Times New Roman" w:hAnsi="Times New Roman"/>
          <w:sz w:val="20"/>
          <w:szCs w:val="18"/>
        </w:rPr>
        <w:tab/>
        <w:t>Less than 2%</w:t>
      </w:r>
    </w:p>
    <w:p w:rsidR="001A3D8B" w:rsidRPr="000663A3" w:rsidRDefault="001A3D8B" w:rsidP="00A73561">
      <w:pPr>
        <w:spacing w:after="0" w:line="240" w:lineRule="auto"/>
        <w:jc w:val="both"/>
        <w:rPr>
          <w:rFonts w:ascii="Times New Roman" w:hAnsi="Times New Roman"/>
          <w:b/>
          <w:i/>
          <w:sz w:val="20"/>
        </w:rPr>
      </w:pPr>
    </w:p>
    <w:p w:rsidR="00DC5D28" w:rsidRPr="000663A3" w:rsidRDefault="00DC5D28" w:rsidP="00A73561">
      <w:pPr>
        <w:spacing w:after="0" w:line="240" w:lineRule="auto"/>
        <w:jc w:val="both"/>
        <w:rPr>
          <w:rFonts w:ascii="Times New Roman" w:hAnsi="Times New Roman"/>
          <w:b/>
          <w:i/>
          <w:sz w:val="20"/>
        </w:rPr>
      </w:pPr>
    </w:p>
    <w:p w:rsidR="00DC5D28" w:rsidRPr="000663A3" w:rsidRDefault="00DC5D28" w:rsidP="00DC5D28">
      <w:pPr>
        <w:spacing w:after="0" w:line="240" w:lineRule="auto"/>
        <w:jc w:val="both"/>
        <w:rPr>
          <w:rFonts w:ascii="Times New Roman" w:hAnsi="Times New Roman"/>
          <w:b/>
          <w:i/>
          <w:u w:val="single"/>
        </w:rPr>
      </w:pPr>
      <w:r w:rsidRPr="000663A3">
        <w:rPr>
          <w:rFonts w:ascii="Times New Roman" w:hAnsi="Times New Roman"/>
          <w:b/>
          <w:i/>
          <w:u w:val="single"/>
        </w:rPr>
        <w:t>Other Factors</w:t>
      </w:r>
      <w:r w:rsidR="00E5471C" w:rsidRPr="000663A3">
        <w:rPr>
          <w:rFonts w:ascii="Times New Roman" w:hAnsi="Times New Roman"/>
          <w:b/>
          <w:i/>
          <w:u w:val="single"/>
        </w:rPr>
        <w:t>:</w:t>
      </w:r>
    </w:p>
    <w:p w:rsidR="00DC5D28" w:rsidRPr="000663A3" w:rsidRDefault="00DC5D28" w:rsidP="00A73561">
      <w:pPr>
        <w:spacing w:after="0" w:line="240" w:lineRule="auto"/>
        <w:jc w:val="both"/>
        <w:rPr>
          <w:rFonts w:ascii="Times New Roman" w:hAnsi="Times New Roman"/>
          <w:b/>
          <w:i/>
          <w:sz w:val="20"/>
        </w:rPr>
      </w:pPr>
    </w:p>
    <w:p w:rsidR="00A73561" w:rsidRPr="000663A3" w:rsidRDefault="00A73561" w:rsidP="00A73561">
      <w:pPr>
        <w:pStyle w:val="ListParagraph"/>
        <w:numPr>
          <w:ilvl w:val="0"/>
          <w:numId w:val="2"/>
        </w:numPr>
        <w:spacing w:after="0" w:line="240" w:lineRule="auto"/>
        <w:ind w:left="360"/>
        <w:jc w:val="both"/>
        <w:rPr>
          <w:rFonts w:ascii="Times New Roman" w:hAnsi="Times New Roman"/>
          <w:sz w:val="20"/>
        </w:rPr>
      </w:pPr>
      <w:r w:rsidRPr="000663A3">
        <w:rPr>
          <w:rFonts w:ascii="Times New Roman" w:hAnsi="Times New Roman"/>
          <w:b/>
          <w:i/>
          <w:sz w:val="20"/>
        </w:rPr>
        <w:t>Affordability Index</w:t>
      </w:r>
      <w:r w:rsidR="00DC5D28" w:rsidRPr="000663A3">
        <w:rPr>
          <w:rFonts w:ascii="Times New Roman" w:hAnsi="Times New Roman"/>
          <w:b/>
          <w:i/>
          <w:sz w:val="20"/>
        </w:rPr>
        <w:t xml:space="preserve"> Target</w:t>
      </w:r>
      <w:r w:rsidRPr="000663A3">
        <w:rPr>
          <w:rFonts w:ascii="Times New Roman" w:hAnsi="Times New Roman"/>
          <w:b/>
          <w:i/>
          <w:sz w:val="20"/>
        </w:rPr>
        <w:t xml:space="preserve">: </w:t>
      </w:r>
      <w:r w:rsidRPr="000663A3">
        <w:rPr>
          <w:rFonts w:ascii="Times New Roman" w:hAnsi="Times New Roman"/>
          <w:sz w:val="20"/>
        </w:rPr>
        <w:t>Annual residential bill divided by Annual Median Household Income (MHI).</w:t>
      </w:r>
    </w:p>
    <w:p w:rsidR="00A73561" w:rsidRPr="000663A3" w:rsidRDefault="00A73561" w:rsidP="00A73561">
      <w:pPr>
        <w:spacing w:after="0" w:line="240" w:lineRule="auto"/>
        <w:jc w:val="both"/>
        <w:rPr>
          <w:rFonts w:ascii="Times New Roman" w:hAnsi="Times New Roman"/>
          <w:b/>
          <w:i/>
          <w:sz w:val="16"/>
        </w:rPr>
      </w:pPr>
    </w:p>
    <w:p w:rsidR="00A73561" w:rsidRPr="000663A3" w:rsidRDefault="00DC5D28" w:rsidP="00A73561">
      <w:pPr>
        <w:pStyle w:val="ListParagraph"/>
        <w:numPr>
          <w:ilvl w:val="0"/>
          <w:numId w:val="1"/>
        </w:numPr>
        <w:tabs>
          <w:tab w:val="left" w:pos="2430"/>
        </w:tabs>
        <w:spacing w:after="0" w:line="240" w:lineRule="auto"/>
        <w:ind w:left="720"/>
        <w:jc w:val="both"/>
        <w:rPr>
          <w:rFonts w:ascii="Times New Roman" w:hAnsi="Times New Roman"/>
          <w:szCs w:val="18"/>
        </w:rPr>
      </w:pPr>
      <w:r w:rsidRPr="000663A3">
        <w:rPr>
          <w:rFonts w:ascii="Times New Roman" w:hAnsi="Times New Roman"/>
          <w:sz w:val="20"/>
        </w:rPr>
        <w:t xml:space="preserve">1%   for average gallons per month* </w:t>
      </w:r>
      <w:r w:rsidRPr="000663A3">
        <w:rPr>
          <w:rFonts w:ascii="Times New Roman" w:hAnsi="Times New Roman"/>
          <w:szCs w:val="18"/>
        </w:rPr>
        <w:t xml:space="preserve"> </w:t>
      </w:r>
    </w:p>
    <w:p w:rsidR="00A73561" w:rsidRPr="000663A3" w:rsidRDefault="00DC5D28" w:rsidP="00A73561">
      <w:pPr>
        <w:pStyle w:val="ListParagraph"/>
        <w:numPr>
          <w:ilvl w:val="0"/>
          <w:numId w:val="1"/>
        </w:numPr>
        <w:tabs>
          <w:tab w:val="left" w:pos="2430"/>
        </w:tabs>
        <w:spacing w:after="0" w:line="240" w:lineRule="auto"/>
        <w:ind w:left="720"/>
        <w:jc w:val="both"/>
        <w:rPr>
          <w:rFonts w:ascii="Times New Roman" w:hAnsi="Times New Roman"/>
          <w:szCs w:val="18"/>
        </w:rPr>
      </w:pPr>
      <w:r w:rsidRPr="000663A3">
        <w:rPr>
          <w:rFonts w:ascii="Times New Roman" w:hAnsi="Times New Roman"/>
          <w:sz w:val="20"/>
        </w:rPr>
        <w:t xml:space="preserve">2%   for 5,000 gallons per month </w:t>
      </w:r>
    </w:p>
    <w:p w:rsidR="00A73561" w:rsidRPr="000663A3" w:rsidRDefault="00A73561" w:rsidP="00A73561">
      <w:pPr>
        <w:tabs>
          <w:tab w:val="left" w:pos="2430"/>
        </w:tabs>
        <w:spacing w:after="0" w:line="240" w:lineRule="auto"/>
        <w:jc w:val="both"/>
        <w:rPr>
          <w:rFonts w:ascii="Times New Roman" w:hAnsi="Times New Roman"/>
          <w:szCs w:val="18"/>
        </w:rPr>
      </w:pPr>
    </w:p>
    <w:p w:rsidR="001A5774" w:rsidRPr="000663A3" w:rsidRDefault="001A5774" w:rsidP="001A3D8B">
      <w:pPr>
        <w:spacing w:after="0" w:line="240" w:lineRule="auto"/>
        <w:rPr>
          <w:rFonts w:ascii="Times New Roman" w:hAnsi="Times New Roman"/>
        </w:rPr>
      </w:pPr>
    </w:p>
    <w:p w:rsidR="00DE70B7" w:rsidRPr="000663A3" w:rsidRDefault="00DC5D28" w:rsidP="00DC5D28">
      <w:pPr>
        <w:tabs>
          <w:tab w:val="left" w:pos="360"/>
        </w:tabs>
        <w:rPr>
          <w:rFonts w:ascii="Times New Roman" w:hAnsi="Times New Roman"/>
          <w:sz w:val="20"/>
        </w:rPr>
      </w:pPr>
      <w:r w:rsidRPr="000663A3">
        <w:rPr>
          <w:rFonts w:ascii="Times New Roman" w:hAnsi="Times New Roman"/>
          <w:sz w:val="20"/>
        </w:rPr>
        <w:t xml:space="preserve">* Use the rate structure (in-town, if applicable) for residential customers and apply it to the average monthly residential water usage to derive the average monthly user rate for evaluation under the DWSRF Program.  The average monthly residential water usage is to be based on </w:t>
      </w:r>
      <w:r w:rsidR="00820188" w:rsidRPr="000663A3">
        <w:rPr>
          <w:rFonts w:ascii="Times New Roman" w:hAnsi="Times New Roman"/>
          <w:sz w:val="20"/>
        </w:rPr>
        <w:t xml:space="preserve">the aggregate </w:t>
      </w:r>
      <w:r w:rsidRPr="000663A3">
        <w:rPr>
          <w:rFonts w:ascii="Times New Roman" w:hAnsi="Times New Roman"/>
          <w:sz w:val="20"/>
        </w:rPr>
        <w:t>residential water meter data.  Waterworks are expected to meet or exceed the target rate criteria at the time of project completion</w:t>
      </w:r>
      <w:r w:rsidR="00DE70B7" w:rsidRPr="000663A3">
        <w:rPr>
          <w:rFonts w:ascii="Times New Roman" w:hAnsi="Times New Roman"/>
          <w:sz w:val="20"/>
        </w:rPr>
        <w:t>.</w:t>
      </w:r>
    </w:p>
    <w:p w:rsidR="009F6E5E" w:rsidRPr="000663A3" w:rsidRDefault="009F6E5E" w:rsidP="00DC5D28">
      <w:pPr>
        <w:tabs>
          <w:tab w:val="left" w:pos="360"/>
        </w:tabs>
        <w:rPr>
          <w:rFonts w:ascii="Times New Roman" w:hAnsi="Times New Roman"/>
          <w:b/>
          <w:i/>
          <w:u w:val="single"/>
        </w:rPr>
      </w:pPr>
    </w:p>
    <w:p w:rsidR="00DE70B7" w:rsidRPr="000663A3" w:rsidRDefault="006335B8" w:rsidP="00DC5D28">
      <w:pPr>
        <w:tabs>
          <w:tab w:val="left" w:pos="360"/>
        </w:tabs>
        <w:rPr>
          <w:rFonts w:ascii="Times New Roman" w:hAnsi="Times New Roman"/>
          <w:b/>
          <w:i/>
          <w:u w:val="single"/>
        </w:rPr>
      </w:pPr>
      <w:r w:rsidRPr="000663A3">
        <w:rPr>
          <w:rFonts w:ascii="Times New Roman" w:hAnsi="Times New Roman"/>
          <w:b/>
          <w:i/>
          <w:u w:val="single"/>
        </w:rPr>
        <w:t>Other C</w:t>
      </w:r>
      <w:r w:rsidR="00DE70B7" w:rsidRPr="000663A3">
        <w:rPr>
          <w:rFonts w:ascii="Times New Roman" w:hAnsi="Times New Roman"/>
          <w:b/>
          <w:i/>
          <w:u w:val="single"/>
        </w:rPr>
        <w:t>onsiderations:</w:t>
      </w:r>
    </w:p>
    <w:p w:rsidR="00947F56" w:rsidRPr="000663A3" w:rsidRDefault="00947F56" w:rsidP="00DE70B7">
      <w:pPr>
        <w:tabs>
          <w:tab w:val="left" w:pos="360"/>
        </w:tabs>
        <w:rPr>
          <w:rFonts w:ascii="Times New Roman" w:hAnsi="Times New Roman"/>
          <w:sz w:val="20"/>
        </w:rPr>
      </w:pPr>
      <w:r w:rsidRPr="000663A3">
        <w:rPr>
          <w:rFonts w:ascii="Times New Roman" w:hAnsi="Times New Roman"/>
          <w:sz w:val="20"/>
        </w:rPr>
        <w:t>Experience has shown that fairly structured utility rates that implement gradual rate increases annually have been the most acceptable to the ratepayers</w:t>
      </w:r>
      <w:r w:rsidR="003301A5" w:rsidRPr="000663A3">
        <w:rPr>
          <w:rFonts w:ascii="Times New Roman" w:hAnsi="Times New Roman"/>
          <w:sz w:val="20"/>
        </w:rPr>
        <w:t xml:space="preserve"> and most effective in keeping revenue at pace with costs</w:t>
      </w:r>
      <w:r w:rsidRPr="000663A3">
        <w:rPr>
          <w:rFonts w:ascii="Times New Roman" w:hAnsi="Times New Roman"/>
          <w:sz w:val="20"/>
        </w:rPr>
        <w:t>.</w:t>
      </w:r>
      <w:r w:rsidR="00820188" w:rsidRPr="000663A3">
        <w:rPr>
          <w:rFonts w:ascii="Times New Roman" w:hAnsi="Times New Roman"/>
          <w:sz w:val="20"/>
        </w:rPr>
        <w:t xml:space="preserve">  VDH recommends rate adjustments to ens</w:t>
      </w:r>
      <w:r w:rsidR="006335B8" w:rsidRPr="000663A3">
        <w:rPr>
          <w:rFonts w:ascii="Times New Roman" w:hAnsi="Times New Roman"/>
          <w:sz w:val="20"/>
        </w:rPr>
        <w:t>ure</w:t>
      </w:r>
      <w:r w:rsidR="00820188" w:rsidRPr="000663A3">
        <w:rPr>
          <w:rFonts w:ascii="Times New Roman" w:hAnsi="Times New Roman"/>
          <w:sz w:val="20"/>
        </w:rPr>
        <w:t xml:space="preserve"> minimum compound revenue increase</w:t>
      </w:r>
      <w:r w:rsidR="006335B8" w:rsidRPr="000663A3">
        <w:rPr>
          <w:rFonts w:ascii="Times New Roman" w:hAnsi="Times New Roman"/>
          <w:sz w:val="20"/>
        </w:rPr>
        <w:t>s</w:t>
      </w:r>
      <w:r w:rsidR="00820188" w:rsidRPr="000663A3">
        <w:rPr>
          <w:rFonts w:ascii="Times New Roman" w:hAnsi="Times New Roman"/>
          <w:sz w:val="20"/>
        </w:rPr>
        <w:t xml:space="preserve"> of 2%</w:t>
      </w:r>
      <w:r w:rsidR="00820188" w:rsidRPr="000663A3">
        <w:rPr>
          <w:rStyle w:val="FootnoteReference"/>
          <w:rFonts w:ascii="Times New Roman" w:hAnsi="Times New Roman"/>
          <w:sz w:val="20"/>
        </w:rPr>
        <w:footnoteReference w:id="3"/>
      </w:r>
      <w:r w:rsidR="00820188" w:rsidRPr="000663A3">
        <w:rPr>
          <w:rFonts w:ascii="Times New Roman" w:hAnsi="Times New Roman"/>
          <w:sz w:val="20"/>
        </w:rPr>
        <w:t xml:space="preserve"> each year.</w:t>
      </w:r>
      <w:r w:rsidRPr="000663A3">
        <w:rPr>
          <w:rFonts w:ascii="Times New Roman" w:hAnsi="Times New Roman"/>
          <w:sz w:val="20"/>
        </w:rPr>
        <w:t xml:space="preserve"> </w:t>
      </w:r>
    </w:p>
    <w:p w:rsidR="00DE70B7" w:rsidRPr="000663A3" w:rsidRDefault="00DE70B7" w:rsidP="00DE70B7">
      <w:pPr>
        <w:tabs>
          <w:tab w:val="left" w:pos="360"/>
        </w:tabs>
        <w:rPr>
          <w:rFonts w:ascii="Times New Roman" w:hAnsi="Times New Roman"/>
          <w:sz w:val="20"/>
        </w:rPr>
      </w:pPr>
      <w:r w:rsidRPr="000663A3">
        <w:rPr>
          <w:rFonts w:ascii="Times New Roman" w:hAnsi="Times New Roman"/>
          <w:sz w:val="20"/>
        </w:rPr>
        <w:t xml:space="preserve">VDH recommends waterworks implement a revenue growth model that factors in increases </w:t>
      </w:r>
      <w:r w:rsidR="00653916" w:rsidRPr="000663A3">
        <w:rPr>
          <w:rFonts w:ascii="Times New Roman" w:hAnsi="Times New Roman"/>
          <w:sz w:val="20"/>
        </w:rPr>
        <w:t>(e.g. operational costs, inflation, etc.)</w:t>
      </w:r>
      <w:r w:rsidR="00CB1AE8" w:rsidRPr="000663A3">
        <w:rPr>
          <w:rFonts w:ascii="Times New Roman" w:hAnsi="Times New Roman"/>
          <w:sz w:val="20"/>
        </w:rPr>
        <w:t>,</w:t>
      </w:r>
      <w:r w:rsidR="00653916" w:rsidRPr="000663A3">
        <w:rPr>
          <w:rFonts w:ascii="Times New Roman" w:hAnsi="Times New Roman"/>
          <w:sz w:val="20"/>
        </w:rPr>
        <w:t xml:space="preserve"> other costs</w:t>
      </w:r>
      <w:r w:rsidR="00CB1AE8" w:rsidRPr="000663A3">
        <w:rPr>
          <w:rFonts w:ascii="Times New Roman" w:hAnsi="Times New Roman"/>
          <w:sz w:val="20"/>
        </w:rPr>
        <w:t xml:space="preserve"> (e.g. asset/equipment replacements, </w:t>
      </w:r>
      <w:r w:rsidR="007A33A0" w:rsidRPr="000663A3">
        <w:rPr>
          <w:rFonts w:ascii="Times New Roman" w:hAnsi="Times New Roman"/>
          <w:sz w:val="20"/>
        </w:rPr>
        <w:t xml:space="preserve">technology upgrades, </w:t>
      </w:r>
      <w:r w:rsidR="00CB1AE8" w:rsidRPr="000663A3">
        <w:rPr>
          <w:rFonts w:ascii="Times New Roman" w:hAnsi="Times New Roman"/>
          <w:sz w:val="20"/>
        </w:rPr>
        <w:t xml:space="preserve">capital improvements, etc.), </w:t>
      </w:r>
      <w:r w:rsidRPr="000663A3">
        <w:rPr>
          <w:rFonts w:ascii="Times New Roman" w:hAnsi="Times New Roman"/>
          <w:sz w:val="20"/>
        </w:rPr>
        <w:t xml:space="preserve">and </w:t>
      </w:r>
      <w:r w:rsidR="00CB1AE8" w:rsidRPr="000663A3">
        <w:rPr>
          <w:rFonts w:ascii="Times New Roman" w:hAnsi="Times New Roman"/>
          <w:sz w:val="20"/>
        </w:rPr>
        <w:t>takes into account other potential revenue reductions (e.g. future regula</w:t>
      </w:r>
      <w:r w:rsidR="007A33A0" w:rsidRPr="000663A3">
        <w:rPr>
          <w:rFonts w:ascii="Times New Roman" w:hAnsi="Times New Roman"/>
          <w:sz w:val="20"/>
        </w:rPr>
        <w:t>tions,</w:t>
      </w:r>
      <w:r w:rsidR="00CB1AE8" w:rsidRPr="000663A3">
        <w:rPr>
          <w:rFonts w:ascii="Times New Roman" w:hAnsi="Times New Roman"/>
          <w:sz w:val="20"/>
        </w:rPr>
        <w:t xml:space="preserve"> </w:t>
      </w:r>
      <w:r w:rsidR="007A33A0" w:rsidRPr="000663A3">
        <w:rPr>
          <w:rFonts w:ascii="Times New Roman" w:hAnsi="Times New Roman"/>
          <w:sz w:val="20"/>
        </w:rPr>
        <w:t xml:space="preserve">reductions from </w:t>
      </w:r>
      <w:r w:rsidR="009C7694" w:rsidRPr="000663A3">
        <w:rPr>
          <w:rFonts w:ascii="Times New Roman" w:hAnsi="Times New Roman"/>
          <w:sz w:val="20"/>
        </w:rPr>
        <w:t xml:space="preserve">water conservation, </w:t>
      </w:r>
      <w:r w:rsidR="00CB1AE8" w:rsidRPr="000663A3">
        <w:rPr>
          <w:rFonts w:ascii="Times New Roman" w:hAnsi="Times New Roman"/>
          <w:sz w:val="20"/>
        </w:rPr>
        <w:t>etc.).</w:t>
      </w:r>
      <w:r w:rsidR="009C7694" w:rsidRPr="000663A3">
        <w:rPr>
          <w:rFonts w:ascii="Times New Roman" w:hAnsi="Times New Roman"/>
          <w:sz w:val="20"/>
        </w:rPr>
        <w:t xml:space="preserve">  </w:t>
      </w:r>
    </w:p>
    <w:p w:rsidR="00DE70B7" w:rsidRPr="000663A3" w:rsidRDefault="00DE70B7" w:rsidP="00DE70B7">
      <w:pPr>
        <w:tabs>
          <w:tab w:val="left" w:pos="360"/>
        </w:tabs>
        <w:rPr>
          <w:rFonts w:ascii="Times New Roman" w:hAnsi="Times New Roman"/>
          <w:sz w:val="20"/>
        </w:rPr>
      </w:pPr>
      <w:r w:rsidRPr="000663A3">
        <w:rPr>
          <w:rFonts w:ascii="Times New Roman" w:hAnsi="Times New Roman"/>
          <w:sz w:val="20"/>
        </w:rPr>
        <w:t xml:space="preserve">VDH recommends waterworks establish and fund a </w:t>
      </w:r>
      <w:r w:rsidR="00227221" w:rsidRPr="000663A3">
        <w:rPr>
          <w:rFonts w:ascii="Times New Roman" w:hAnsi="Times New Roman"/>
          <w:sz w:val="20"/>
        </w:rPr>
        <w:t xml:space="preserve">protected </w:t>
      </w:r>
      <w:r w:rsidRPr="000663A3">
        <w:rPr>
          <w:rFonts w:ascii="Times New Roman" w:hAnsi="Times New Roman"/>
          <w:sz w:val="20"/>
        </w:rPr>
        <w:t>capital reserve fund that adequately supports capital improvements and asset replacements.</w:t>
      </w:r>
    </w:p>
    <w:p w:rsidR="00227221" w:rsidRPr="000663A3" w:rsidRDefault="00227221" w:rsidP="00227221">
      <w:pPr>
        <w:spacing w:after="0" w:line="240" w:lineRule="auto"/>
        <w:rPr>
          <w:rFonts w:ascii="Times New Roman" w:hAnsi="Times New Roman"/>
          <w:sz w:val="20"/>
        </w:rPr>
      </w:pPr>
      <w:r w:rsidRPr="000663A3">
        <w:rPr>
          <w:rFonts w:ascii="Times New Roman" w:hAnsi="Times New Roman"/>
          <w:sz w:val="20"/>
        </w:rPr>
        <w:t>Three key elements to an effective revenue protection plan:</w:t>
      </w:r>
    </w:p>
    <w:p w:rsidR="00227221" w:rsidRPr="000663A3" w:rsidRDefault="00227221" w:rsidP="00227221">
      <w:pPr>
        <w:pStyle w:val="ListParagraph"/>
        <w:numPr>
          <w:ilvl w:val="0"/>
          <w:numId w:val="5"/>
        </w:numPr>
        <w:spacing w:after="0" w:line="240" w:lineRule="auto"/>
        <w:rPr>
          <w:rFonts w:ascii="Times New Roman" w:hAnsi="Times New Roman"/>
          <w:sz w:val="20"/>
        </w:rPr>
      </w:pPr>
      <w:r w:rsidRPr="000663A3">
        <w:rPr>
          <w:rFonts w:ascii="Times New Roman" w:hAnsi="Times New Roman"/>
          <w:sz w:val="20"/>
        </w:rPr>
        <w:t>Protect the fund from being used for other purposes.</w:t>
      </w:r>
    </w:p>
    <w:p w:rsidR="00227221" w:rsidRPr="000663A3" w:rsidRDefault="00227221" w:rsidP="00227221">
      <w:pPr>
        <w:pStyle w:val="ListParagraph"/>
        <w:numPr>
          <w:ilvl w:val="0"/>
          <w:numId w:val="5"/>
        </w:numPr>
        <w:spacing w:after="0" w:line="240" w:lineRule="auto"/>
        <w:rPr>
          <w:rFonts w:ascii="Times New Roman" w:hAnsi="Times New Roman"/>
          <w:sz w:val="20"/>
        </w:rPr>
      </w:pPr>
      <w:r w:rsidRPr="000663A3">
        <w:rPr>
          <w:rFonts w:ascii="Times New Roman" w:hAnsi="Times New Roman"/>
          <w:sz w:val="20"/>
        </w:rPr>
        <w:t>Provide for the future needs for replacement and upgrades,</w:t>
      </w:r>
    </w:p>
    <w:p w:rsidR="00227221" w:rsidRPr="000663A3" w:rsidRDefault="00227221" w:rsidP="00227221">
      <w:pPr>
        <w:pStyle w:val="ListParagraph"/>
        <w:numPr>
          <w:ilvl w:val="0"/>
          <w:numId w:val="5"/>
        </w:numPr>
        <w:spacing w:after="0" w:line="240" w:lineRule="auto"/>
        <w:rPr>
          <w:rFonts w:ascii="Times New Roman" w:hAnsi="Times New Roman"/>
          <w:sz w:val="20"/>
        </w:rPr>
      </w:pPr>
      <w:r w:rsidRPr="000663A3">
        <w:rPr>
          <w:rFonts w:ascii="Times New Roman" w:hAnsi="Times New Roman"/>
          <w:sz w:val="20"/>
        </w:rPr>
        <w:t xml:space="preserve">Maintain the fund value at the necessary levels to sustain operations in perpetuity </w:t>
      </w:r>
    </w:p>
    <w:p w:rsidR="00227221" w:rsidRPr="000663A3" w:rsidRDefault="00227221" w:rsidP="001A3D8B">
      <w:pPr>
        <w:spacing w:after="0" w:line="240" w:lineRule="auto"/>
        <w:rPr>
          <w:rFonts w:ascii="Times New Roman" w:hAnsi="Times New Roman"/>
          <w:sz w:val="20"/>
        </w:rPr>
      </w:pPr>
    </w:p>
    <w:p w:rsidR="00DC5D28" w:rsidRPr="000663A3" w:rsidRDefault="00DE70B7" w:rsidP="001A3D8B">
      <w:pPr>
        <w:spacing w:after="0" w:line="240" w:lineRule="auto"/>
        <w:rPr>
          <w:rFonts w:ascii="Times New Roman" w:hAnsi="Times New Roman"/>
          <w:sz w:val="20"/>
        </w:rPr>
      </w:pPr>
      <w:r w:rsidRPr="000663A3">
        <w:rPr>
          <w:rFonts w:ascii="Times New Roman" w:hAnsi="Times New Roman"/>
          <w:sz w:val="20"/>
        </w:rPr>
        <w:t xml:space="preserve">VDH reserves the right to require an implementation schedule acceptable to VDH for those waterworks that may need additional time for implementation of significant rate increases.  </w:t>
      </w:r>
    </w:p>
    <w:sectPr w:rsidR="00DC5D28" w:rsidRPr="000663A3" w:rsidSect="007A33A0">
      <w:pgSz w:w="12240" w:h="15840"/>
      <w:pgMar w:top="1152" w:right="1296"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1C" w:rsidRDefault="00E5471C" w:rsidP="00E5471C">
      <w:pPr>
        <w:spacing w:after="0" w:line="240" w:lineRule="auto"/>
      </w:pPr>
      <w:r>
        <w:separator/>
      </w:r>
    </w:p>
  </w:endnote>
  <w:endnote w:type="continuationSeparator" w:id="0">
    <w:p w:rsidR="00E5471C" w:rsidRDefault="00E5471C" w:rsidP="00E5471C">
      <w:pPr>
        <w:spacing w:after="0" w:line="240" w:lineRule="auto"/>
      </w:pPr>
      <w:r>
        <w:continuationSeparator/>
      </w:r>
    </w:p>
  </w:endnote>
  <w:endnote w:type="continuationNotice" w:id="1">
    <w:p w:rsidR="0010199B" w:rsidRDefault="0010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1C" w:rsidRDefault="00E5471C" w:rsidP="00E5471C">
      <w:pPr>
        <w:spacing w:after="0" w:line="240" w:lineRule="auto"/>
      </w:pPr>
      <w:r>
        <w:separator/>
      </w:r>
    </w:p>
  </w:footnote>
  <w:footnote w:type="continuationSeparator" w:id="0">
    <w:p w:rsidR="00E5471C" w:rsidRDefault="00E5471C" w:rsidP="00E5471C">
      <w:pPr>
        <w:spacing w:after="0" w:line="240" w:lineRule="auto"/>
      </w:pPr>
      <w:r>
        <w:continuationSeparator/>
      </w:r>
    </w:p>
  </w:footnote>
  <w:footnote w:type="continuationNotice" w:id="1">
    <w:p w:rsidR="0010199B" w:rsidRDefault="0010199B">
      <w:pPr>
        <w:spacing w:after="0" w:line="240" w:lineRule="auto"/>
      </w:pPr>
    </w:p>
  </w:footnote>
  <w:footnote w:id="2">
    <w:p w:rsidR="00E5471C" w:rsidRDefault="00E5471C">
      <w:pPr>
        <w:pStyle w:val="FootnoteText"/>
      </w:pPr>
      <w:r>
        <w:rPr>
          <w:rStyle w:val="FootnoteReference"/>
        </w:rPr>
        <w:footnoteRef/>
      </w:r>
      <w:r>
        <w:t xml:space="preserve"> </w:t>
      </w:r>
      <w:r>
        <w:rPr>
          <w:rFonts w:ascii="Arial" w:hAnsi="Arial" w:cs="Arial"/>
        </w:rPr>
        <w:t xml:space="preserve">Evaluate the </w:t>
      </w:r>
      <w:r w:rsidRPr="00E5471C">
        <w:rPr>
          <w:rFonts w:ascii="Arial" w:hAnsi="Arial" w:cs="Arial"/>
        </w:rPr>
        <w:t>debt, revenues, and expenses of the entire entity and not just the waterworks enterprise fund</w:t>
      </w:r>
    </w:p>
  </w:footnote>
  <w:footnote w:id="3">
    <w:p w:rsidR="00820188" w:rsidRPr="000663A3" w:rsidRDefault="00820188">
      <w:pPr>
        <w:pStyle w:val="FootnoteText"/>
        <w:rPr>
          <w:rFonts w:ascii="Times New Roman" w:hAnsi="Times New Roman"/>
        </w:rPr>
      </w:pPr>
      <w:r w:rsidRPr="000663A3">
        <w:rPr>
          <w:rStyle w:val="FootnoteReference"/>
          <w:rFonts w:ascii="Times New Roman" w:hAnsi="Times New Roman"/>
          <w:sz w:val="18"/>
        </w:rPr>
        <w:footnoteRef/>
      </w:r>
      <w:r w:rsidRPr="000663A3">
        <w:rPr>
          <w:rFonts w:ascii="Times New Roman" w:hAnsi="Times New Roman"/>
          <w:sz w:val="18"/>
        </w:rPr>
        <w:t xml:space="preserve"> Al</w:t>
      </w:r>
      <w:r w:rsidR="006335B8" w:rsidRPr="000663A3">
        <w:rPr>
          <w:rFonts w:ascii="Times New Roman" w:hAnsi="Times New Roman"/>
          <w:sz w:val="18"/>
        </w:rPr>
        <w:t>ternatively owners may use an inflationary linked index such as the Consumer Price Index (CPI) or the Personal Consumption Index (CPE).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638B"/>
    <w:multiLevelType w:val="hybridMultilevel"/>
    <w:tmpl w:val="44085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7B6605B"/>
    <w:multiLevelType w:val="hybridMultilevel"/>
    <w:tmpl w:val="B98A9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D6E05"/>
    <w:multiLevelType w:val="hybridMultilevel"/>
    <w:tmpl w:val="2ED6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64FB6"/>
    <w:multiLevelType w:val="hybridMultilevel"/>
    <w:tmpl w:val="9680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C3504E"/>
    <w:multiLevelType w:val="hybridMultilevel"/>
    <w:tmpl w:val="284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74"/>
    <w:rsid w:val="000663A3"/>
    <w:rsid w:val="000C0EC2"/>
    <w:rsid w:val="000F506D"/>
    <w:rsid w:val="0010199B"/>
    <w:rsid w:val="00151BA1"/>
    <w:rsid w:val="001554A8"/>
    <w:rsid w:val="00176838"/>
    <w:rsid w:val="001A3D8B"/>
    <w:rsid w:val="001A5774"/>
    <w:rsid w:val="001A793E"/>
    <w:rsid w:val="001C3384"/>
    <w:rsid w:val="00206945"/>
    <w:rsid w:val="00227221"/>
    <w:rsid w:val="00235E7F"/>
    <w:rsid w:val="003301A5"/>
    <w:rsid w:val="00436F11"/>
    <w:rsid w:val="00477F4B"/>
    <w:rsid w:val="00484608"/>
    <w:rsid w:val="00495DBF"/>
    <w:rsid w:val="00495F4D"/>
    <w:rsid w:val="004C0CA0"/>
    <w:rsid w:val="004D2431"/>
    <w:rsid w:val="0058116C"/>
    <w:rsid w:val="00620FF6"/>
    <w:rsid w:val="006335B8"/>
    <w:rsid w:val="00653916"/>
    <w:rsid w:val="006E6663"/>
    <w:rsid w:val="007114E2"/>
    <w:rsid w:val="00726E51"/>
    <w:rsid w:val="00727164"/>
    <w:rsid w:val="007A33A0"/>
    <w:rsid w:val="007A6A5B"/>
    <w:rsid w:val="00810D9A"/>
    <w:rsid w:val="00820188"/>
    <w:rsid w:val="00901BF0"/>
    <w:rsid w:val="009036F3"/>
    <w:rsid w:val="0090391B"/>
    <w:rsid w:val="00921A04"/>
    <w:rsid w:val="00947F56"/>
    <w:rsid w:val="00975715"/>
    <w:rsid w:val="009B5E3A"/>
    <w:rsid w:val="009C7694"/>
    <w:rsid w:val="009F6E5E"/>
    <w:rsid w:val="00A24BE3"/>
    <w:rsid w:val="00A73561"/>
    <w:rsid w:val="00AC47F2"/>
    <w:rsid w:val="00AC6484"/>
    <w:rsid w:val="00C015D1"/>
    <w:rsid w:val="00C16ECB"/>
    <w:rsid w:val="00C64A30"/>
    <w:rsid w:val="00C72929"/>
    <w:rsid w:val="00C84A02"/>
    <w:rsid w:val="00CB1AE8"/>
    <w:rsid w:val="00D12FDE"/>
    <w:rsid w:val="00D439AB"/>
    <w:rsid w:val="00DB5F33"/>
    <w:rsid w:val="00DC19DD"/>
    <w:rsid w:val="00DC5D28"/>
    <w:rsid w:val="00DD6771"/>
    <w:rsid w:val="00DE70B7"/>
    <w:rsid w:val="00E468F6"/>
    <w:rsid w:val="00E5471C"/>
    <w:rsid w:val="00E654DE"/>
    <w:rsid w:val="00F4533A"/>
    <w:rsid w:val="00FA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3636E-57AD-4D52-A783-A2AC7D50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74"/>
    <w:rPr>
      <w:rFonts w:ascii="Tahoma" w:hAnsi="Tahoma" w:cs="Tahoma"/>
      <w:sz w:val="16"/>
      <w:szCs w:val="16"/>
    </w:rPr>
  </w:style>
  <w:style w:type="paragraph" w:styleId="ListParagraph">
    <w:name w:val="List Paragraph"/>
    <w:basedOn w:val="Normal"/>
    <w:uiPriority w:val="34"/>
    <w:qFormat/>
    <w:rsid w:val="00921A04"/>
    <w:pPr>
      <w:ind w:left="720"/>
      <w:contextualSpacing/>
    </w:pPr>
  </w:style>
  <w:style w:type="paragraph" w:styleId="FootnoteText">
    <w:name w:val="footnote text"/>
    <w:basedOn w:val="Normal"/>
    <w:link w:val="FootnoteTextChar"/>
    <w:uiPriority w:val="99"/>
    <w:semiHidden/>
    <w:unhideWhenUsed/>
    <w:rsid w:val="00E54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71C"/>
  </w:style>
  <w:style w:type="character" w:styleId="FootnoteReference">
    <w:name w:val="footnote reference"/>
    <w:basedOn w:val="DefaultParagraphFont"/>
    <w:uiPriority w:val="99"/>
    <w:semiHidden/>
    <w:unhideWhenUsed/>
    <w:rsid w:val="00E5471C"/>
    <w:rPr>
      <w:vertAlign w:val="superscript"/>
    </w:rPr>
  </w:style>
  <w:style w:type="paragraph" w:styleId="Header">
    <w:name w:val="header"/>
    <w:basedOn w:val="Normal"/>
    <w:link w:val="HeaderChar"/>
    <w:uiPriority w:val="99"/>
    <w:unhideWhenUsed/>
    <w:rsid w:val="0010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9B"/>
    <w:rPr>
      <w:sz w:val="22"/>
      <w:szCs w:val="22"/>
    </w:rPr>
  </w:style>
  <w:style w:type="paragraph" w:styleId="Footer">
    <w:name w:val="footer"/>
    <w:basedOn w:val="Normal"/>
    <w:link w:val="FooterChar"/>
    <w:uiPriority w:val="99"/>
    <w:unhideWhenUsed/>
    <w:rsid w:val="0010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9B"/>
    <w:rPr>
      <w:sz w:val="22"/>
      <w:szCs w:val="22"/>
    </w:rPr>
  </w:style>
  <w:style w:type="paragraph" w:styleId="Revision">
    <w:name w:val="Revision"/>
    <w:hidden/>
    <w:uiPriority w:val="99"/>
    <w:semiHidden/>
    <w:rsid w:val="0010199B"/>
    <w:rPr>
      <w:sz w:val="22"/>
      <w:szCs w:val="22"/>
    </w:rPr>
  </w:style>
  <w:style w:type="character" w:styleId="CommentReference">
    <w:name w:val="annotation reference"/>
    <w:basedOn w:val="DefaultParagraphFont"/>
    <w:uiPriority w:val="99"/>
    <w:semiHidden/>
    <w:unhideWhenUsed/>
    <w:rsid w:val="001A793E"/>
    <w:rPr>
      <w:sz w:val="16"/>
      <w:szCs w:val="16"/>
    </w:rPr>
  </w:style>
  <w:style w:type="paragraph" w:styleId="CommentText">
    <w:name w:val="annotation text"/>
    <w:basedOn w:val="Normal"/>
    <w:link w:val="CommentTextChar"/>
    <w:uiPriority w:val="99"/>
    <w:semiHidden/>
    <w:unhideWhenUsed/>
    <w:rsid w:val="001A793E"/>
    <w:pPr>
      <w:spacing w:line="240" w:lineRule="auto"/>
    </w:pPr>
    <w:rPr>
      <w:sz w:val="20"/>
      <w:szCs w:val="20"/>
    </w:rPr>
  </w:style>
  <w:style w:type="character" w:customStyle="1" w:styleId="CommentTextChar">
    <w:name w:val="Comment Text Char"/>
    <w:basedOn w:val="DefaultParagraphFont"/>
    <w:link w:val="CommentText"/>
    <w:uiPriority w:val="99"/>
    <w:semiHidden/>
    <w:rsid w:val="001A793E"/>
  </w:style>
  <w:style w:type="paragraph" w:styleId="CommentSubject">
    <w:name w:val="annotation subject"/>
    <w:basedOn w:val="CommentText"/>
    <w:next w:val="CommentText"/>
    <w:link w:val="CommentSubjectChar"/>
    <w:uiPriority w:val="99"/>
    <w:semiHidden/>
    <w:unhideWhenUsed/>
    <w:rsid w:val="001A793E"/>
    <w:rPr>
      <w:b/>
      <w:bCs/>
    </w:rPr>
  </w:style>
  <w:style w:type="character" w:customStyle="1" w:styleId="CommentSubjectChar">
    <w:name w:val="Comment Subject Char"/>
    <w:basedOn w:val="CommentTextChar"/>
    <w:link w:val="CommentSubject"/>
    <w:uiPriority w:val="99"/>
    <w:semiHidden/>
    <w:rsid w:val="001A7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0615">
      <w:bodyDiv w:val="1"/>
      <w:marLeft w:val="0"/>
      <w:marRight w:val="0"/>
      <w:marTop w:val="0"/>
      <w:marBottom w:val="0"/>
      <w:divBdr>
        <w:top w:val="none" w:sz="0" w:space="0" w:color="auto"/>
        <w:left w:val="none" w:sz="0" w:space="0" w:color="auto"/>
        <w:bottom w:val="none" w:sz="0" w:space="0" w:color="auto"/>
        <w:right w:val="none" w:sz="0" w:space="0" w:color="auto"/>
      </w:divBdr>
    </w:div>
    <w:div w:id="10291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87F8-98C1-4917-A48E-AE653716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vrd76051</dc:creator>
  <cp:lastModifiedBy>VITA Program</cp:lastModifiedBy>
  <cp:revision>6</cp:revision>
  <cp:lastPrinted>2014-01-02T14:34:00Z</cp:lastPrinted>
  <dcterms:created xsi:type="dcterms:W3CDTF">2016-12-28T19:03:00Z</dcterms:created>
  <dcterms:modified xsi:type="dcterms:W3CDTF">2019-01-03T19:20:00Z</dcterms:modified>
</cp:coreProperties>
</file>