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3" w:rsidRPr="00B54127" w:rsidRDefault="00F25213" w:rsidP="008E16C4">
      <w:pPr>
        <w:pStyle w:val="Title"/>
        <w:spacing w:after="0"/>
        <w:jc w:val="center"/>
        <w:rPr>
          <w:sz w:val="28"/>
          <w:szCs w:val="36"/>
        </w:rPr>
      </w:pPr>
      <w:r w:rsidRPr="00B54127">
        <w:rPr>
          <w:sz w:val="28"/>
          <w:szCs w:val="36"/>
        </w:rPr>
        <w:t xml:space="preserve">Improving Community Health </w:t>
      </w:r>
      <w:r w:rsidRPr="00B54127">
        <w:rPr>
          <w:sz w:val="28"/>
          <w:szCs w:val="36"/>
        </w:rPr>
        <w:br/>
        <w:t>through Planning and Partnerships</w:t>
      </w:r>
    </w:p>
    <w:p w:rsidR="00F25213" w:rsidRPr="00B54127" w:rsidRDefault="004D1DBF" w:rsidP="008E16C4">
      <w:pPr>
        <w:pStyle w:val="Subtitle"/>
        <w:spacing w:after="0" w:line="240" w:lineRule="auto"/>
        <w:jc w:val="center"/>
        <w:rPr>
          <w:b/>
          <w:color w:val="auto"/>
          <w:szCs w:val="32"/>
        </w:rPr>
      </w:pPr>
      <w:r>
        <w:rPr>
          <w:b/>
          <w:color w:val="auto"/>
          <w:szCs w:val="32"/>
        </w:rPr>
        <w:t>Louisa</w:t>
      </w:r>
      <w:r w:rsidR="00847835">
        <w:rPr>
          <w:b/>
          <w:color w:val="auto"/>
          <w:szCs w:val="32"/>
        </w:rPr>
        <w:t xml:space="preserve"> County</w:t>
      </w:r>
    </w:p>
    <w:p w:rsidR="00F25213" w:rsidRPr="00B54127" w:rsidRDefault="00F25213" w:rsidP="008E16C4">
      <w:pPr>
        <w:pStyle w:val="Subtitle"/>
        <w:spacing w:after="0" w:line="240" w:lineRule="auto"/>
        <w:jc w:val="center"/>
        <w:rPr>
          <w:b/>
          <w:color w:val="auto"/>
          <w:sz w:val="22"/>
          <w:szCs w:val="28"/>
        </w:rPr>
      </w:pPr>
      <w:r w:rsidRPr="00B54127">
        <w:rPr>
          <w:b/>
          <w:color w:val="auto"/>
          <w:szCs w:val="32"/>
        </w:rPr>
        <w:t>Community Health Status Assessment</w:t>
      </w:r>
    </w:p>
    <w:p w:rsidR="00A66BAB" w:rsidRPr="00B54127" w:rsidRDefault="00A66BAB" w:rsidP="00B54127">
      <w:pPr>
        <w:spacing w:after="0" w:line="240" w:lineRule="auto"/>
        <w:jc w:val="center"/>
        <w:rPr>
          <w:b/>
          <w:bCs/>
          <w:sz w:val="16"/>
          <w:szCs w:val="20"/>
          <w:lang w:val="fr-FR"/>
        </w:rPr>
      </w:pPr>
    </w:p>
    <w:p w:rsidR="00A66BAB" w:rsidRPr="00B54127" w:rsidRDefault="002953A2" w:rsidP="00B54127">
      <w:pPr>
        <w:spacing w:after="0" w:line="240" w:lineRule="auto"/>
        <w:jc w:val="center"/>
        <w:rPr>
          <w:b/>
          <w:bCs/>
          <w:sz w:val="24"/>
          <w:szCs w:val="28"/>
          <w:u w:val="single"/>
          <w:lang w:val="fr-FR"/>
        </w:rPr>
      </w:pPr>
      <w:r>
        <w:rPr>
          <w:b/>
          <w:bCs/>
          <w:sz w:val="24"/>
          <w:szCs w:val="28"/>
          <w:u w:val="single"/>
          <w:lang w:val="fr-FR"/>
        </w:rPr>
        <w:t>Section I</w:t>
      </w:r>
      <w:r w:rsidR="009C0B09">
        <w:rPr>
          <w:b/>
          <w:bCs/>
          <w:sz w:val="24"/>
          <w:szCs w:val="28"/>
          <w:u w:val="single"/>
          <w:lang w:val="fr-FR"/>
        </w:rPr>
        <w:t>I</w:t>
      </w:r>
      <w:r w:rsidR="00A66BAB" w:rsidRPr="00B54127">
        <w:rPr>
          <w:b/>
          <w:bCs/>
          <w:sz w:val="24"/>
          <w:szCs w:val="28"/>
          <w:u w:val="single"/>
          <w:lang w:val="fr-FR"/>
        </w:rPr>
        <w:t>:</w:t>
      </w:r>
      <w:r w:rsidR="009C0B09">
        <w:rPr>
          <w:b/>
          <w:bCs/>
          <w:sz w:val="24"/>
          <w:szCs w:val="28"/>
          <w:u w:val="single"/>
          <w:lang w:val="fr-FR"/>
        </w:rPr>
        <w:t xml:space="preserve"> </w:t>
      </w:r>
      <w:proofErr w:type="spellStart"/>
      <w:r w:rsidR="009C0B09">
        <w:rPr>
          <w:b/>
          <w:bCs/>
          <w:i/>
          <w:sz w:val="24"/>
          <w:szCs w:val="28"/>
          <w:u w:val="single"/>
          <w:lang w:val="fr-FR"/>
        </w:rPr>
        <w:t>Strengths</w:t>
      </w:r>
      <w:proofErr w:type="spellEnd"/>
      <w:r w:rsidR="009C0B09">
        <w:rPr>
          <w:b/>
          <w:bCs/>
          <w:i/>
          <w:sz w:val="24"/>
          <w:szCs w:val="28"/>
          <w:u w:val="single"/>
          <w:lang w:val="fr-FR"/>
        </w:rPr>
        <w:t xml:space="preserve"> and </w:t>
      </w:r>
      <w:proofErr w:type="spellStart"/>
      <w:r w:rsidR="009C0B09">
        <w:rPr>
          <w:b/>
          <w:bCs/>
          <w:i/>
          <w:sz w:val="24"/>
          <w:szCs w:val="28"/>
          <w:u w:val="single"/>
          <w:lang w:val="fr-FR"/>
        </w:rPr>
        <w:t>Risks</w:t>
      </w:r>
      <w:proofErr w:type="spellEnd"/>
      <w:r w:rsidR="009C0B09">
        <w:rPr>
          <w:b/>
          <w:bCs/>
          <w:i/>
          <w:sz w:val="24"/>
          <w:szCs w:val="28"/>
          <w:u w:val="single"/>
          <w:lang w:val="fr-FR"/>
        </w:rPr>
        <w:t xml:space="preserve"> in Our Community</w:t>
      </w:r>
    </w:p>
    <w:p w:rsidR="008E16C4" w:rsidRPr="00B54127" w:rsidRDefault="008E16C4" w:rsidP="008E16C4">
      <w:pPr>
        <w:spacing w:after="0" w:line="240" w:lineRule="auto"/>
        <w:rPr>
          <w:rStyle w:val="SubtleEmphasis"/>
          <w:b/>
          <w:i w:val="0"/>
          <w:color w:val="auto"/>
          <w:sz w:val="14"/>
          <w:szCs w:val="26"/>
          <w:u w:val="single"/>
        </w:rPr>
      </w:pPr>
    </w:p>
    <w:p w:rsidR="001C58E8" w:rsidRPr="00B54127" w:rsidRDefault="009C0B09" w:rsidP="00B54127">
      <w:pPr>
        <w:pStyle w:val="ListParagraph"/>
        <w:numPr>
          <w:ilvl w:val="0"/>
          <w:numId w:val="10"/>
        </w:numPr>
        <w:spacing w:after="0" w:line="240" w:lineRule="auto"/>
        <w:rPr>
          <w:rStyle w:val="SubtleEmphasis"/>
          <w:b/>
          <w:i w:val="0"/>
          <w:color w:val="auto"/>
          <w:sz w:val="24"/>
          <w:szCs w:val="26"/>
          <w:u w:val="single"/>
        </w:rPr>
      </w:pPr>
      <w:r>
        <w:rPr>
          <w:rStyle w:val="SubtleEmphasis"/>
          <w:b/>
          <w:i w:val="0"/>
          <w:color w:val="auto"/>
          <w:sz w:val="24"/>
          <w:szCs w:val="26"/>
          <w:u w:val="single"/>
        </w:rPr>
        <w:t>Behavior</w:t>
      </w:r>
      <w:r w:rsidR="00A67F0E">
        <w:rPr>
          <w:rStyle w:val="SubtleEmphasis"/>
          <w:b/>
          <w:i w:val="0"/>
          <w:color w:val="auto"/>
          <w:sz w:val="24"/>
          <w:szCs w:val="26"/>
          <w:u w:val="single"/>
        </w:rPr>
        <w:t>al</w:t>
      </w:r>
      <w:r>
        <w:rPr>
          <w:rStyle w:val="SubtleEmphasis"/>
          <w:b/>
          <w:i w:val="0"/>
          <w:color w:val="auto"/>
          <w:sz w:val="24"/>
          <w:szCs w:val="26"/>
          <w:u w:val="single"/>
        </w:rPr>
        <w:t xml:space="preserve"> Risk Factors</w:t>
      </w:r>
    </w:p>
    <w:p w:rsidR="008E16C4" w:rsidRPr="00B54127" w:rsidRDefault="008E16C4" w:rsidP="008E16C4">
      <w:pPr>
        <w:spacing w:after="0" w:line="240" w:lineRule="auto"/>
        <w:jc w:val="center"/>
        <w:rPr>
          <w:rStyle w:val="SubtleEmphasis"/>
          <w:b/>
          <w:i w:val="0"/>
          <w:color w:val="auto"/>
          <w:sz w:val="14"/>
          <w:szCs w:val="26"/>
          <w:u w:val="single"/>
        </w:rPr>
      </w:pPr>
    </w:p>
    <w:p w:rsidR="00163048" w:rsidRPr="00163048" w:rsidRDefault="009C0B09" w:rsidP="00163048">
      <w:pPr>
        <w:pStyle w:val="ListParagraph"/>
        <w:numPr>
          <w:ilvl w:val="0"/>
          <w:numId w:val="8"/>
        </w:numPr>
        <w:spacing w:after="0" w:line="240" w:lineRule="auto"/>
        <w:rPr>
          <w:lang w:val="fr-FR"/>
        </w:rPr>
      </w:pPr>
      <w:r>
        <w:rPr>
          <w:b/>
          <w:bCs/>
          <w:lang w:val="fr-FR"/>
        </w:rPr>
        <w:t>Tobacco Use</w:t>
      </w:r>
    </w:p>
    <w:tbl>
      <w:tblPr>
        <w:tblStyle w:val="MediumShading1-Accent4"/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861"/>
      </w:tblGrid>
      <w:tr w:rsidR="00902386" w:rsidRPr="00D2517D" w:rsidTr="009A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:rsidR="00902386" w:rsidRPr="00D2517D" w:rsidRDefault="00902386" w:rsidP="008E16C4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noWrap/>
            <w:vAlign w:val="bottom"/>
          </w:tcPr>
          <w:p w:rsidR="00902386" w:rsidRPr="004D7960" w:rsidRDefault="00902386" w:rsidP="00163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Adults Aged 20 Years and Older who Smoke (2011-2013)</w:t>
            </w:r>
          </w:p>
        </w:tc>
      </w:tr>
      <w:tr w:rsidR="00902386" w:rsidRPr="00D2517D" w:rsidTr="009A6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:rsidR="00902386" w:rsidRPr="006152B8" w:rsidRDefault="00902386" w:rsidP="008E16C4">
            <w:pPr>
              <w:rPr>
                <w:sz w:val="18"/>
                <w:szCs w:val="18"/>
              </w:rPr>
            </w:pPr>
            <w:r w:rsidRPr="006152B8">
              <w:rPr>
                <w:sz w:val="18"/>
                <w:szCs w:val="18"/>
              </w:rPr>
              <w:t>TJHD</w:t>
            </w:r>
          </w:p>
        </w:tc>
        <w:tc>
          <w:tcPr>
            <w:tcW w:w="2861" w:type="dxa"/>
            <w:noWrap/>
          </w:tcPr>
          <w:p w:rsidR="00902386" w:rsidRPr="00D2517D" w:rsidRDefault="00902386" w:rsidP="008E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17.0%</w:t>
            </w:r>
          </w:p>
        </w:tc>
      </w:tr>
      <w:tr w:rsidR="00902386" w:rsidRPr="00D2517D" w:rsidTr="009A6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DDDCD0" w:themeFill="text2" w:themeFillTint="33"/>
            <w:noWrap/>
          </w:tcPr>
          <w:p w:rsidR="00902386" w:rsidRPr="006152B8" w:rsidRDefault="00902386" w:rsidP="008E16C4">
            <w:pPr>
              <w:rPr>
                <w:sz w:val="18"/>
                <w:szCs w:val="18"/>
              </w:rPr>
            </w:pPr>
            <w:r w:rsidRPr="006152B8">
              <w:rPr>
                <w:sz w:val="18"/>
                <w:szCs w:val="18"/>
              </w:rPr>
              <w:t xml:space="preserve">Virginia </w:t>
            </w:r>
          </w:p>
        </w:tc>
        <w:tc>
          <w:tcPr>
            <w:tcW w:w="2861" w:type="dxa"/>
            <w:shd w:val="clear" w:color="auto" w:fill="DDDCD0" w:themeFill="text2" w:themeFillTint="33"/>
            <w:noWrap/>
          </w:tcPr>
          <w:p w:rsidR="00902386" w:rsidRDefault="00902386" w:rsidP="008E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19.6%</w:t>
            </w:r>
          </w:p>
        </w:tc>
      </w:tr>
    </w:tbl>
    <w:p w:rsidR="008E16C4" w:rsidRDefault="00302E52" w:rsidP="009C0B09">
      <w:pPr>
        <w:spacing w:after="0" w:line="240" w:lineRule="auto"/>
        <w:ind w:left="720" w:firstLine="360"/>
        <w:rPr>
          <w:sz w:val="20"/>
          <w:szCs w:val="20"/>
        </w:rPr>
      </w:pPr>
      <w:r>
        <w:rPr>
          <w:sz w:val="20"/>
          <w:szCs w:val="20"/>
        </w:rPr>
        <w:t xml:space="preserve">    S</w:t>
      </w:r>
      <w:r w:rsidR="00BC13F1" w:rsidRPr="00BC13F1">
        <w:rPr>
          <w:sz w:val="20"/>
          <w:szCs w:val="20"/>
        </w:rPr>
        <w:t xml:space="preserve">ource: </w:t>
      </w:r>
      <w:r w:rsidR="009C0B09" w:rsidRPr="009C0B09">
        <w:rPr>
          <w:sz w:val="20"/>
          <w:szCs w:val="20"/>
        </w:rPr>
        <w:t>Virginia Department of Health</w:t>
      </w:r>
      <w:r w:rsidR="009A611C">
        <w:rPr>
          <w:sz w:val="20"/>
          <w:szCs w:val="20"/>
        </w:rPr>
        <w:t>.</w:t>
      </w:r>
      <w:r w:rsidR="009C0B09" w:rsidRPr="009C0B09">
        <w:rPr>
          <w:sz w:val="20"/>
          <w:szCs w:val="20"/>
        </w:rPr>
        <w:t xml:space="preserve"> Behavioral Risk Factor Surveillance Survey</w:t>
      </w:r>
      <w:r w:rsidR="009A611C">
        <w:rPr>
          <w:sz w:val="20"/>
          <w:szCs w:val="20"/>
        </w:rPr>
        <w:t xml:space="preserve"> (BRFSS)</w:t>
      </w:r>
    </w:p>
    <w:p w:rsidR="00A6088F" w:rsidRPr="009A611C" w:rsidRDefault="00902386" w:rsidP="009A611C">
      <w:pPr>
        <w:spacing w:after="0" w:line="240" w:lineRule="auto"/>
        <w:rPr>
          <w:b/>
        </w:rPr>
      </w:pPr>
      <w:r w:rsidRPr="009A611C">
        <w:rPr>
          <w:b/>
        </w:rPr>
        <w:tab/>
      </w:r>
      <w:r w:rsidRPr="009A611C">
        <w:rPr>
          <w:b/>
        </w:rPr>
        <w:tab/>
      </w:r>
    </w:p>
    <w:tbl>
      <w:tblPr>
        <w:tblStyle w:val="LightShading-Accent3"/>
        <w:tblpPr w:leftFromText="180" w:rightFromText="180" w:vertAnchor="text" w:horzAnchor="page" w:tblpX="1333" w:tblpY="37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1232"/>
        <w:gridCol w:w="1584"/>
        <w:gridCol w:w="759"/>
      </w:tblGrid>
      <w:tr w:rsidR="00B35CD5" w:rsidRPr="00A6088F" w:rsidTr="00B35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gridSpan w:val="4"/>
            <w:noWrap/>
            <w:hideMark/>
          </w:tcPr>
          <w:p w:rsidR="00B35CD5" w:rsidRDefault="00F609F8" w:rsidP="0030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of </w:t>
            </w:r>
            <w:r w:rsidR="00902386">
              <w:rPr>
                <w:sz w:val="20"/>
                <w:szCs w:val="20"/>
              </w:rPr>
              <w:t>Adults Aged 18 and Older</w:t>
            </w:r>
            <w:r w:rsidR="009A611C">
              <w:rPr>
                <w:sz w:val="20"/>
                <w:szCs w:val="20"/>
              </w:rPr>
              <w:t xml:space="preserve"> Who Have Ever Smoked at Least 100 Cigarettes</w:t>
            </w:r>
          </w:p>
        </w:tc>
      </w:tr>
      <w:tr w:rsidR="00B35CD5" w:rsidRPr="00A6088F" w:rsidTr="00B3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noWrap/>
            <w:hideMark/>
          </w:tcPr>
          <w:p w:rsidR="00B35CD5" w:rsidRPr="00A6088F" w:rsidRDefault="00B35CD5" w:rsidP="00302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noWrap/>
            <w:hideMark/>
          </w:tcPr>
          <w:p w:rsidR="00B35CD5" w:rsidRPr="00A6088F" w:rsidRDefault="00AF489F" w:rsidP="00302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Fluvanna</w:t>
            </w:r>
          </w:p>
        </w:tc>
        <w:tc>
          <w:tcPr>
            <w:tcW w:w="1584" w:type="dxa"/>
            <w:noWrap/>
            <w:hideMark/>
          </w:tcPr>
          <w:p w:rsidR="00B35CD5" w:rsidRPr="00A6088F" w:rsidRDefault="00AF489F" w:rsidP="00302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  <w:r w:rsidR="00B35CD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7" w:type="dxa"/>
          </w:tcPr>
          <w:p w:rsidR="00B35CD5" w:rsidRDefault="00B35CD5" w:rsidP="00302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</w:t>
            </w:r>
          </w:p>
        </w:tc>
      </w:tr>
      <w:tr w:rsidR="00B35CD5" w:rsidRPr="00A6088F" w:rsidTr="00B35CD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noWrap/>
          </w:tcPr>
          <w:p w:rsidR="00B35CD5" w:rsidRPr="00A6088F" w:rsidRDefault="009A611C" w:rsidP="00302E52">
            <w:pPr>
              <w:jc w:val="right"/>
              <w:rPr>
                <w:sz w:val="20"/>
                <w:szCs w:val="20"/>
              </w:rPr>
            </w:pPr>
            <w:r w:rsidRPr="009A611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F0592B" wp14:editId="45999F43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138430</wp:posOffset>
                      </wp:positionV>
                      <wp:extent cx="3077845" cy="858520"/>
                      <wp:effectExtent l="0" t="0" r="825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7845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DBF" w:rsidRPr="009A611C" w:rsidRDefault="004D1D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Source: </w:t>
                                  </w:r>
                                  <w:r w:rsidRPr="009A611C">
                                    <w:rPr>
                                      <w:sz w:val="20"/>
                                      <w:szCs w:val="20"/>
                                    </w:rPr>
                                    <w:t xml:space="preserve">Community Commons. Community Health Needs Assessment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Report. </w:t>
                                  </w:r>
                                  <w:r w:rsidRPr="009A611C"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enters for Disease </w:t>
                                  </w:r>
                                  <w:r w:rsidRPr="009A611C"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ontrol &amp; Prevention.</w:t>
                                  </w:r>
                                  <w:r w:rsidRPr="009A611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BRFSS.</w:t>
                                  </w:r>
                                  <w:r w:rsidRPr="009A611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9A611C">
                                    <w:rPr>
                                      <w:sz w:val="20"/>
                                      <w:szCs w:val="20"/>
                                    </w:rPr>
                                    <w:t>dditional data analysis by CARES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.9pt;margin-top:10.9pt;width:242.35pt;height:6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z0IAIAAB0EAAAOAAAAZHJzL2Uyb0RvYy54bWysU11v2yAUfZ+0/4B4X+xk8ZJacaouXaZJ&#10;3YfU9gdgjGM04DIgsbNf3wtO06h7m8oDAu7lcO65h9X1oBU5COclmIpOJzklwnBopNlV9PFh+2FJ&#10;iQ/MNEyBERU9Ck+v1+/frXpbihl0oBrhCIIYX/a2ol0ItswyzzuhmZ+AFQaDLTjNAm7dLmsc6xFd&#10;q2yW55+yHlxjHXDhPZ7ejkG6TvhtK3j42bZeBKIqitxCml2a6zhn6xUrd47ZTvITDfYfLDSTBh89&#10;Q92ywMjeyX+gtOQOPLRhwkFn0LaSi1QDVjPNX1Vz3zErUi0ojrdnmfzbwfIfh1+OyKaiH/MFJYZp&#10;bNKDGAL5DAOZRX1660tMu7eYGAY8xj6nWr29A/7bEwObjpmduHEO+k6wBvlN483s4uqI4yNI3X+H&#10;Bp9h+wAJaGidjuKhHATRsU/Hc28iFY6HSG+xnBeUcIwti2UxS83LWPl82zofvgrQJC4q6rD3CZ0d&#10;7nyIbFj5nBIf86Bks5VKpY3b1RvlyIGhT7ZppAJepSlD+opeFbMiIRuI95OFtAzoYyU1ksvjGJ0V&#10;1fhimpQSmFTjGpkoc5InKjJqE4Z6wMSoWQ3NEYVyMPoV/xcuOnB/KenRqxX1f/bMCUrUN4NiX03n&#10;82jutJkXC5SGuMtIfRlhhiNURQMl43IT0oeIOhi4waa0Mun1wuTEFT2YZDz9l2jyy33KevnV6ycA&#10;AAD//wMAUEsDBBQABgAIAAAAIQDIOW1K3wAAAAoBAAAPAAAAZHJzL2Rvd25yZXYueG1sTI/BTsMw&#10;DIbvSLxDZCQuaEtWtpaVphMggbhu7AHSxmsrGqdqsrV7e8wJTpblT7+/v9jNrhcXHEPnScNqqUAg&#10;1d521Gg4fr0vnkCEaMia3hNquGKAXXl7U5jc+on2eDnERnAIhdxoaGMccilD3aIzYekHJL6d/OhM&#10;5HVspB3NxOGul4lSqXSmI/7QmgHfWqy/D2en4fQ5PWy2U/URj9l+nb6aLqv8Vev7u/nlGUTEOf7B&#10;8KvP6lCyU+XPZIPoNSySR1aPGpIVTwbWqdqCqJjcZApkWcj/FcofAAAA//8DAFBLAQItABQABgAI&#10;AAAAIQC2gziS/gAAAOEBAAATAAAAAAAAAAAAAAAAAAAAAABbQ29udGVudF9UeXBlc10ueG1sUEsB&#10;Ai0AFAAGAAgAAAAhADj9If/WAAAAlAEAAAsAAAAAAAAAAAAAAAAALwEAAF9yZWxzLy5yZWxzUEsB&#10;Ai0AFAAGAAgAAAAhAO/J7PQgAgAAHQQAAA4AAAAAAAAAAAAAAAAALgIAAGRycy9lMm9Eb2MueG1s&#10;UEsBAi0AFAAGAAgAAAAhAMg5bUrfAAAACgEAAA8AAAAAAAAAAAAAAAAAegQAAGRycy9kb3ducmV2&#10;LnhtbFBLBQYAAAAABAAEAPMAAACGBQAAAAA=&#10;" stroked="f">
                      <v:textbox>
                        <w:txbxContent>
                          <w:p w:rsidR="004D1DBF" w:rsidRPr="009A611C" w:rsidRDefault="004D1D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r w:rsidRPr="009A611C">
                              <w:rPr>
                                <w:sz w:val="20"/>
                                <w:szCs w:val="20"/>
                              </w:rPr>
                              <w:t xml:space="preserve">Community Commons. Community Health Needs Assessment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Report. </w:t>
                            </w:r>
                            <w:r w:rsidRPr="009A611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enters for Disease </w:t>
                            </w:r>
                            <w:r w:rsidRPr="009A611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ontrol &amp; Prevention.</w:t>
                            </w:r>
                            <w:r w:rsidRPr="009A61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BRFSS.</w:t>
                            </w:r>
                            <w:r w:rsidRPr="009A61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A611C">
                              <w:rPr>
                                <w:sz w:val="20"/>
                                <w:szCs w:val="20"/>
                              </w:rPr>
                              <w:t>dditional data analysis by CARES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386">
              <w:rPr>
                <w:sz w:val="20"/>
                <w:szCs w:val="20"/>
              </w:rPr>
              <w:t>2011-12</w:t>
            </w:r>
          </w:p>
        </w:tc>
        <w:tc>
          <w:tcPr>
            <w:tcW w:w="1232" w:type="dxa"/>
            <w:noWrap/>
          </w:tcPr>
          <w:p w:rsidR="00B35CD5" w:rsidRPr="00A6088F" w:rsidRDefault="00AF489F" w:rsidP="00302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F609F8">
              <w:rPr>
                <w:sz w:val="20"/>
                <w:szCs w:val="20"/>
              </w:rPr>
              <w:t>%</w:t>
            </w:r>
          </w:p>
        </w:tc>
        <w:tc>
          <w:tcPr>
            <w:tcW w:w="1584" w:type="dxa"/>
            <w:noWrap/>
          </w:tcPr>
          <w:p w:rsidR="00B35CD5" w:rsidRPr="00A6088F" w:rsidRDefault="00AF489F" w:rsidP="00302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</w:t>
            </w:r>
            <w:r w:rsidR="00F609F8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</w:tcPr>
          <w:p w:rsidR="00B35CD5" w:rsidRDefault="00AF489F" w:rsidP="00302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43.7</w:t>
            </w:r>
            <w:r w:rsidR="00F609F8">
              <w:rPr>
                <w:sz w:val="20"/>
                <w:szCs w:val="20"/>
              </w:rPr>
              <w:t>%</w:t>
            </w:r>
          </w:p>
        </w:tc>
      </w:tr>
    </w:tbl>
    <w:tbl>
      <w:tblPr>
        <w:tblStyle w:val="LightShading-Accent1"/>
        <w:tblW w:w="0" w:type="auto"/>
        <w:jc w:val="center"/>
        <w:tblInd w:w="-1847" w:type="dxa"/>
        <w:tblLook w:val="04A0" w:firstRow="1" w:lastRow="0" w:firstColumn="1" w:lastColumn="0" w:noHBand="0" w:noVBand="1"/>
      </w:tblPr>
      <w:tblGrid>
        <w:gridCol w:w="1174"/>
        <w:gridCol w:w="3010"/>
        <w:gridCol w:w="57"/>
      </w:tblGrid>
      <w:tr w:rsidR="001E6B4B" w:rsidRPr="00A6088F" w:rsidTr="001E6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dxa"/>
            <w:gridSpan w:val="3"/>
            <w:noWrap/>
            <w:hideMark/>
          </w:tcPr>
          <w:p w:rsidR="001E6B4B" w:rsidRDefault="001E6B4B" w:rsidP="008E16C4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</w:t>
            </w:r>
            <w:r w:rsidR="00F609F8">
              <w:rPr>
                <w:sz w:val="20"/>
                <w:szCs w:val="20"/>
              </w:rPr>
              <w:t>of Smokers Who Tried to Quit</w:t>
            </w:r>
          </w:p>
        </w:tc>
      </w:tr>
      <w:tr w:rsidR="001E6B4B" w:rsidRPr="00A6088F" w:rsidTr="001E6B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noWrap/>
            <w:hideMark/>
          </w:tcPr>
          <w:p w:rsidR="001E6B4B" w:rsidRPr="00A6088F" w:rsidRDefault="001E6B4B" w:rsidP="001E6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3010" w:type="dxa"/>
            <w:noWrap/>
            <w:hideMark/>
          </w:tcPr>
          <w:p w:rsidR="001E6B4B" w:rsidRDefault="001E6B4B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</w:t>
            </w:r>
          </w:p>
        </w:tc>
      </w:tr>
      <w:tr w:rsidR="001E6B4B" w:rsidRPr="00A6088F" w:rsidTr="001E6B4B">
        <w:trPr>
          <w:gridAfter w:val="1"/>
          <w:wAfter w:w="57" w:type="dxa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noWrap/>
          </w:tcPr>
          <w:p w:rsidR="001E6B4B" w:rsidRPr="00A6088F" w:rsidRDefault="001E6B4B" w:rsidP="008E16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010" w:type="dxa"/>
            <w:noWrap/>
          </w:tcPr>
          <w:p w:rsidR="001E6B4B" w:rsidRDefault="001E6B4B" w:rsidP="001A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609F8">
              <w:rPr>
                <w:sz w:val="20"/>
                <w:szCs w:val="20"/>
              </w:rPr>
              <w:t>%</w:t>
            </w:r>
          </w:p>
        </w:tc>
      </w:tr>
      <w:tr w:rsidR="001E6B4B" w:rsidRPr="00A6088F" w:rsidTr="001E6B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noWrap/>
          </w:tcPr>
          <w:p w:rsidR="001E6B4B" w:rsidRPr="00A6088F" w:rsidRDefault="001E6B4B" w:rsidP="008E16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010" w:type="dxa"/>
            <w:noWrap/>
          </w:tcPr>
          <w:p w:rsidR="001E6B4B" w:rsidRDefault="001E6B4B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609F8">
              <w:rPr>
                <w:sz w:val="20"/>
                <w:szCs w:val="20"/>
              </w:rPr>
              <w:t>%</w:t>
            </w:r>
          </w:p>
        </w:tc>
      </w:tr>
      <w:tr w:rsidR="001E6B4B" w:rsidRPr="00A6088F" w:rsidTr="001E6B4B">
        <w:trPr>
          <w:gridAfter w:val="1"/>
          <w:wAfter w:w="57" w:type="dxa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noWrap/>
          </w:tcPr>
          <w:p w:rsidR="001E6B4B" w:rsidRDefault="001E6B4B" w:rsidP="008E16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010" w:type="dxa"/>
            <w:noWrap/>
          </w:tcPr>
          <w:p w:rsidR="001E6B4B" w:rsidRDefault="001E6B4B" w:rsidP="001A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F609F8">
              <w:rPr>
                <w:sz w:val="20"/>
                <w:szCs w:val="20"/>
              </w:rPr>
              <w:t>%</w:t>
            </w:r>
          </w:p>
        </w:tc>
      </w:tr>
      <w:tr w:rsidR="001E6B4B" w:rsidRPr="00A6088F" w:rsidTr="001E6B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noWrap/>
          </w:tcPr>
          <w:p w:rsidR="001E6B4B" w:rsidRDefault="001E6B4B" w:rsidP="008E16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010" w:type="dxa"/>
            <w:noWrap/>
          </w:tcPr>
          <w:p w:rsidR="001E6B4B" w:rsidRDefault="001E6B4B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609F8">
              <w:rPr>
                <w:sz w:val="20"/>
                <w:szCs w:val="20"/>
              </w:rPr>
              <w:t>%</w:t>
            </w:r>
          </w:p>
        </w:tc>
      </w:tr>
    </w:tbl>
    <w:p w:rsidR="008E16C4" w:rsidRDefault="009A611C" w:rsidP="008E16C4">
      <w:pPr>
        <w:spacing w:after="0" w:line="240" w:lineRule="auto"/>
        <w:rPr>
          <w:bCs/>
          <w:sz w:val="20"/>
          <w:szCs w:val="20"/>
        </w:rPr>
      </w:pPr>
      <w:r w:rsidRPr="009A611C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21B182" wp14:editId="2AA3B001">
                <wp:simplePos x="0" y="0"/>
                <wp:positionH relativeFrom="column">
                  <wp:posOffset>3968750</wp:posOffset>
                </wp:positionH>
                <wp:positionV relativeFrom="paragraph">
                  <wp:posOffset>18415</wp:posOffset>
                </wp:positionV>
                <wp:extent cx="3016250" cy="6985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BF" w:rsidRPr="009A611C" w:rsidRDefault="004D1DBF" w:rsidP="009A61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r w:rsidRPr="009C0B09">
                              <w:rPr>
                                <w:sz w:val="20"/>
                                <w:szCs w:val="20"/>
                              </w:rPr>
                              <w:t>Virginia Department of Health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9C0B09">
                              <w:rPr>
                                <w:sz w:val="20"/>
                                <w:szCs w:val="20"/>
                              </w:rPr>
                              <w:t xml:space="preserve"> Behavioral Risk Factor Surveillance Survey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(BRFSS)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2.5pt;margin-top:1.45pt;width:237.5pt;height: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hDIQIAACIEAAAOAAAAZHJzL2Uyb0RvYy54bWysU9uO2yAQfa/Uf0C8N3bcJE2sOKtttqkq&#10;bS/Sbj8AYxyjAkOBxE6/vgPOZqPu26p+QAwzHJ85c1jfDFqRo3BegqnodJJTIgyHRpp9RX8+7t4t&#10;KfGBmYYpMKKiJ+Hpzebtm3VvS1FAB6oRjiCI8WVvK9qFYMss87wTmvkJWGEw2YLTLGDo9lnjWI/o&#10;WmVFni+yHlxjHXDhPZ7ejUm6SfhtK3j43rZeBKIqitxCWl1a67hmmzUr947ZTvIzDfYKFppJgz+9&#10;QN2xwMjByRdQWnIHHtow4aAzaFvJReoBu5nm/3Tz0DErUi8ojrcXmfz/g+Xfjj8ckQ3OjhLDNI7o&#10;UQyBfISBFFGd3voSix4sloUBj2Nl7NTbe+C/PDGw7ZjZi1vnoO8Ea5DdNN7Mrq6OOD6C1P1XaPA3&#10;7BAgAQ2t0xEQxSCIjlM6XSYTqXA8fJ9PF8UcUxxzi9VynqfRZax8um2dD58FaBI3FXU4+YTOjvc+&#10;RDasfCpJ7EHJZieVSoHb11vlyJGhS3bpSw1gk9dlypC+oqt5MU/IBuL9ZCAtA7pYSV3RZR6/0VdR&#10;jU+mSSWBSTXukYkyZ3miIqM2YaiH8xywPkpXQ3NCvRyMpsVHhpsO3B9KejRsRf3vA3OCEvXFoOar&#10;6WwWHZ6C2fxDgYG7ztTXGWY4QlU0UDJutyG9iiiHgVucTSuTbM9MzpTRiEnN86OJTr+OU9Xz0978&#10;BQAA//8DAFBLAwQUAAYACAAAACEAR0Dbfd0AAAAKAQAADwAAAGRycy9kb3ducmV2LnhtbEyPwU7D&#10;MBBE70j8g7WVuCBqN6IpDXEqQAJxbekHbOJtEjVeR7HbpH+Pc4Lb7sxq9k2+m2wnrjT41rGG1VKB&#10;IK6cabnWcPz5fHoB4QOywc4xabiRh11xf5djZtzIe7oeQi1iCPsMNTQh9JmUvmrIol+6njh6JzdY&#10;DHEdamkGHGO47WSiVCotthw/NNjTR0PV+XCxGk7f4+N6O5Zf4bjZP6fv2G5Kd9P6YTG9vYIINIW/&#10;Y5jxIzoUkal0FzZedBrSZB27BA3JFsTsr5SKQjlPUZJFLv9XKH4BAAD//wMAUEsBAi0AFAAGAAgA&#10;AAAhALaDOJL+AAAA4QEAABMAAAAAAAAAAAAAAAAAAAAAAFtDb250ZW50X1R5cGVzXS54bWxQSwEC&#10;LQAUAAYACAAAACEAOP0h/9YAAACUAQAACwAAAAAAAAAAAAAAAAAvAQAAX3JlbHMvLnJlbHNQSwEC&#10;LQAUAAYACAAAACEAzeeoQyECAAAiBAAADgAAAAAAAAAAAAAAAAAuAgAAZHJzL2Uyb0RvYy54bWxQ&#10;SwECLQAUAAYACAAAACEAR0Dbfd0AAAAKAQAADwAAAAAAAAAAAAAAAAB7BAAAZHJzL2Rvd25yZXYu&#10;eG1sUEsFBgAAAAAEAAQA8wAAAIUFAAAAAA==&#10;" stroked="f">
                <v:textbox>
                  <w:txbxContent>
                    <w:p w:rsidR="004D1DBF" w:rsidRPr="009A611C" w:rsidRDefault="004D1DBF" w:rsidP="009A61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Source: </w:t>
                      </w:r>
                      <w:r w:rsidRPr="009C0B09">
                        <w:rPr>
                          <w:sz w:val="20"/>
                          <w:szCs w:val="20"/>
                        </w:rPr>
                        <w:t>Virginia Department of Health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9C0B09">
                        <w:rPr>
                          <w:sz w:val="20"/>
                          <w:szCs w:val="20"/>
                        </w:rPr>
                        <w:t xml:space="preserve"> Behavioral Risk Factor Surveillance Survey</w:t>
                      </w:r>
                      <w:r>
                        <w:rPr>
                          <w:sz w:val="20"/>
                          <w:szCs w:val="20"/>
                        </w:rPr>
                        <w:t xml:space="preserve"> (BRFSS)</w:t>
                      </w:r>
                    </w:p>
                  </w:txbxContent>
                </v:textbox>
              </v:shape>
            </w:pict>
          </mc:Fallback>
        </mc:AlternateContent>
      </w:r>
    </w:p>
    <w:p w:rsidR="00902386" w:rsidRDefault="00902386" w:rsidP="00902386">
      <w:pPr>
        <w:spacing w:after="0" w:line="240" w:lineRule="auto"/>
        <w:ind w:left="720" w:firstLine="360"/>
        <w:rPr>
          <w:bCs/>
          <w:sz w:val="20"/>
          <w:szCs w:val="20"/>
        </w:rPr>
      </w:pPr>
    </w:p>
    <w:p w:rsidR="009A611C" w:rsidRDefault="009A611C" w:rsidP="00902386">
      <w:pPr>
        <w:spacing w:after="0" w:line="240" w:lineRule="auto"/>
        <w:ind w:left="720" w:firstLine="360"/>
        <w:rPr>
          <w:bCs/>
          <w:sz w:val="20"/>
          <w:szCs w:val="20"/>
        </w:rPr>
      </w:pPr>
    </w:p>
    <w:p w:rsidR="009A611C" w:rsidRDefault="009A611C" w:rsidP="00902386">
      <w:pPr>
        <w:spacing w:after="0" w:line="240" w:lineRule="auto"/>
        <w:ind w:left="720" w:firstLine="360"/>
        <w:rPr>
          <w:bCs/>
          <w:sz w:val="20"/>
          <w:szCs w:val="20"/>
        </w:rPr>
      </w:pPr>
    </w:p>
    <w:tbl>
      <w:tblPr>
        <w:tblStyle w:val="LightShading-Accent3"/>
        <w:tblpPr w:leftFromText="180" w:rightFromText="180" w:vertAnchor="text" w:horzAnchor="page" w:tblpX="1333" w:tblpY="37"/>
        <w:tblW w:w="0" w:type="auto"/>
        <w:tblInd w:w="720" w:type="dxa"/>
        <w:tblLook w:val="04A0" w:firstRow="1" w:lastRow="0" w:firstColumn="1" w:lastColumn="0" w:noHBand="0" w:noVBand="1"/>
      </w:tblPr>
      <w:tblGrid>
        <w:gridCol w:w="2024"/>
        <w:gridCol w:w="2259"/>
        <w:gridCol w:w="2901"/>
        <w:gridCol w:w="932"/>
        <w:gridCol w:w="932"/>
      </w:tblGrid>
      <w:tr w:rsidR="00061959" w:rsidTr="001A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6" w:type="dxa"/>
            <w:gridSpan w:val="4"/>
            <w:noWrap/>
            <w:hideMark/>
          </w:tcPr>
          <w:p w:rsidR="00061959" w:rsidRDefault="00F609F8" w:rsidP="00F60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of </w:t>
            </w:r>
            <w:r w:rsidR="00061959">
              <w:rPr>
                <w:sz w:val="20"/>
                <w:szCs w:val="20"/>
              </w:rPr>
              <w:t xml:space="preserve">Smokers with Quit Attempt in Past 12 Months </w:t>
            </w:r>
          </w:p>
        </w:tc>
        <w:tc>
          <w:tcPr>
            <w:tcW w:w="932" w:type="dxa"/>
          </w:tcPr>
          <w:p w:rsidR="00061959" w:rsidRDefault="00061959" w:rsidP="00261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1959" w:rsidTr="001A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noWrap/>
            <w:hideMark/>
          </w:tcPr>
          <w:p w:rsidR="00061959" w:rsidRPr="00A6088F" w:rsidRDefault="00061959" w:rsidP="00261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noWrap/>
            <w:hideMark/>
          </w:tcPr>
          <w:p w:rsidR="00061959" w:rsidRPr="00A6088F" w:rsidRDefault="00AF489F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Fluvanna</w:t>
            </w:r>
          </w:p>
        </w:tc>
        <w:tc>
          <w:tcPr>
            <w:tcW w:w="2901" w:type="dxa"/>
            <w:noWrap/>
            <w:hideMark/>
          </w:tcPr>
          <w:p w:rsidR="00061959" w:rsidRPr="00A6088F" w:rsidRDefault="00AF489F" w:rsidP="00AF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932" w:type="dxa"/>
          </w:tcPr>
          <w:p w:rsidR="00061959" w:rsidRDefault="0006195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</w:t>
            </w:r>
          </w:p>
        </w:tc>
        <w:tc>
          <w:tcPr>
            <w:tcW w:w="932" w:type="dxa"/>
          </w:tcPr>
          <w:p w:rsidR="00061959" w:rsidRDefault="0006195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</w:t>
            </w:r>
          </w:p>
        </w:tc>
      </w:tr>
      <w:tr w:rsidR="00061959" w:rsidTr="001A4BC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noWrap/>
          </w:tcPr>
          <w:p w:rsidR="00061959" w:rsidRPr="00A6088F" w:rsidRDefault="00061959" w:rsidP="00261D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2011-12</w:t>
            </w:r>
          </w:p>
        </w:tc>
        <w:tc>
          <w:tcPr>
            <w:tcW w:w="2259" w:type="dxa"/>
            <w:noWrap/>
          </w:tcPr>
          <w:p w:rsidR="00061959" w:rsidRPr="00A6088F" w:rsidRDefault="00AF489F" w:rsidP="0026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609F8">
              <w:rPr>
                <w:sz w:val="20"/>
                <w:szCs w:val="20"/>
              </w:rPr>
              <w:t>%</w:t>
            </w:r>
          </w:p>
        </w:tc>
        <w:tc>
          <w:tcPr>
            <w:tcW w:w="2901" w:type="dxa"/>
            <w:noWrap/>
          </w:tcPr>
          <w:p w:rsidR="00061959" w:rsidRPr="00A6088F" w:rsidRDefault="00AF489F" w:rsidP="0026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79.3</w:t>
            </w:r>
            <w:r w:rsidR="00F609F8">
              <w:rPr>
                <w:sz w:val="20"/>
                <w:szCs w:val="20"/>
              </w:rPr>
              <w:t>%</w:t>
            </w:r>
          </w:p>
        </w:tc>
        <w:tc>
          <w:tcPr>
            <w:tcW w:w="932" w:type="dxa"/>
          </w:tcPr>
          <w:p w:rsidR="00061959" w:rsidRDefault="00061959" w:rsidP="0026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58.4</w:t>
            </w:r>
            <w:r w:rsidR="00F609F8">
              <w:rPr>
                <w:sz w:val="20"/>
                <w:szCs w:val="20"/>
              </w:rPr>
              <w:t>%</w:t>
            </w:r>
          </w:p>
        </w:tc>
        <w:tc>
          <w:tcPr>
            <w:tcW w:w="932" w:type="dxa"/>
          </w:tcPr>
          <w:p w:rsidR="00061959" w:rsidRDefault="00F609F8" w:rsidP="0026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</w:tbl>
    <w:p w:rsidR="00061959" w:rsidRPr="009A611C" w:rsidRDefault="00891D0F" w:rsidP="00A67F0E">
      <w:pPr>
        <w:ind w:left="1080"/>
        <w:rPr>
          <w:sz w:val="20"/>
          <w:szCs w:val="20"/>
        </w:rPr>
      </w:pPr>
      <w:r w:rsidRPr="00891D0F">
        <w:rPr>
          <w:rFonts w:cs="Calibri"/>
          <w:bCs/>
          <w:sz w:val="20"/>
          <w:szCs w:val="20"/>
        </w:rPr>
        <w:t xml:space="preserve">Source: </w:t>
      </w:r>
      <w:r w:rsidR="00061959" w:rsidRPr="009A611C">
        <w:rPr>
          <w:sz w:val="20"/>
          <w:szCs w:val="20"/>
        </w:rPr>
        <w:t xml:space="preserve">Community Commons. Community Health Needs Assessment </w:t>
      </w:r>
      <w:r w:rsidR="00061959">
        <w:rPr>
          <w:sz w:val="20"/>
          <w:szCs w:val="20"/>
        </w:rPr>
        <w:t xml:space="preserve">Report. </w:t>
      </w:r>
      <w:proofErr w:type="gramStart"/>
      <w:r w:rsidR="00061959" w:rsidRPr="009A611C">
        <w:rPr>
          <w:sz w:val="20"/>
          <w:szCs w:val="20"/>
        </w:rPr>
        <w:t>C</w:t>
      </w:r>
      <w:r w:rsidR="00061959">
        <w:rPr>
          <w:sz w:val="20"/>
          <w:szCs w:val="20"/>
        </w:rPr>
        <w:t xml:space="preserve">enters for Disease </w:t>
      </w:r>
      <w:r w:rsidR="00061959" w:rsidRPr="009A611C">
        <w:rPr>
          <w:sz w:val="20"/>
          <w:szCs w:val="20"/>
        </w:rPr>
        <w:t>C</w:t>
      </w:r>
      <w:r w:rsidR="00061959">
        <w:rPr>
          <w:sz w:val="20"/>
          <w:szCs w:val="20"/>
        </w:rPr>
        <w:t>ontrol &amp; Prevention.</w:t>
      </w:r>
      <w:proofErr w:type="gramEnd"/>
      <w:r w:rsidR="00061959" w:rsidRPr="009A611C">
        <w:rPr>
          <w:sz w:val="20"/>
          <w:szCs w:val="20"/>
        </w:rPr>
        <w:t xml:space="preserve"> </w:t>
      </w:r>
      <w:proofErr w:type="gramStart"/>
      <w:r w:rsidR="00061959">
        <w:rPr>
          <w:sz w:val="20"/>
          <w:szCs w:val="20"/>
        </w:rPr>
        <w:t>BRFSS.</w:t>
      </w:r>
      <w:proofErr w:type="gramEnd"/>
      <w:r w:rsidR="00061959" w:rsidRPr="009A611C">
        <w:rPr>
          <w:sz w:val="20"/>
          <w:szCs w:val="20"/>
        </w:rPr>
        <w:t xml:space="preserve"> </w:t>
      </w:r>
      <w:r w:rsidR="00061959">
        <w:rPr>
          <w:sz w:val="20"/>
          <w:szCs w:val="20"/>
        </w:rPr>
        <w:t>A</w:t>
      </w:r>
      <w:r w:rsidR="00061959" w:rsidRPr="009A611C">
        <w:rPr>
          <w:sz w:val="20"/>
          <w:szCs w:val="20"/>
        </w:rPr>
        <w:t>dditional data analysis by CARES</w:t>
      </w:r>
      <w:r w:rsidR="00061959">
        <w:rPr>
          <w:sz w:val="20"/>
          <w:szCs w:val="20"/>
        </w:rPr>
        <w:t>.</w:t>
      </w:r>
    </w:p>
    <w:p w:rsidR="00891D0F" w:rsidRPr="00B54127" w:rsidRDefault="00891D0F" w:rsidP="00061959">
      <w:pPr>
        <w:spacing w:after="0" w:line="240" w:lineRule="auto"/>
        <w:ind w:left="1440"/>
        <w:rPr>
          <w:b/>
          <w:bCs/>
          <w:sz w:val="18"/>
        </w:rPr>
      </w:pPr>
    </w:p>
    <w:p w:rsidR="00F25213" w:rsidRPr="007C685A" w:rsidRDefault="00891D0F" w:rsidP="00B54127">
      <w:pPr>
        <w:pStyle w:val="ListParagraph"/>
        <w:numPr>
          <w:ilvl w:val="0"/>
          <w:numId w:val="8"/>
        </w:numPr>
        <w:spacing w:after="0" w:line="240" w:lineRule="auto"/>
      </w:pPr>
      <w:r>
        <w:rPr>
          <w:b/>
          <w:bCs/>
        </w:rPr>
        <w:t>Youth and Tobacco</w:t>
      </w:r>
    </w:p>
    <w:tbl>
      <w:tblPr>
        <w:tblStyle w:val="MediumShading1-Accent1"/>
        <w:tblW w:w="7502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1459"/>
        <w:gridCol w:w="3751"/>
      </w:tblGrid>
      <w:tr w:rsidR="00891D0F" w:rsidRPr="00F25213" w:rsidTr="00261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3"/>
            <w:noWrap/>
            <w:hideMark/>
          </w:tcPr>
          <w:p w:rsidR="00891D0F" w:rsidRDefault="00891D0F" w:rsidP="0089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 Youth Living in Households Where Smoking is Allowed, 2013</w:t>
            </w:r>
          </w:p>
        </w:tc>
      </w:tr>
      <w:tr w:rsidR="00891D0F" w:rsidRPr="00F25213" w:rsidTr="0089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noWrap/>
            <w:vAlign w:val="bottom"/>
            <w:hideMark/>
          </w:tcPr>
          <w:p w:rsidR="00891D0F" w:rsidRPr="005E651A" w:rsidRDefault="00891D0F" w:rsidP="008E16C4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891D0F" w:rsidRPr="005E651A" w:rsidRDefault="00891D0F" w:rsidP="0007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School Students</w:t>
            </w:r>
          </w:p>
        </w:tc>
        <w:tc>
          <w:tcPr>
            <w:tcW w:w="3751" w:type="dxa"/>
          </w:tcPr>
          <w:p w:rsidR="00891D0F" w:rsidRDefault="00891D0F" w:rsidP="0007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Middle School</w:t>
            </w:r>
          </w:p>
          <w:p w:rsidR="00891D0F" w:rsidRDefault="00891D0F" w:rsidP="0007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</w:t>
            </w:r>
          </w:p>
        </w:tc>
      </w:tr>
      <w:tr w:rsidR="00891D0F" w:rsidRPr="00F25213" w:rsidTr="00891D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noWrap/>
            <w:hideMark/>
          </w:tcPr>
          <w:p w:rsidR="00891D0F" w:rsidRPr="00F25213" w:rsidRDefault="00891D0F" w:rsidP="008E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</w:t>
            </w:r>
          </w:p>
        </w:tc>
        <w:tc>
          <w:tcPr>
            <w:tcW w:w="1459" w:type="dxa"/>
            <w:noWrap/>
            <w:hideMark/>
          </w:tcPr>
          <w:p w:rsidR="00891D0F" w:rsidRPr="00F25213" w:rsidRDefault="00891D0F" w:rsidP="008E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3751" w:type="dxa"/>
          </w:tcPr>
          <w:p w:rsidR="00891D0F" w:rsidRDefault="00891D0F" w:rsidP="008E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</w:tbl>
    <w:p w:rsidR="00F25213" w:rsidRDefault="00302E52" w:rsidP="0075671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S</w:t>
      </w:r>
      <w:r w:rsidR="00F51974" w:rsidRPr="00F51974">
        <w:rPr>
          <w:sz w:val="20"/>
          <w:szCs w:val="20"/>
        </w:rPr>
        <w:t>ource</w:t>
      </w:r>
      <w:r w:rsidR="00EE5962">
        <w:rPr>
          <w:sz w:val="20"/>
          <w:szCs w:val="20"/>
        </w:rPr>
        <w:t>s</w:t>
      </w:r>
      <w:r w:rsidR="00F51974" w:rsidRPr="00F51974">
        <w:rPr>
          <w:sz w:val="20"/>
          <w:szCs w:val="20"/>
        </w:rPr>
        <w:t xml:space="preserve">: </w:t>
      </w:r>
      <w:r w:rsidR="00891D0F" w:rsidRPr="00891D0F">
        <w:rPr>
          <w:sz w:val="20"/>
          <w:szCs w:val="20"/>
        </w:rPr>
        <w:t>Virginia Department of Health, Office of Family Health Services 2015 Report on Exposure to Secondhand Smoke in VA &amp; the US</w:t>
      </w:r>
    </w:p>
    <w:p w:rsidR="00891D0F" w:rsidRDefault="00891D0F" w:rsidP="0075671C">
      <w:pPr>
        <w:spacing w:after="0" w:line="240" w:lineRule="auto"/>
        <w:ind w:left="1440"/>
        <w:rPr>
          <w:sz w:val="20"/>
          <w:szCs w:val="20"/>
        </w:rPr>
      </w:pPr>
    </w:p>
    <w:tbl>
      <w:tblPr>
        <w:tblStyle w:val="MediumShading1-Accent1"/>
        <w:tblW w:w="622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123"/>
        <w:gridCol w:w="2477"/>
      </w:tblGrid>
      <w:tr w:rsidR="00891D0F" w:rsidTr="00A67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gridSpan w:val="3"/>
            <w:shd w:val="clear" w:color="auto" w:fill="FF6700" w:themeFill="accent3"/>
            <w:noWrap/>
            <w:hideMark/>
          </w:tcPr>
          <w:p w:rsidR="00891D0F" w:rsidRDefault="00891D0F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Students Currently Using Tobacco, 2011-2013</w:t>
            </w:r>
          </w:p>
        </w:tc>
      </w:tr>
      <w:tr w:rsidR="00891D0F" w:rsidTr="00A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FFE0CC" w:themeFill="accent3" w:themeFillTint="33"/>
            <w:noWrap/>
            <w:vAlign w:val="bottom"/>
            <w:hideMark/>
          </w:tcPr>
          <w:p w:rsidR="00891D0F" w:rsidRPr="005E651A" w:rsidRDefault="00891D0F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FE0CC" w:themeFill="accent3" w:themeFillTint="33"/>
            <w:noWrap/>
            <w:vAlign w:val="bottom"/>
            <w:hideMark/>
          </w:tcPr>
          <w:p w:rsidR="00891D0F" w:rsidRPr="005E651A" w:rsidRDefault="00891D0F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2477" w:type="dxa"/>
            <w:shd w:val="clear" w:color="auto" w:fill="FFE0CC" w:themeFill="accent3" w:themeFillTint="33"/>
          </w:tcPr>
          <w:p w:rsidR="00891D0F" w:rsidRDefault="00891D0F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</w:tr>
      <w:tr w:rsidR="00891D0F" w:rsidTr="00A6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:rsidR="00891D0F" w:rsidRPr="00F25213" w:rsidRDefault="00891D0F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</w:t>
            </w:r>
          </w:p>
        </w:tc>
        <w:tc>
          <w:tcPr>
            <w:tcW w:w="1123" w:type="dxa"/>
            <w:noWrap/>
            <w:hideMark/>
          </w:tcPr>
          <w:p w:rsidR="00891D0F" w:rsidRPr="00F25213" w:rsidRDefault="00891D0F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2477" w:type="dxa"/>
          </w:tcPr>
          <w:p w:rsidR="00891D0F" w:rsidRDefault="00891D0F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1A4BC4" w:rsidTr="00A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FFE0CC" w:themeFill="accent3" w:themeFillTint="33"/>
            <w:noWrap/>
          </w:tcPr>
          <w:p w:rsidR="001A4BC4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U.S.</w:t>
            </w:r>
          </w:p>
        </w:tc>
        <w:tc>
          <w:tcPr>
            <w:tcW w:w="1123" w:type="dxa"/>
            <w:shd w:val="clear" w:color="auto" w:fill="FFE0CC" w:themeFill="accent3" w:themeFillTint="33"/>
            <w:noWrap/>
          </w:tcPr>
          <w:p w:rsidR="001A4BC4" w:rsidRDefault="001A4BC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2477" w:type="dxa"/>
            <w:shd w:val="clear" w:color="auto" w:fill="FFE0CC" w:themeFill="accent3" w:themeFillTint="33"/>
          </w:tcPr>
          <w:p w:rsidR="001A4BC4" w:rsidRDefault="001A4BC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  <w:tr w:rsidR="00247989" w:rsidTr="00847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noWrap/>
          </w:tcPr>
          <w:p w:rsidR="00247989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VA-</w:t>
            </w:r>
            <w:r w:rsidR="00247989">
              <w:rPr>
                <w:sz w:val="20"/>
                <w:szCs w:val="20"/>
              </w:rPr>
              <w:t>Males</w:t>
            </w:r>
          </w:p>
        </w:tc>
        <w:tc>
          <w:tcPr>
            <w:tcW w:w="1123" w:type="dxa"/>
            <w:shd w:val="clear" w:color="auto" w:fill="auto"/>
            <w:noWrap/>
          </w:tcPr>
          <w:p w:rsidR="00247989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477" w:type="dxa"/>
            <w:shd w:val="clear" w:color="auto" w:fill="auto"/>
          </w:tcPr>
          <w:p w:rsidR="00247989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247989" w:rsidTr="00847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FFE0CC" w:themeFill="accent3" w:themeFillTint="33"/>
            <w:noWrap/>
          </w:tcPr>
          <w:p w:rsidR="00247989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VA-</w:t>
            </w:r>
            <w:r w:rsidR="00247989">
              <w:rPr>
                <w:sz w:val="20"/>
                <w:szCs w:val="20"/>
              </w:rPr>
              <w:t>Females</w:t>
            </w:r>
          </w:p>
        </w:tc>
        <w:tc>
          <w:tcPr>
            <w:tcW w:w="1123" w:type="dxa"/>
            <w:shd w:val="clear" w:color="auto" w:fill="FFE0CC" w:themeFill="accent3" w:themeFillTint="33"/>
            <w:noWrap/>
          </w:tcPr>
          <w:p w:rsidR="00247989" w:rsidRDefault="0024798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2477" w:type="dxa"/>
            <w:shd w:val="clear" w:color="auto" w:fill="FFE0CC" w:themeFill="accent3" w:themeFillTint="33"/>
          </w:tcPr>
          <w:p w:rsidR="00247989" w:rsidRDefault="0024798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1A4BC4" w:rsidTr="00847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noWrap/>
          </w:tcPr>
          <w:p w:rsidR="001A4BC4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VA-Smoking Cigarettes</w:t>
            </w:r>
          </w:p>
        </w:tc>
        <w:tc>
          <w:tcPr>
            <w:tcW w:w="1123" w:type="dxa"/>
            <w:shd w:val="clear" w:color="auto" w:fill="auto"/>
            <w:noWrap/>
          </w:tcPr>
          <w:p w:rsidR="001A4BC4" w:rsidRDefault="001A4BC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477" w:type="dxa"/>
            <w:shd w:val="clear" w:color="auto" w:fill="auto"/>
          </w:tcPr>
          <w:p w:rsidR="001A4BC4" w:rsidRDefault="001A4BC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  <w:tr w:rsidR="001A4BC4" w:rsidTr="00A6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FFE0CC" w:themeFill="accent3" w:themeFillTint="33"/>
            <w:noWrap/>
          </w:tcPr>
          <w:p w:rsidR="001A4BC4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US-Smoking Cigarettes</w:t>
            </w:r>
          </w:p>
        </w:tc>
        <w:tc>
          <w:tcPr>
            <w:tcW w:w="1123" w:type="dxa"/>
            <w:shd w:val="clear" w:color="auto" w:fill="FFE0CC" w:themeFill="accent3" w:themeFillTint="33"/>
            <w:noWrap/>
          </w:tcPr>
          <w:p w:rsidR="001A4BC4" w:rsidRDefault="001A4BC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2477" w:type="dxa"/>
            <w:shd w:val="clear" w:color="auto" w:fill="FFE0CC" w:themeFill="accent3" w:themeFillTint="33"/>
          </w:tcPr>
          <w:p w:rsidR="001A4BC4" w:rsidRDefault="001A4BC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</w:tr>
      <w:tr w:rsidR="00247989" w:rsidTr="00847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noWrap/>
          </w:tcPr>
          <w:p w:rsidR="00247989" w:rsidRDefault="001A4BC4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VA-</w:t>
            </w:r>
            <w:r w:rsidR="00247989">
              <w:rPr>
                <w:sz w:val="20"/>
                <w:szCs w:val="20"/>
              </w:rPr>
              <w:t>Heavy Smokers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shd w:val="clear" w:color="auto" w:fill="auto"/>
            <w:noWrap/>
          </w:tcPr>
          <w:p w:rsidR="00247989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477" w:type="dxa"/>
            <w:shd w:val="clear" w:color="auto" w:fill="auto"/>
          </w:tcPr>
          <w:p w:rsidR="00247989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</w:tr>
    </w:tbl>
    <w:p w:rsidR="00A67F0E" w:rsidRPr="00F51974" w:rsidRDefault="00A67F0E" w:rsidP="00A67F0E">
      <w:pPr>
        <w:spacing w:after="0" w:line="240" w:lineRule="auto"/>
        <w:ind w:left="1440"/>
        <w:rPr>
          <w:sz w:val="20"/>
          <w:szCs w:val="20"/>
        </w:rPr>
      </w:pPr>
      <w:r w:rsidRPr="00247989">
        <w:rPr>
          <w:sz w:val="20"/>
          <w:szCs w:val="20"/>
        </w:rPr>
        <w:t>Source: Centers for Disease Control &amp; Prevention (CDC). Youth Risk Behavior Survey (YRBS)</w:t>
      </w:r>
      <w:r>
        <w:rPr>
          <w:sz w:val="20"/>
          <w:szCs w:val="20"/>
        </w:rPr>
        <w:t>.</w:t>
      </w:r>
    </w:p>
    <w:p w:rsidR="00247989" w:rsidRDefault="00247989" w:rsidP="0075671C">
      <w:pPr>
        <w:spacing w:after="0" w:line="240" w:lineRule="auto"/>
        <w:ind w:left="1440"/>
        <w:rPr>
          <w:sz w:val="20"/>
          <w:szCs w:val="20"/>
        </w:rPr>
      </w:pPr>
    </w:p>
    <w:tbl>
      <w:tblPr>
        <w:tblStyle w:val="MediumShading1-Accent1"/>
        <w:tblW w:w="7502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1459"/>
        <w:gridCol w:w="3751"/>
      </w:tblGrid>
      <w:tr w:rsidR="00247989" w:rsidTr="00247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3"/>
            <w:shd w:val="clear" w:color="auto" w:fill="74A510" w:themeFill="background2" w:themeFillShade="80"/>
            <w:noWrap/>
            <w:hideMark/>
          </w:tcPr>
          <w:p w:rsidR="00247989" w:rsidRDefault="00F609F8" w:rsidP="0024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of </w:t>
            </w:r>
            <w:r w:rsidR="00247989">
              <w:rPr>
                <w:sz w:val="20"/>
                <w:szCs w:val="20"/>
              </w:rPr>
              <w:t>High School Students Using Smokeless Tobacco, 2011-2013</w:t>
            </w:r>
          </w:p>
        </w:tc>
      </w:tr>
      <w:tr w:rsidR="00247989" w:rsidTr="0024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shd w:val="clear" w:color="auto" w:fill="DFF7AD" w:themeFill="background2" w:themeFillTint="99"/>
            <w:noWrap/>
            <w:vAlign w:val="bottom"/>
            <w:hideMark/>
          </w:tcPr>
          <w:p w:rsidR="00247989" w:rsidRPr="005E651A" w:rsidRDefault="00247989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FF7AD" w:themeFill="background2" w:themeFillTint="99"/>
            <w:noWrap/>
            <w:vAlign w:val="bottom"/>
            <w:hideMark/>
          </w:tcPr>
          <w:p w:rsidR="00247989" w:rsidRPr="005E651A" w:rsidRDefault="0024798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3751" w:type="dxa"/>
            <w:shd w:val="clear" w:color="auto" w:fill="DFF7AD" w:themeFill="background2" w:themeFillTint="99"/>
          </w:tcPr>
          <w:p w:rsidR="00247989" w:rsidRDefault="0024798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</w:tr>
      <w:tr w:rsidR="00247989" w:rsidTr="00261D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noWrap/>
            <w:hideMark/>
          </w:tcPr>
          <w:p w:rsidR="00247989" w:rsidRPr="00F25213" w:rsidRDefault="00247989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</w:t>
            </w:r>
          </w:p>
        </w:tc>
        <w:tc>
          <w:tcPr>
            <w:tcW w:w="1459" w:type="dxa"/>
            <w:noWrap/>
            <w:hideMark/>
          </w:tcPr>
          <w:p w:rsidR="00247989" w:rsidRPr="00F25213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3751" w:type="dxa"/>
          </w:tcPr>
          <w:p w:rsidR="00247989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1A4BC4" w:rsidTr="0024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shd w:val="clear" w:color="auto" w:fill="DFF7AD" w:themeFill="background2" w:themeFillTint="99"/>
            <w:noWrap/>
          </w:tcPr>
          <w:p w:rsidR="001A4BC4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  <w:tc>
          <w:tcPr>
            <w:tcW w:w="1459" w:type="dxa"/>
            <w:shd w:val="clear" w:color="auto" w:fill="DFF7AD" w:themeFill="background2" w:themeFillTint="99"/>
            <w:noWrap/>
          </w:tcPr>
          <w:p w:rsidR="001A4BC4" w:rsidRDefault="001A4BC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3751" w:type="dxa"/>
            <w:shd w:val="clear" w:color="auto" w:fill="DFF7AD" w:themeFill="background2" w:themeFillTint="99"/>
          </w:tcPr>
          <w:p w:rsidR="001A4BC4" w:rsidRDefault="001A4BC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</w:tr>
      <w:tr w:rsidR="00247989" w:rsidTr="00847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  <w:noWrap/>
          </w:tcPr>
          <w:p w:rsidR="00247989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VA-</w:t>
            </w:r>
            <w:r w:rsidR="00247989">
              <w:rPr>
                <w:sz w:val="20"/>
                <w:szCs w:val="20"/>
              </w:rPr>
              <w:t>Males</w:t>
            </w:r>
          </w:p>
        </w:tc>
        <w:tc>
          <w:tcPr>
            <w:tcW w:w="1459" w:type="dxa"/>
            <w:shd w:val="clear" w:color="auto" w:fill="auto"/>
            <w:noWrap/>
          </w:tcPr>
          <w:p w:rsidR="00247989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3751" w:type="dxa"/>
            <w:shd w:val="clear" w:color="auto" w:fill="auto"/>
          </w:tcPr>
          <w:p w:rsidR="00247989" w:rsidRDefault="00247989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</w:tr>
      <w:tr w:rsidR="00247989" w:rsidTr="002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  <w:noWrap/>
          </w:tcPr>
          <w:p w:rsidR="00247989" w:rsidRDefault="001A4BC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VA-</w:t>
            </w:r>
            <w:r w:rsidR="00247989">
              <w:rPr>
                <w:sz w:val="20"/>
                <w:szCs w:val="20"/>
              </w:rPr>
              <w:t>Females</w:t>
            </w:r>
          </w:p>
        </w:tc>
        <w:tc>
          <w:tcPr>
            <w:tcW w:w="1459" w:type="dxa"/>
            <w:noWrap/>
          </w:tcPr>
          <w:p w:rsidR="00247989" w:rsidRDefault="0024798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3751" w:type="dxa"/>
          </w:tcPr>
          <w:p w:rsidR="00247989" w:rsidRDefault="00247989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</w:tr>
    </w:tbl>
    <w:p w:rsidR="00891D0F" w:rsidRPr="00F51974" w:rsidRDefault="00247989" w:rsidP="00A67F0E">
      <w:pPr>
        <w:spacing w:after="0" w:line="240" w:lineRule="auto"/>
        <w:ind w:left="1440"/>
        <w:rPr>
          <w:sz w:val="20"/>
          <w:szCs w:val="20"/>
        </w:rPr>
      </w:pPr>
      <w:r w:rsidRPr="00247989">
        <w:rPr>
          <w:sz w:val="20"/>
          <w:szCs w:val="20"/>
        </w:rPr>
        <w:t xml:space="preserve">Source: Centers for Disease Control &amp; Prevention (CDC). Youth Risk Behavior </w:t>
      </w:r>
      <w:r w:rsidR="001A4BC4" w:rsidRPr="00247989">
        <w:rPr>
          <w:sz w:val="20"/>
          <w:szCs w:val="20"/>
        </w:rPr>
        <w:t>Survey (</w:t>
      </w:r>
      <w:r w:rsidRPr="00247989">
        <w:rPr>
          <w:sz w:val="20"/>
          <w:szCs w:val="20"/>
        </w:rPr>
        <w:t>YRBS)</w:t>
      </w:r>
      <w:r w:rsidR="001A4BC4">
        <w:rPr>
          <w:sz w:val="20"/>
          <w:szCs w:val="20"/>
        </w:rPr>
        <w:t>.</w:t>
      </w:r>
    </w:p>
    <w:p w:rsidR="005E651A" w:rsidRDefault="005E651A" w:rsidP="008E16C4">
      <w:pPr>
        <w:spacing w:after="0" w:line="240" w:lineRule="auto"/>
        <w:rPr>
          <w:b/>
          <w:bCs/>
        </w:rPr>
      </w:pPr>
    </w:p>
    <w:p w:rsidR="00F25213" w:rsidRPr="006118E1" w:rsidRDefault="00247989" w:rsidP="006118E1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  <w:u w:val="single"/>
        </w:rPr>
      </w:pPr>
      <w:r w:rsidRPr="006118E1">
        <w:rPr>
          <w:b/>
          <w:bCs/>
          <w:sz w:val="26"/>
          <w:szCs w:val="26"/>
          <w:u w:val="single"/>
        </w:rPr>
        <w:t>Obesity</w:t>
      </w:r>
    </w:p>
    <w:p w:rsidR="006118E1" w:rsidRPr="006118E1" w:rsidRDefault="006118E1" w:rsidP="006118E1">
      <w:pPr>
        <w:pStyle w:val="ListParagraph"/>
        <w:spacing w:after="0" w:line="240" w:lineRule="auto"/>
        <w:rPr>
          <w:u w:val="single"/>
        </w:rPr>
      </w:pPr>
    </w:p>
    <w:tbl>
      <w:tblPr>
        <w:tblStyle w:val="LightList-Accent3"/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128"/>
        <w:gridCol w:w="1530"/>
      </w:tblGrid>
      <w:tr w:rsidR="009D55DC" w:rsidRPr="000C7749" w:rsidTr="00F6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3"/>
            <w:noWrap/>
          </w:tcPr>
          <w:p w:rsidR="009D55DC" w:rsidRPr="000C7749" w:rsidRDefault="009D55DC" w:rsidP="00247989">
            <w:pPr>
              <w:jc w:val="center"/>
              <w:rPr>
                <w:sz w:val="20"/>
                <w:szCs w:val="20"/>
              </w:rPr>
            </w:pPr>
            <w:r w:rsidRPr="000C7749">
              <w:rPr>
                <w:b w:val="0"/>
                <w:sz w:val="20"/>
                <w:szCs w:val="20"/>
              </w:rPr>
              <w:t xml:space="preserve">Percent of </w:t>
            </w:r>
            <w:r w:rsidR="00247989">
              <w:rPr>
                <w:b w:val="0"/>
                <w:sz w:val="20"/>
                <w:szCs w:val="20"/>
              </w:rPr>
              <w:t>Adults Who are Obese</w:t>
            </w:r>
            <w:r>
              <w:rPr>
                <w:b w:val="0"/>
                <w:sz w:val="20"/>
                <w:szCs w:val="20"/>
              </w:rPr>
              <w:t>:</w:t>
            </w:r>
          </w:p>
        </w:tc>
      </w:tr>
      <w:tr w:rsidR="009D55DC" w:rsidRPr="000C7749" w:rsidTr="009D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9D55DC" w:rsidRPr="000C7749" w:rsidRDefault="009D55DC" w:rsidP="008E16C4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9D55DC" w:rsidRPr="000C7749" w:rsidRDefault="00F609F8" w:rsidP="008E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TJHD </w:t>
            </w:r>
          </w:p>
        </w:tc>
        <w:tc>
          <w:tcPr>
            <w:tcW w:w="1530" w:type="dxa"/>
            <w:noWrap/>
            <w:vAlign w:val="bottom"/>
            <w:hideMark/>
          </w:tcPr>
          <w:p w:rsidR="009D55DC" w:rsidRPr="000C7749" w:rsidRDefault="00F609F8" w:rsidP="008E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Virginia </w:t>
            </w:r>
          </w:p>
        </w:tc>
      </w:tr>
      <w:tr w:rsidR="009D55DC" w:rsidRPr="000C7749" w:rsidTr="009D55D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hideMark/>
          </w:tcPr>
          <w:p w:rsidR="009D55DC" w:rsidRPr="000C7749" w:rsidRDefault="00247989" w:rsidP="008E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2011-2013</w:t>
            </w:r>
          </w:p>
        </w:tc>
        <w:tc>
          <w:tcPr>
            <w:tcW w:w="2128" w:type="dxa"/>
          </w:tcPr>
          <w:p w:rsidR="009D55DC" w:rsidRPr="000C7749" w:rsidRDefault="00247989" w:rsidP="008E16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</w:t>
            </w:r>
            <w:r w:rsidR="00F609F8"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noWrap/>
          </w:tcPr>
          <w:p w:rsidR="009D55DC" w:rsidRPr="000C7749" w:rsidRDefault="00247989" w:rsidP="008E16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</w:t>
            </w:r>
            <w:r w:rsidR="00F609F8">
              <w:rPr>
                <w:sz w:val="20"/>
                <w:szCs w:val="20"/>
              </w:rPr>
              <w:t>%</w:t>
            </w:r>
          </w:p>
        </w:tc>
      </w:tr>
    </w:tbl>
    <w:p w:rsidR="00247989" w:rsidRPr="00A67F0E" w:rsidRDefault="00302E52" w:rsidP="00A67F0E">
      <w:pPr>
        <w:tabs>
          <w:tab w:val="left" w:pos="4683"/>
        </w:tabs>
        <w:spacing w:after="0" w:line="240" w:lineRule="auto"/>
        <w:ind w:left="1440"/>
        <w:rPr>
          <w:sz w:val="10"/>
          <w:szCs w:val="10"/>
        </w:rPr>
      </w:pPr>
      <w:r>
        <w:rPr>
          <w:sz w:val="20"/>
          <w:szCs w:val="20"/>
        </w:rPr>
        <w:t>S</w:t>
      </w:r>
      <w:r w:rsidR="00D94B34" w:rsidRPr="00D94B34">
        <w:rPr>
          <w:sz w:val="20"/>
          <w:szCs w:val="20"/>
        </w:rPr>
        <w:t xml:space="preserve">ource: </w:t>
      </w:r>
      <w:r w:rsidR="00247989" w:rsidRPr="00247989">
        <w:rPr>
          <w:sz w:val="20"/>
          <w:szCs w:val="20"/>
        </w:rPr>
        <w:t>Virginia Department of Health. Behavioral Risk Factor Surveillance Survey</w:t>
      </w:r>
    </w:p>
    <w:p w:rsidR="00247989" w:rsidRDefault="00247989" w:rsidP="00247989">
      <w:pPr>
        <w:spacing w:after="0" w:line="240" w:lineRule="auto"/>
        <w:ind w:left="720" w:firstLine="360"/>
        <w:rPr>
          <w:sz w:val="20"/>
          <w:szCs w:val="20"/>
        </w:rPr>
      </w:pPr>
    </w:p>
    <w:p w:rsidR="00575BA5" w:rsidRDefault="00575BA5" w:rsidP="00247989">
      <w:pPr>
        <w:spacing w:after="0" w:line="240" w:lineRule="auto"/>
        <w:ind w:left="720" w:firstLine="360"/>
        <w:rPr>
          <w:bCs/>
          <w:sz w:val="20"/>
          <w:szCs w:val="20"/>
        </w:rPr>
      </w:pPr>
    </w:p>
    <w:tbl>
      <w:tblPr>
        <w:tblStyle w:val="MediumShading1-Accent1"/>
        <w:tblW w:w="814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119"/>
        <w:gridCol w:w="3538"/>
      </w:tblGrid>
      <w:tr w:rsidR="00575BA5" w:rsidTr="00575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6" w:type="dxa"/>
            <w:gridSpan w:val="3"/>
            <w:shd w:val="clear" w:color="auto" w:fill="FF6700" w:themeFill="accent3"/>
            <w:noWrap/>
            <w:hideMark/>
          </w:tcPr>
          <w:p w:rsidR="00575BA5" w:rsidRDefault="00A9637F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of </w:t>
            </w:r>
            <w:r w:rsidR="00575BA5">
              <w:rPr>
                <w:sz w:val="20"/>
                <w:szCs w:val="20"/>
              </w:rPr>
              <w:t>Youth-Normal Body Composition in VA, 2009-10 to 2013-14</w:t>
            </w:r>
          </w:p>
        </w:tc>
      </w:tr>
      <w:tr w:rsidR="00575BA5" w:rsidTr="00575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  <w:vAlign w:val="bottom"/>
            <w:hideMark/>
          </w:tcPr>
          <w:p w:rsidR="00575BA5" w:rsidRPr="005E651A" w:rsidRDefault="00575BA5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E0CC" w:themeFill="accent3" w:themeFillTint="33"/>
            <w:noWrap/>
            <w:vAlign w:val="bottom"/>
            <w:hideMark/>
          </w:tcPr>
          <w:p w:rsidR="00575BA5" w:rsidRPr="005E651A" w:rsidRDefault="00575BA5" w:rsidP="00A9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Boys Grades 4-12 </w:t>
            </w:r>
          </w:p>
        </w:tc>
        <w:tc>
          <w:tcPr>
            <w:tcW w:w="3538" w:type="dxa"/>
            <w:shd w:val="clear" w:color="auto" w:fill="FFE0CC" w:themeFill="accent3" w:themeFillTint="33"/>
          </w:tcPr>
          <w:p w:rsidR="00575BA5" w:rsidRDefault="00575BA5" w:rsidP="00A9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</w:t>
            </w:r>
            <w:r w:rsidR="00A9637F">
              <w:rPr>
                <w:b/>
                <w:sz w:val="20"/>
                <w:szCs w:val="20"/>
              </w:rPr>
              <w:t xml:space="preserve"> Grades 4-12</w:t>
            </w:r>
          </w:p>
        </w:tc>
      </w:tr>
      <w:tr w:rsidR="00575BA5" w:rsidTr="00575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  <w:hideMark/>
          </w:tcPr>
          <w:p w:rsidR="00575BA5" w:rsidRPr="00F25213" w:rsidRDefault="00575BA5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2009-10</w:t>
            </w:r>
          </w:p>
        </w:tc>
        <w:tc>
          <w:tcPr>
            <w:tcW w:w="2119" w:type="dxa"/>
            <w:noWrap/>
            <w:hideMark/>
          </w:tcPr>
          <w:p w:rsidR="00575BA5" w:rsidRPr="00F25213" w:rsidRDefault="00847E9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3538" w:type="dxa"/>
          </w:tcPr>
          <w:p w:rsidR="00575BA5" w:rsidRDefault="00847E9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575BA5" w:rsidTr="00575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</w:tcPr>
          <w:p w:rsidR="00575BA5" w:rsidRDefault="00575BA5" w:rsidP="0057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2010-11</w:t>
            </w:r>
          </w:p>
        </w:tc>
        <w:tc>
          <w:tcPr>
            <w:tcW w:w="2119" w:type="dxa"/>
            <w:shd w:val="clear" w:color="auto" w:fill="FFE0CC" w:themeFill="accent3" w:themeFillTint="33"/>
            <w:noWrap/>
          </w:tcPr>
          <w:p w:rsidR="00575BA5" w:rsidRDefault="00847E9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3538" w:type="dxa"/>
            <w:shd w:val="clear" w:color="auto" w:fill="FFE0CC" w:themeFill="accent3" w:themeFillTint="33"/>
          </w:tcPr>
          <w:p w:rsidR="00575BA5" w:rsidRDefault="00847E9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575BA5" w:rsidTr="00575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575BA5" w:rsidRDefault="00575BA5" w:rsidP="0057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2011-12</w:t>
            </w:r>
          </w:p>
        </w:tc>
        <w:tc>
          <w:tcPr>
            <w:tcW w:w="2119" w:type="dxa"/>
            <w:noWrap/>
          </w:tcPr>
          <w:p w:rsidR="00575BA5" w:rsidRDefault="00847E9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3538" w:type="dxa"/>
          </w:tcPr>
          <w:p w:rsidR="00575BA5" w:rsidRDefault="00847E9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575BA5" w:rsidTr="00575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</w:tcPr>
          <w:p w:rsidR="00575BA5" w:rsidRDefault="00575BA5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2012-13</w:t>
            </w:r>
          </w:p>
        </w:tc>
        <w:tc>
          <w:tcPr>
            <w:tcW w:w="2119" w:type="dxa"/>
            <w:shd w:val="clear" w:color="auto" w:fill="FFE0CC" w:themeFill="accent3" w:themeFillTint="33"/>
            <w:noWrap/>
          </w:tcPr>
          <w:p w:rsidR="00575BA5" w:rsidRDefault="00847E9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3538" w:type="dxa"/>
            <w:shd w:val="clear" w:color="auto" w:fill="FFE0CC" w:themeFill="accent3" w:themeFillTint="33"/>
          </w:tcPr>
          <w:p w:rsidR="00575BA5" w:rsidRDefault="00847E94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575BA5" w:rsidTr="00575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auto"/>
            <w:noWrap/>
          </w:tcPr>
          <w:p w:rsidR="00575BA5" w:rsidRDefault="00575BA5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2013-14</w:t>
            </w:r>
          </w:p>
        </w:tc>
        <w:tc>
          <w:tcPr>
            <w:tcW w:w="2119" w:type="dxa"/>
            <w:shd w:val="clear" w:color="auto" w:fill="auto"/>
            <w:noWrap/>
          </w:tcPr>
          <w:p w:rsidR="00575BA5" w:rsidRDefault="00847E9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3538" w:type="dxa"/>
            <w:shd w:val="clear" w:color="auto" w:fill="auto"/>
          </w:tcPr>
          <w:p w:rsidR="00575BA5" w:rsidRDefault="00847E94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575BA5" w:rsidRPr="00575BA5" w:rsidRDefault="00575BA5" w:rsidP="00A67F0E">
      <w:pPr>
        <w:spacing w:after="0" w:line="240" w:lineRule="auto"/>
        <w:ind w:left="1440"/>
        <w:rPr>
          <w:bCs/>
          <w:sz w:val="20"/>
          <w:szCs w:val="20"/>
        </w:rPr>
      </w:pPr>
      <w:r w:rsidRPr="00575BA5">
        <w:rPr>
          <w:bCs/>
          <w:sz w:val="20"/>
          <w:szCs w:val="20"/>
        </w:rPr>
        <w:t>Source: Virginia Department of Education, Summary Fitness Reports</w:t>
      </w:r>
    </w:p>
    <w:p w:rsidR="00575BA5" w:rsidRPr="00575BA5" w:rsidRDefault="00575BA5" w:rsidP="00247989">
      <w:pPr>
        <w:spacing w:after="0" w:line="240" w:lineRule="auto"/>
        <w:ind w:left="720" w:firstLine="360"/>
        <w:rPr>
          <w:bCs/>
          <w:sz w:val="20"/>
          <w:szCs w:val="20"/>
        </w:rPr>
      </w:pPr>
    </w:p>
    <w:p w:rsidR="002757FA" w:rsidRDefault="002757FA" w:rsidP="008E16C4">
      <w:pPr>
        <w:spacing w:after="0" w:line="240" w:lineRule="auto"/>
        <w:rPr>
          <w:b/>
          <w:bCs/>
        </w:rPr>
      </w:pPr>
    </w:p>
    <w:p w:rsidR="00D94B34" w:rsidRPr="006118E1" w:rsidRDefault="00575BA5" w:rsidP="006118E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6118E1">
        <w:rPr>
          <w:b/>
          <w:bCs/>
          <w:sz w:val="26"/>
          <w:szCs w:val="26"/>
          <w:u w:val="single"/>
        </w:rPr>
        <w:t>Physical Activity and Physical Exercise</w:t>
      </w:r>
    </w:p>
    <w:p w:rsidR="006118E1" w:rsidRPr="00B54127" w:rsidRDefault="006118E1" w:rsidP="006118E1">
      <w:pPr>
        <w:pStyle w:val="ListParagraph"/>
        <w:spacing w:after="0" w:line="240" w:lineRule="auto"/>
        <w:rPr>
          <w:b/>
          <w:bCs/>
        </w:rPr>
      </w:pPr>
    </w:p>
    <w:tbl>
      <w:tblPr>
        <w:tblStyle w:val="LightList-Accent4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2064"/>
        <w:gridCol w:w="1415"/>
        <w:gridCol w:w="2032"/>
        <w:gridCol w:w="2032"/>
      </w:tblGrid>
      <w:tr w:rsidR="00575BA5" w:rsidRPr="000C7749" w:rsidTr="00EA5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5"/>
            <w:shd w:val="clear" w:color="auto" w:fill="74A510" w:themeFill="background2" w:themeFillShade="80"/>
          </w:tcPr>
          <w:p w:rsidR="00575BA5" w:rsidRPr="00575BA5" w:rsidRDefault="00575BA5" w:rsidP="00575BA5">
            <w:pPr>
              <w:jc w:val="center"/>
              <w:rPr>
                <w:b w:val="0"/>
                <w:sz w:val="18"/>
                <w:szCs w:val="20"/>
              </w:rPr>
            </w:pPr>
            <w:r>
              <w:rPr>
                <w:sz w:val="20"/>
                <w:szCs w:val="20"/>
              </w:rPr>
              <w:t>Percent of Adults (Age 20+) Reporting No Leisure Time Physical Activity</w:t>
            </w:r>
          </w:p>
        </w:tc>
      </w:tr>
      <w:tr w:rsidR="00575BA5" w:rsidRPr="000C7749" w:rsidTr="00575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575BA5" w:rsidRPr="000C7749" w:rsidRDefault="00575BA5" w:rsidP="008E16C4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  <w:noWrap/>
            <w:hideMark/>
          </w:tcPr>
          <w:p w:rsidR="00575BA5" w:rsidRPr="00EA5A2E" w:rsidRDefault="00575BA5" w:rsidP="0057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5A2E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415" w:type="dxa"/>
            <w:noWrap/>
            <w:hideMark/>
          </w:tcPr>
          <w:p w:rsidR="00575BA5" w:rsidRPr="00EA5A2E" w:rsidRDefault="00575BA5" w:rsidP="0057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5A2E">
              <w:rPr>
                <w:b/>
                <w:sz w:val="20"/>
                <w:szCs w:val="20"/>
              </w:rPr>
              <w:t>2012</w:t>
            </w:r>
            <w:r w:rsidR="00A963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</w:tcPr>
          <w:p w:rsidR="00575BA5" w:rsidRPr="00EA5A2E" w:rsidRDefault="00575BA5" w:rsidP="0057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5A2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032" w:type="dxa"/>
            <w:noWrap/>
          </w:tcPr>
          <w:p w:rsidR="00575BA5" w:rsidRPr="00EA5A2E" w:rsidRDefault="00575BA5" w:rsidP="0057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5A2E">
              <w:rPr>
                <w:b/>
                <w:sz w:val="20"/>
                <w:szCs w:val="20"/>
              </w:rPr>
              <w:t>2014</w:t>
            </w:r>
          </w:p>
        </w:tc>
      </w:tr>
      <w:tr w:rsidR="00575BA5" w:rsidRPr="000C7749" w:rsidTr="00575BA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575BA5" w:rsidRPr="000C7749" w:rsidRDefault="00AF489F" w:rsidP="00AF4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Fluvanna</w:t>
            </w:r>
          </w:p>
        </w:tc>
        <w:tc>
          <w:tcPr>
            <w:tcW w:w="2064" w:type="dxa"/>
            <w:noWrap/>
          </w:tcPr>
          <w:p w:rsidR="00575BA5" w:rsidRPr="000C7749" w:rsidRDefault="00AF489F" w:rsidP="0057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415" w:type="dxa"/>
            <w:noWrap/>
          </w:tcPr>
          <w:p w:rsidR="00575BA5" w:rsidRDefault="00AF489F" w:rsidP="0057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032" w:type="dxa"/>
          </w:tcPr>
          <w:p w:rsidR="00575BA5" w:rsidRDefault="00AF489F" w:rsidP="0057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032" w:type="dxa"/>
            <w:noWrap/>
          </w:tcPr>
          <w:p w:rsidR="00575BA5" w:rsidRDefault="00A9637F" w:rsidP="00AF4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8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%</w:t>
            </w:r>
          </w:p>
        </w:tc>
      </w:tr>
      <w:tr w:rsidR="00575BA5" w:rsidRPr="000C7749" w:rsidTr="00575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575BA5" w:rsidRPr="000C7749" w:rsidRDefault="00AF489F" w:rsidP="00261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</w:t>
            </w:r>
          </w:p>
        </w:tc>
        <w:tc>
          <w:tcPr>
            <w:tcW w:w="2064" w:type="dxa"/>
            <w:noWrap/>
          </w:tcPr>
          <w:p w:rsidR="00575BA5" w:rsidRPr="000C7749" w:rsidRDefault="00AF489F" w:rsidP="0057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415" w:type="dxa"/>
            <w:noWrap/>
            <w:hideMark/>
          </w:tcPr>
          <w:p w:rsidR="00575BA5" w:rsidRPr="000C7749" w:rsidRDefault="00AF489F" w:rsidP="0057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032" w:type="dxa"/>
          </w:tcPr>
          <w:p w:rsidR="00575BA5" w:rsidRDefault="00AF489F" w:rsidP="00AF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032" w:type="dxa"/>
            <w:noWrap/>
          </w:tcPr>
          <w:p w:rsidR="00575BA5" w:rsidRPr="000C7749" w:rsidRDefault="00AF489F" w:rsidP="0057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5E651A" w:rsidRDefault="00302E52" w:rsidP="00E71EE6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S</w:t>
      </w:r>
      <w:r w:rsidR="000A7B4A" w:rsidRPr="000A7B4A">
        <w:rPr>
          <w:sz w:val="20"/>
          <w:szCs w:val="20"/>
        </w:rPr>
        <w:t>ource</w:t>
      </w:r>
      <w:r w:rsidR="0095440C">
        <w:rPr>
          <w:sz w:val="20"/>
          <w:szCs w:val="20"/>
        </w:rPr>
        <w:t>s</w:t>
      </w:r>
      <w:r w:rsidR="000A7B4A" w:rsidRPr="000A7B4A">
        <w:rPr>
          <w:sz w:val="20"/>
          <w:szCs w:val="20"/>
        </w:rPr>
        <w:t xml:space="preserve">: </w:t>
      </w:r>
      <w:r w:rsidR="00575BA5">
        <w:rPr>
          <w:sz w:val="20"/>
          <w:szCs w:val="20"/>
        </w:rPr>
        <w:t>US County Health Rankings</w:t>
      </w:r>
    </w:p>
    <w:p w:rsidR="00A67F0E" w:rsidRDefault="00A67F0E" w:rsidP="00E71EE6">
      <w:pPr>
        <w:spacing w:after="0" w:line="240" w:lineRule="auto"/>
        <w:ind w:left="1440"/>
        <w:rPr>
          <w:sz w:val="20"/>
          <w:szCs w:val="20"/>
        </w:rPr>
      </w:pPr>
    </w:p>
    <w:p w:rsidR="00A67F0E" w:rsidRDefault="00A67F0E" w:rsidP="004D1DBF">
      <w:pPr>
        <w:spacing w:after="0" w:line="240" w:lineRule="auto"/>
        <w:rPr>
          <w:sz w:val="20"/>
          <w:szCs w:val="20"/>
        </w:rPr>
      </w:pPr>
    </w:p>
    <w:p w:rsidR="00A67F0E" w:rsidRDefault="00A67F0E" w:rsidP="00E71EE6">
      <w:pPr>
        <w:spacing w:after="0" w:line="240" w:lineRule="auto"/>
        <w:ind w:left="1440"/>
        <w:rPr>
          <w:sz w:val="20"/>
          <w:szCs w:val="20"/>
        </w:rPr>
      </w:pPr>
    </w:p>
    <w:tbl>
      <w:tblPr>
        <w:tblStyle w:val="MediumShading1-Accent4"/>
        <w:tblW w:w="8146" w:type="dxa"/>
        <w:tblInd w:w="1440" w:type="dxa"/>
        <w:tblLook w:val="04A0" w:firstRow="1" w:lastRow="0" w:firstColumn="1" w:lastColumn="0" w:noHBand="0" w:noVBand="1"/>
      </w:tblPr>
      <w:tblGrid>
        <w:gridCol w:w="6228"/>
        <w:gridCol w:w="900"/>
        <w:gridCol w:w="1018"/>
      </w:tblGrid>
      <w:tr w:rsidR="00EA5A2E" w:rsidTr="00D5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6" w:type="dxa"/>
            <w:gridSpan w:val="3"/>
            <w:noWrap/>
            <w:hideMark/>
          </w:tcPr>
          <w:p w:rsidR="00EA5A2E" w:rsidRDefault="00A9637F" w:rsidP="00EA5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of </w:t>
            </w:r>
            <w:r w:rsidR="00EA5A2E">
              <w:rPr>
                <w:sz w:val="20"/>
                <w:szCs w:val="20"/>
              </w:rPr>
              <w:t>Physical Activity in High School Students in Virginia</w:t>
            </w:r>
            <w:r w:rsidR="00D501F9">
              <w:rPr>
                <w:sz w:val="20"/>
                <w:szCs w:val="20"/>
              </w:rPr>
              <w:t xml:space="preserve"> and the U.S.</w:t>
            </w:r>
            <w:r w:rsidR="00EA5A2E">
              <w:rPr>
                <w:sz w:val="20"/>
                <w:szCs w:val="20"/>
              </w:rPr>
              <w:t>, 2013</w:t>
            </w:r>
          </w:p>
        </w:tc>
      </w:tr>
      <w:tr w:rsidR="00EA5A2E" w:rsidTr="00D5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hideMark/>
          </w:tcPr>
          <w:p w:rsidR="00EA5A2E" w:rsidRPr="005E651A" w:rsidRDefault="00EA5A2E" w:rsidP="00847E94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EA5A2E" w:rsidRPr="005E651A" w:rsidRDefault="00D501F9" w:rsidP="00EA5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</w:t>
            </w:r>
          </w:p>
        </w:tc>
        <w:tc>
          <w:tcPr>
            <w:tcW w:w="1018" w:type="dxa"/>
          </w:tcPr>
          <w:p w:rsidR="00EA5A2E" w:rsidRDefault="00D501F9" w:rsidP="00EA5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</w:t>
            </w:r>
          </w:p>
        </w:tc>
      </w:tr>
      <w:tr w:rsidR="00EA5A2E" w:rsidTr="00D5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hideMark/>
          </w:tcPr>
          <w:p w:rsidR="00EA5A2E" w:rsidRPr="00F25213" w:rsidRDefault="00EA5A2E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physically active for at least 1 hour on 5 or more days in the past week</w:t>
            </w:r>
          </w:p>
        </w:tc>
        <w:tc>
          <w:tcPr>
            <w:tcW w:w="900" w:type="dxa"/>
            <w:noWrap/>
          </w:tcPr>
          <w:p w:rsidR="00EA5A2E" w:rsidRPr="00F25213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EA5A2E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D501F9" w:rsidTr="00D5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</w:tcPr>
          <w:p w:rsidR="00D501F9" w:rsidRDefault="00D501F9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Played video/computer games or used a computer (other than for school work) for 3 or more hours per day on average school day</w:t>
            </w:r>
          </w:p>
        </w:tc>
        <w:tc>
          <w:tcPr>
            <w:tcW w:w="900" w:type="dxa"/>
            <w:noWrap/>
          </w:tcPr>
          <w:p w:rsidR="00D501F9" w:rsidRDefault="00D501F9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D501F9" w:rsidRDefault="00D501F9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EA5A2E" w:rsidTr="00D5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</w:tcPr>
          <w:p w:rsidR="00EA5A2E" w:rsidRDefault="00EA5A2E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Watched TV for 3 or more hours per day on an average school day</w:t>
            </w:r>
          </w:p>
        </w:tc>
        <w:tc>
          <w:tcPr>
            <w:tcW w:w="900" w:type="dxa"/>
            <w:noWrap/>
          </w:tcPr>
          <w:p w:rsidR="00EA5A2E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EA5A2E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D501F9" w:rsidTr="00D5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</w:tcPr>
          <w:p w:rsidR="00EA5A2E" w:rsidRDefault="00EA5A2E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attend a PE class on at least 1 day in an average week they were in school</w:t>
            </w:r>
          </w:p>
        </w:tc>
        <w:tc>
          <w:tcPr>
            <w:tcW w:w="900" w:type="dxa"/>
            <w:noWrap/>
          </w:tcPr>
          <w:p w:rsidR="00EA5A2E" w:rsidRDefault="00D501F9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EA5A2E" w:rsidRDefault="00D501F9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EA5A2E" w:rsidRDefault="00D501F9" w:rsidP="00E71EE6">
      <w:pPr>
        <w:spacing w:after="0" w:line="240" w:lineRule="auto"/>
        <w:ind w:left="1440"/>
        <w:rPr>
          <w:sz w:val="20"/>
          <w:szCs w:val="20"/>
        </w:rPr>
      </w:pPr>
      <w:r w:rsidRPr="00D501F9">
        <w:rPr>
          <w:sz w:val="20"/>
          <w:szCs w:val="20"/>
        </w:rPr>
        <w:t xml:space="preserve">Source: Centers for Disease Control &amp; Prevention (CDC). </w:t>
      </w:r>
      <w:proofErr w:type="gramStart"/>
      <w:r w:rsidRPr="00D501F9">
        <w:rPr>
          <w:sz w:val="20"/>
          <w:szCs w:val="20"/>
        </w:rPr>
        <w:t>Youth Risk Behavior Surveillance System (YRBSS</w:t>
      </w:r>
      <w:r>
        <w:rPr>
          <w:sz w:val="20"/>
          <w:szCs w:val="20"/>
        </w:rPr>
        <w:t>)</w:t>
      </w:r>
      <w:r w:rsidR="006557CC">
        <w:rPr>
          <w:sz w:val="20"/>
          <w:szCs w:val="20"/>
        </w:rPr>
        <w:t>.</w:t>
      </w:r>
      <w:proofErr w:type="gramEnd"/>
    </w:p>
    <w:p w:rsidR="00D501F9" w:rsidRDefault="00D501F9" w:rsidP="00E71EE6">
      <w:pPr>
        <w:spacing w:after="0" w:line="240" w:lineRule="auto"/>
        <w:ind w:left="1440"/>
        <w:rPr>
          <w:sz w:val="20"/>
          <w:szCs w:val="20"/>
        </w:rPr>
      </w:pPr>
    </w:p>
    <w:tbl>
      <w:tblPr>
        <w:tblStyle w:val="MediumShading1-Accent5"/>
        <w:tblW w:w="8146" w:type="dxa"/>
        <w:tblInd w:w="1440" w:type="dxa"/>
        <w:tblLook w:val="04A0" w:firstRow="1" w:lastRow="0" w:firstColumn="1" w:lastColumn="0" w:noHBand="0" w:noVBand="1"/>
      </w:tblPr>
      <w:tblGrid>
        <w:gridCol w:w="5778"/>
        <w:gridCol w:w="1350"/>
        <w:gridCol w:w="1018"/>
      </w:tblGrid>
      <w:tr w:rsidR="00D501F9" w:rsidTr="00847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6" w:type="dxa"/>
            <w:gridSpan w:val="3"/>
            <w:noWrap/>
            <w:hideMark/>
          </w:tcPr>
          <w:p w:rsidR="00D501F9" w:rsidRDefault="00A9637F" w:rsidP="00847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Percent of </w:t>
            </w:r>
            <w:r w:rsidR="00D501F9">
              <w:rPr>
                <w:sz w:val="20"/>
                <w:szCs w:val="20"/>
              </w:rPr>
              <w:t>Physical Activity in High School Students in Virginia, 2013</w:t>
            </w:r>
          </w:p>
        </w:tc>
      </w:tr>
      <w:tr w:rsidR="00D501F9" w:rsidTr="00141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hideMark/>
          </w:tcPr>
          <w:p w:rsidR="00D501F9" w:rsidRPr="005E651A" w:rsidRDefault="00D501F9" w:rsidP="00847E94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501F9" w:rsidRPr="005E651A" w:rsidRDefault="00A9637F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</w:t>
            </w:r>
          </w:p>
        </w:tc>
        <w:tc>
          <w:tcPr>
            <w:tcW w:w="1018" w:type="dxa"/>
          </w:tcPr>
          <w:p w:rsidR="00D501F9" w:rsidRDefault="00A9637F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</w:t>
            </w:r>
          </w:p>
        </w:tc>
      </w:tr>
      <w:tr w:rsidR="00D501F9" w:rsidTr="00141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  <w:hideMark/>
          </w:tcPr>
          <w:p w:rsidR="00D501F9" w:rsidRPr="00F25213" w:rsidRDefault="00D501F9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physically active for at least 1 hour on 5 or more days in the past week</w:t>
            </w:r>
          </w:p>
        </w:tc>
        <w:tc>
          <w:tcPr>
            <w:tcW w:w="1350" w:type="dxa"/>
            <w:noWrap/>
          </w:tcPr>
          <w:p w:rsidR="00D501F9" w:rsidRPr="00F25213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D501F9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D501F9" w:rsidTr="00141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</w:tcPr>
          <w:p w:rsidR="00D501F9" w:rsidRDefault="00D501F9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Played video/computer games or used a computer (other than for school work) for 3 or more hours per day on average school day</w:t>
            </w:r>
          </w:p>
        </w:tc>
        <w:tc>
          <w:tcPr>
            <w:tcW w:w="1350" w:type="dxa"/>
            <w:noWrap/>
          </w:tcPr>
          <w:p w:rsidR="00D501F9" w:rsidRDefault="006877C8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D501F9" w:rsidRDefault="006877C8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D501F9" w:rsidTr="00141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</w:tcPr>
          <w:p w:rsidR="00D501F9" w:rsidRDefault="00D501F9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Watched TV for 3 or more hours per day on an average school day</w:t>
            </w:r>
          </w:p>
        </w:tc>
        <w:tc>
          <w:tcPr>
            <w:tcW w:w="1350" w:type="dxa"/>
            <w:noWrap/>
          </w:tcPr>
          <w:p w:rsidR="00D501F9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D501F9" w:rsidRDefault="00D501F9" w:rsidP="00847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D501F9" w:rsidTr="00141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noWrap/>
          </w:tcPr>
          <w:p w:rsidR="00D501F9" w:rsidRDefault="00D501F9" w:rsidP="00D5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attend a PE class on at least 1 day in an average week they were in school</w:t>
            </w:r>
          </w:p>
        </w:tc>
        <w:tc>
          <w:tcPr>
            <w:tcW w:w="1350" w:type="dxa"/>
            <w:noWrap/>
          </w:tcPr>
          <w:p w:rsidR="00D501F9" w:rsidRDefault="00D501F9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D501F9" w:rsidRDefault="00D501F9" w:rsidP="0084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D501F9" w:rsidRDefault="00D501F9" w:rsidP="00D501F9">
      <w:pPr>
        <w:spacing w:after="0" w:line="240" w:lineRule="auto"/>
        <w:ind w:left="1440"/>
        <w:rPr>
          <w:sz w:val="20"/>
          <w:szCs w:val="20"/>
        </w:rPr>
      </w:pPr>
      <w:r w:rsidRPr="00D501F9">
        <w:rPr>
          <w:sz w:val="20"/>
          <w:szCs w:val="20"/>
        </w:rPr>
        <w:t xml:space="preserve">Source: Centers for Disease Control &amp; Prevention (CDC). </w:t>
      </w:r>
      <w:proofErr w:type="gramStart"/>
      <w:r w:rsidRPr="00D501F9">
        <w:rPr>
          <w:sz w:val="20"/>
          <w:szCs w:val="20"/>
        </w:rPr>
        <w:t>Youth Risk Behavior Surveillance System (YRBSS</w:t>
      </w:r>
      <w:r>
        <w:rPr>
          <w:sz w:val="20"/>
          <w:szCs w:val="20"/>
        </w:rPr>
        <w:t>)</w:t>
      </w:r>
      <w:r w:rsidR="006557CC">
        <w:rPr>
          <w:sz w:val="20"/>
          <w:szCs w:val="20"/>
        </w:rPr>
        <w:t>.</w:t>
      </w:r>
      <w:proofErr w:type="gramEnd"/>
    </w:p>
    <w:p w:rsidR="00E71EE6" w:rsidRPr="00E71EE6" w:rsidRDefault="00E71EE6" w:rsidP="00E71EE6">
      <w:pPr>
        <w:spacing w:after="0" w:line="240" w:lineRule="auto"/>
        <w:ind w:left="1440"/>
        <w:rPr>
          <w:sz w:val="16"/>
          <w:szCs w:val="16"/>
        </w:rPr>
      </w:pPr>
    </w:p>
    <w:tbl>
      <w:tblPr>
        <w:tblStyle w:val="MediumShading1-Accent1"/>
        <w:tblW w:w="8184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2406"/>
      </w:tblGrid>
      <w:tr w:rsidR="006118E1" w:rsidTr="00F6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4" w:type="dxa"/>
            <w:gridSpan w:val="3"/>
            <w:shd w:val="clear" w:color="auto" w:fill="FF6700" w:themeFill="accent3"/>
            <w:noWrap/>
            <w:hideMark/>
          </w:tcPr>
          <w:p w:rsidR="006118E1" w:rsidRDefault="00F609F8" w:rsidP="00F6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Y</w:t>
            </w:r>
            <w:r w:rsidR="006118E1">
              <w:rPr>
                <w:sz w:val="20"/>
                <w:szCs w:val="20"/>
              </w:rPr>
              <w:t>outh in Healthy Fitness Zone</w:t>
            </w:r>
            <w:r>
              <w:rPr>
                <w:sz w:val="20"/>
                <w:szCs w:val="20"/>
              </w:rPr>
              <w:t xml:space="preserve"> Category, Grades 4 -12,</w:t>
            </w:r>
            <w:r w:rsidR="006118E1">
              <w:rPr>
                <w:sz w:val="20"/>
                <w:szCs w:val="20"/>
              </w:rPr>
              <w:t xml:space="preserve"> Virginia, 2013-2014</w:t>
            </w:r>
          </w:p>
        </w:tc>
      </w:tr>
      <w:tr w:rsidR="006118E1" w:rsidTr="00F6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E0CC" w:themeFill="accent3" w:themeFillTint="33"/>
            <w:noWrap/>
            <w:vAlign w:val="bottom"/>
            <w:hideMark/>
          </w:tcPr>
          <w:p w:rsidR="006118E1" w:rsidRPr="005E651A" w:rsidRDefault="006118E1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E0CC" w:themeFill="accent3" w:themeFillTint="33"/>
            <w:noWrap/>
            <w:vAlign w:val="bottom"/>
            <w:hideMark/>
          </w:tcPr>
          <w:p w:rsidR="006118E1" w:rsidRPr="005E651A" w:rsidRDefault="006118E1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</w:t>
            </w:r>
          </w:p>
        </w:tc>
        <w:tc>
          <w:tcPr>
            <w:tcW w:w="2406" w:type="dxa"/>
            <w:shd w:val="clear" w:color="auto" w:fill="FFE0CC" w:themeFill="accent3" w:themeFillTint="33"/>
          </w:tcPr>
          <w:p w:rsidR="006118E1" w:rsidRDefault="006118E1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</w:t>
            </w:r>
          </w:p>
        </w:tc>
      </w:tr>
      <w:tr w:rsidR="006118E1" w:rsidTr="00F60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118E1" w:rsidRPr="00F25213" w:rsidRDefault="006118E1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Abdominal Strength</w:t>
            </w:r>
          </w:p>
        </w:tc>
        <w:tc>
          <w:tcPr>
            <w:tcW w:w="3510" w:type="dxa"/>
            <w:noWrap/>
            <w:hideMark/>
          </w:tcPr>
          <w:p w:rsidR="006118E1" w:rsidRPr="00F25213" w:rsidRDefault="006118E1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406" w:type="dxa"/>
          </w:tcPr>
          <w:p w:rsidR="006118E1" w:rsidRDefault="00EA5A2E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6118E1" w:rsidTr="00F6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E0CC" w:themeFill="accent3" w:themeFillTint="33"/>
            <w:noWrap/>
          </w:tcPr>
          <w:p w:rsidR="006118E1" w:rsidRDefault="006118E1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Endurance</w:t>
            </w:r>
          </w:p>
        </w:tc>
        <w:tc>
          <w:tcPr>
            <w:tcW w:w="3510" w:type="dxa"/>
            <w:shd w:val="clear" w:color="auto" w:fill="FFE0CC" w:themeFill="accent3" w:themeFillTint="33"/>
            <w:noWrap/>
          </w:tcPr>
          <w:p w:rsidR="006118E1" w:rsidRDefault="006118E1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406" w:type="dxa"/>
            <w:shd w:val="clear" w:color="auto" w:fill="FFE0CC" w:themeFill="accent3" w:themeFillTint="33"/>
          </w:tcPr>
          <w:p w:rsidR="006118E1" w:rsidRDefault="006118E1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6118E1" w:rsidTr="00F60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6118E1" w:rsidRDefault="006118E1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Body Strength</w:t>
            </w:r>
          </w:p>
        </w:tc>
        <w:tc>
          <w:tcPr>
            <w:tcW w:w="3510" w:type="dxa"/>
            <w:noWrap/>
          </w:tcPr>
          <w:p w:rsidR="006118E1" w:rsidRDefault="006118E1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406" w:type="dxa"/>
          </w:tcPr>
          <w:p w:rsidR="006118E1" w:rsidRDefault="006118E1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6118E1" w:rsidTr="00F6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E0CC" w:themeFill="accent3" w:themeFillTint="33"/>
            <w:noWrap/>
          </w:tcPr>
          <w:p w:rsidR="006118E1" w:rsidRDefault="006118E1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</w:t>
            </w:r>
          </w:p>
        </w:tc>
        <w:tc>
          <w:tcPr>
            <w:tcW w:w="3510" w:type="dxa"/>
            <w:shd w:val="clear" w:color="auto" w:fill="FFE0CC" w:themeFill="accent3" w:themeFillTint="33"/>
            <w:noWrap/>
          </w:tcPr>
          <w:p w:rsidR="006118E1" w:rsidRDefault="006118E1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406" w:type="dxa"/>
            <w:shd w:val="clear" w:color="auto" w:fill="FFE0CC" w:themeFill="accent3" w:themeFillTint="33"/>
          </w:tcPr>
          <w:p w:rsidR="006118E1" w:rsidRDefault="006118E1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6118E1" w:rsidTr="00F60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  <w:noWrap/>
          </w:tcPr>
          <w:p w:rsidR="006118E1" w:rsidRDefault="00F609F8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Trunk Lift</w:t>
            </w:r>
          </w:p>
        </w:tc>
        <w:tc>
          <w:tcPr>
            <w:tcW w:w="3510" w:type="dxa"/>
            <w:shd w:val="clear" w:color="auto" w:fill="auto"/>
            <w:noWrap/>
          </w:tcPr>
          <w:p w:rsidR="006118E1" w:rsidRDefault="006118E1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406" w:type="dxa"/>
            <w:shd w:val="clear" w:color="auto" w:fill="auto"/>
          </w:tcPr>
          <w:p w:rsidR="006118E1" w:rsidRDefault="006118E1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5E651A" w:rsidRPr="003A4CB6" w:rsidRDefault="00676300" w:rsidP="00EA5A2E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Source: Virginia Department of Education: </w:t>
      </w:r>
      <w:r w:rsidR="006118E1">
        <w:rPr>
          <w:sz w:val="20"/>
          <w:szCs w:val="20"/>
        </w:rPr>
        <w:t>Summary Fitness Reports</w:t>
      </w:r>
    </w:p>
    <w:p w:rsidR="005D2D00" w:rsidRDefault="005D2D00" w:rsidP="005D2D00">
      <w:pPr>
        <w:pStyle w:val="ListParagraph"/>
        <w:numPr>
          <w:ilvl w:val="0"/>
          <w:numId w:val="10"/>
        </w:numPr>
        <w:spacing w:after="0" w:line="240" w:lineRule="auto"/>
        <w:rPr>
          <w:rStyle w:val="SubtleEmphasis"/>
          <w:b/>
          <w:i w:val="0"/>
          <w:color w:val="auto"/>
          <w:sz w:val="26"/>
          <w:szCs w:val="26"/>
          <w:u w:val="single"/>
        </w:rPr>
      </w:pPr>
      <w:r>
        <w:rPr>
          <w:rStyle w:val="SubtleEmphasis"/>
          <w:b/>
          <w:i w:val="0"/>
          <w:color w:val="auto"/>
          <w:sz w:val="26"/>
          <w:szCs w:val="26"/>
          <w:u w:val="single"/>
        </w:rPr>
        <w:t>F</w:t>
      </w:r>
      <w:r w:rsidR="006118E1">
        <w:rPr>
          <w:rStyle w:val="SubtleEmphasis"/>
          <w:b/>
          <w:i w:val="0"/>
          <w:color w:val="auto"/>
          <w:sz w:val="26"/>
          <w:szCs w:val="26"/>
          <w:u w:val="single"/>
        </w:rPr>
        <w:t>ood &amp; Diet</w:t>
      </w:r>
    </w:p>
    <w:p w:rsidR="005D2D00" w:rsidRPr="005D2D00" w:rsidRDefault="005D2D00" w:rsidP="005D2D00">
      <w:pPr>
        <w:spacing w:after="0" w:line="240" w:lineRule="auto"/>
        <w:ind w:left="360"/>
        <w:rPr>
          <w:b/>
          <w:iCs/>
          <w:sz w:val="26"/>
          <w:szCs w:val="26"/>
          <w:u w:val="single"/>
        </w:rPr>
      </w:pPr>
      <w:r>
        <w:rPr>
          <w:iCs/>
          <w:sz w:val="20"/>
          <w:szCs w:val="20"/>
        </w:rPr>
        <w:tab/>
      </w:r>
      <w:proofErr w:type="gramStart"/>
      <w:r w:rsidRPr="005D2D00">
        <w:rPr>
          <w:iCs/>
          <w:sz w:val="20"/>
          <w:szCs w:val="20"/>
        </w:rPr>
        <w:t xml:space="preserve">Tables A – C </w:t>
      </w:r>
      <w:r w:rsidRPr="005D2D00">
        <w:rPr>
          <w:sz w:val="20"/>
          <w:szCs w:val="20"/>
        </w:rPr>
        <w:t>Source: Community Commons.</w:t>
      </w:r>
      <w:proofErr w:type="gramEnd"/>
      <w:r w:rsidRPr="005D2D00">
        <w:rPr>
          <w:sz w:val="20"/>
          <w:szCs w:val="20"/>
        </w:rPr>
        <w:t xml:space="preserve"> Community Health Needs Assessment Report. </w:t>
      </w:r>
      <w:proofErr w:type="gramStart"/>
      <w:r w:rsidRPr="005D2D00">
        <w:rPr>
          <w:sz w:val="20"/>
          <w:szCs w:val="20"/>
        </w:rPr>
        <w:t xml:space="preserve">Nielsen, </w:t>
      </w:r>
      <w:r>
        <w:rPr>
          <w:sz w:val="20"/>
          <w:szCs w:val="20"/>
        </w:rPr>
        <w:tab/>
      </w:r>
      <w:r w:rsidRPr="005D2D00">
        <w:rPr>
          <w:sz w:val="20"/>
          <w:szCs w:val="20"/>
        </w:rPr>
        <w:t>Nielsen Site</w:t>
      </w:r>
      <w:r>
        <w:rPr>
          <w:sz w:val="20"/>
          <w:szCs w:val="20"/>
        </w:rPr>
        <w:t xml:space="preserve"> R</w:t>
      </w:r>
      <w:r w:rsidRPr="005D2D00">
        <w:rPr>
          <w:sz w:val="20"/>
          <w:szCs w:val="20"/>
        </w:rPr>
        <w:t>eports.</w:t>
      </w:r>
      <w:proofErr w:type="gramEnd"/>
      <w:r w:rsidRPr="005D2D00">
        <w:rPr>
          <w:sz w:val="20"/>
          <w:szCs w:val="20"/>
        </w:rPr>
        <w:t xml:space="preserve"> 2014. Source geography: </w:t>
      </w:r>
      <w:r>
        <w:rPr>
          <w:sz w:val="20"/>
          <w:szCs w:val="20"/>
        </w:rPr>
        <w:t xml:space="preserve">Census </w:t>
      </w:r>
      <w:r w:rsidRPr="005D2D00">
        <w:rPr>
          <w:sz w:val="20"/>
          <w:szCs w:val="20"/>
        </w:rPr>
        <w:t>Tract.</w:t>
      </w:r>
    </w:p>
    <w:p w:rsidR="00B54127" w:rsidRPr="008E16C4" w:rsidRDefault="00B54127" w:rsidP="008E16C4">
      <w:pPr>
        <w:spacing w:after="0" w:line="240" w:lineRule="auto"/>
        <w:rPr>
          <w:rStyle w:val="SubtleEmphasis"/>
          <w:b/>
          <w:i w:val="0"/>
          <w:color w:val="auto"/>
          <w:sz w:val="26"/>
          <w:szCs w:val="26"/>
          <w:u w:val="single"/>
        </w:rPr>
      </w:pPr>
    </w:p>
    <w:p w:rsidR="00F25213" w:rsidRPr="00B54127" w:rsidRDefault="006118E1" w:rsidP="00B5412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Soda Expenditures, 2014</w:t>
      </w:r>
    </w:p>
    <w:tbl>
      <w:tblPr>
        <w:tblStyle w:val="LightList-Accent4"/>
        <w:tblW w:w="856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40"/>
        <w:gridCol w:w="3060"/>
      </w:tblGrid>
      <w:tr w:rsidR="003A4CB6" w:rsidRPr="00B54127" w:rsidTr="00F6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CAF278" w:themeFill="background2"/>
            <w:noWrap/>
            <w:hideMark/>
          </w:tcPr>
          <w:p w:rsidR="003A4CB6" w:rsidRPr="000C7749" w:rsidRDefault="003A4CB6" w:rsidP="00163048">
            <w:pPr>
              <w:rPr>
                <w:sz w:val="20"/>
                <w:szCs w:val="20"/>
              </w:rPr>
            </w:pPr>
            <w:r w:rsidRPr="000C7749">
              <w:rPr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auto" w:fill="CAF278" w:themeFill="background2"/>
            <w:hideMark/>
          </w:tcPr>
          <w:p w:rsidR="003A4CB6" w:rsidRPr="00302E52" w:rsidRDefault="00A9637F" w:rsidP="00A96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Percent </w:t>
            </w:r>
            <w:r w:rsidR="006118E1">
              <w:rPr>
                <w:color w:val="auto"/>
                <w:sz w:val="20"/>
                <w:szCs w:val="20"/>
              </w:rPr>
              <w:t>of Food-at-Home Expenditures</w:t>
            </w:r>
          </w:p>
        </w:tc>
        <w:tc>
          <w:tcPr>
            <w:tcW w:w="3060" w:type="dxa"/>
            <w:shd w:val="clear" w:color="auto" w:fill="CAF278" w:themeFill="background2"/>
          </w:tcPr>
          <w:p w:rsidR="003A4CB6" w:rsidRDefault="006118E1" w:rsidP="00163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Average Expenditures (USD)</w:t>
            </w:r>
          </w:p>
        </w:tc>
      </w:tr>
      <w:tr w:rsidR="003A4CB6" w:rsidRPr="000C7749" w:rsidTr="00F6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3A4CB6" w:rsidRPr="000C7749" w:rsidRDefault="006118E1" w:rsidP="00163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TJHD</w:t>
            </w:r>
          </w:p>
        </w:tc>
        <w:tc>
          <w:tcPr>
            <w:tcW w:w="3840" w:type="dxa"/>
            <w:noWrap/>
            <w:hideMark/>
          </w:tcPr>
          <w:p w:rsidR="003A4CB6" w:rsidRPr="000C7749" w:rsidRDefault="006118E1" w:rsidP="00163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</w:rPr>
              <w:t>4.3%</w:t>
            </w:r>
          </w:p>
        </w:tc>
        <w:tc>
          <w:tcPr>
            <w:tcW w:w="3060" w:type="dxa"/>
          </w:tcPr>
          <w:p w:rsidR="003A4CB6" w:rsidRDefault="006118E1" w:rsidP="00163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$252.94</w:t>
            </w:r>
          </w:p>
        </w:tc>
      </w:tr>
      <w:tr w:rsidR="003A4CB6" w:rsidRPr="000C7749" w:rsidTr="00F609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3A4CB6" w:rsidRPr="000C7749" w:rsidRDefault="006118E1" w:rsidP="00163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</w:t>
            </w:r>
          </w:p>
        </w:tc>
        <w:tc>
          <w:tcPr>
            <w:tcW w:w="3840" w:type="dxa"/>
            <w:noWrap/>
            <w:hideMark/>
          </w:tcPr>
          <w:p w:rsidR="003A4CB6" w:rsidRPr="000C7749" w:rsidRDefault="006118E1" w:rsidP="0016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4.1%</w:t>
            </w:r>
          </w:p>
        </w:tc>
        <w:tc>
          <w:tcPr>
            <w:tcW w:w="3060" w:type="dxa"/>
          </w:tcPr>
          <w:p w:rsidR="003A4CB6" w:rsidRDefault="006118E1" w:rsidP="00163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$238.29</w:t>
            </w:r>
          </w:p>
        </w:tc>
      </w:tr>
      <w:tr w:rsidR="001069A1" w:rsidRPr="000C7749" w:rsidTr="00F6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</w:tcPr>
          <w:p w:rsidR="001069A1" w:rsidRDefault="001069A1" w:rsidP="00163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U.S.</w:t>
            </w:r>
          </w:p>
        </w:tc>
        <w:tc>
          <w:tcPr>
            <w:tcW w:w="3840" w:type="dxa"/>
            <w:noWrap/>
          </w:tcPr>
          <w:p w:rsidR="001069A1" w:rsidRDefault="001069A1" w:rsidP="00163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4.0%</w:t>
            </w:r>
          </w:p>
        </w:tc>
        <w:tc>
          <w:tcPr>
            <w:tcW w:w="3060" w:type="dxa"/>
          </w:tcPr>
          <w:p w:rsidR="001069A1" w:rsidRDefault="001069A1" w:rsidP="00163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$236.04</w:t>
            </w:r>
          </w:p>
        </w:tc>
      </w:tr>
    </w:tbl>
    <w:p w:rsidR="00B54127" w:rsidRDefault="00B54127" w:rsidP="00B54127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:rsidR="006118E1" w:rsidRPr="00B54127" w:rsidRDefault="006118E1" w:rsidP="006118E1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Fruit and Vegetable Expenditures, 2014</w:t>
      </w:r>
    </w:p>
    <w:tbl>
      <w:tblPr>
        <w:tblStyle w:val="LightList-Accent4"/>
        <w:tblW w:w="856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40"/>
        <w:gridCol w:w="3060"/>
      </w:tblGrid>
      <w:tr w:rsidR="006118E1" w:rsidRPr="00B54127" w:rsidTr="00F6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C299" w:themeFill="accent3" w:themeFillTint="66"/>
            <w:noWrap/>
            <w:hideMark/>
          </w:tcPr>
          <w:p w:rsidR="006118E1" w:rsidRPr="000C7749" w:rsidRDefault="006118E1" w:rsidP="00261D37">
            <w:pPr>
              <w:rPr>
                <w:sz w:val="20"/>
                <w:szCs w:val="20"/>
              </w:rPr>
            </w:pPr>
            <w:r w:rsidRPr="000C7749">
              <w:rPr>
                <w:sz w:val="20"/>
                <w:szCs w:val="20"/>
              </w:rPr>
              <w:t> </w:t>
            </w:r>
          </w:p>
        </w:tc>
        <w:tc>
          <w:tcPr>
            <w:tcW w:w="3840" w:type="dxa"/>
            <w:shd w:val="clear" w:color="auto" w:fill="FFC299" w:themeFill="accent3" w:themeFillTint="66"/>
            <w:hideMark/>
          </w:tcPr>
          <w:p w:rsidR="006118E1" w:rsidRPr="00302E52" w:rsidRDefault="00A9637F" w:rsidP="00261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Percent </w:t>
            </w:r>
            <w:r w:rsidR="006118E1">
              <w:rPr>
                <w:color w:val="auto"/>
                <w:sz w:val="20"/>
                <w:szCs w:val="20"/>
              </w:rPr>
              <w:t>of Food-at-Home Expenditures</w:t>
            </w:r>
          </w:p>
        </w:tc>
        <w:tc>
          <w:tcPr>
            <w:tcW w:w="3060" w:type="dxa"/>
            <w:shd w:val="clear" w:color="auto" w:fill="FFC299" w:themeFill="accent3" w:themeFillTint="66"/>
          </w:tcPr>
          <w:p w:rsidR="006118E1" w:rsidRDefault="006118E1" w:rsidP="00261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Average Expenditures (USD)</w:t>
            </w:r>
          </w:p>
        </w:tc>
      </w:tr>
      <w:tr w:rsidR="006118E1" w:rsidRPr="000C7749" w:rsidTr="00F6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118E1" w:rsidRPr="000C7749" w:rsidRDefault="006118E1" w:rsidP="00261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TJHD</w:t>
            </w:r>
          </w:p>
        </w:tc>
        <w:tc>
          <w:tcPr>
            <w:tcW w:w="3840" w:type="dxa"/>
            <w:noWrap/>
            <w:hideMark/>
          </w:tcPr>
          <w:p w:rsidR="006118E1" w:rsidRPr="000C7749" w:rsidRDefault="006118E1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</w:rPr>
              <w:t>12.1%</w:t>
            </w:r>
          </w:p>
        </w:tc>
        <w:tc>
          <w:tcPr>
            <w:tcW w:w="3060" w:type="dxa"/>
          </w:tcPr>
          <w:p w:rsidR="006118E1" w:rsidRDefault="006118E1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$714.63</w:t>
            </w:r>
          </w:p>
        </w:tc>
      </w:tr>
      <w:tr w:rsidR="006118E1" w:rsidRPr="000C7749" w:rsidTr="00F609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6118E1" w:rsidRPr="000C7749" w:rsidRDefault="006118E1" w:rsidP="00261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</w:t>
            </w:r>
          </w:p>
        </w:tc>
        <w:tc>
          <w:tcPr>
            <w:tcW w:w="3840" w:type="dxa"/>
            <w:noWrap/>
            <w:hideMark/>
          </w:tcPr>
          <w:p w:rsidR="006118E1" w:rsidRPr="000C7749" w:rsidRDefault="006118E1" w:rsidP="0026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12.4%</w:t>
            </w:r>
          </w:p>
        </w:tc>
        <w:tc>
          <w:tcPr>
            <w:tcW w:w="3060" w:type="dxa"/>
          </w:tcPr>
          <w:p w:rsidR="006118E1" w:rsidRDefault="006118E1" w:rsidP="0026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$729.71</w:t>
            </w:r>
          </w:p>
        </w:tc>
      </w:tr>
    </w:tbl>
    <w:p w:rsidR="005D2D00" w:rsidRDefault="005D2D00" w:rsidP="005D2D00">
      <w:pPr>
        <w:pStyle w:val="ListParagraph"/>
        <w:spacing w:after="0" w:line="240" w:lineRule="auto"/>
        <w:ind w:left="1410"/>
        <w:rPr>
          <w:sz w:val="20"/>
          <w:szCs w:val="20"/>
        </w:rPr>
      </w:pPr>
    </w:p>
    <w:p w:rsidR="005D2D00" w:rsidRPr="005D2D00" w:rsidRDefault="005D2D00" w:rsidP="005D2D00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b/>
          <w:bCs/>
        </w:rPr>
        <w:t>Alcohol</w:t>
      </w:r>
      <w:r w:rsidRPr="0020432B">
        <w:rPr>
          <w:b/>
          <w:bCs/>
        </w:rPr>
        <w:t xml:space="preserve"> Expenditures, 2014</w:t>
      </w:r>
    </w:p>
    <w:tbl>
      <w:tblPr>
        <w:tblStyle w:val="LightList-Accent4"/>
        <w:tblpPr w:leftFromText="180" w:rightFromText="180" w:vertAnchor="text" w:horzAnchor="page" w:tblpX="2245" w:tblpY="37"/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3204"/>
        <w:gridCol w:w="3204"/>
      </w:tblGrid>
      <w:tr w:rsidR="005D2D00" w:rsidRPr="00B54127" w:rsidTr="00A9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shd w:val="clear" w:color="auto" w:fill="CAF278" w:themeFill="background2"/>
            <w:noWrap/>
            <w:hideMark/>
          </w:tcPr>
          <w:p w:rsidR="005D2D00" w:rsidRPr="000C7749" w:rsidRDefault="005D2D00" w:rsidP="00AF489F">
            <w:pPr>
              <w:rPr>
                <w:sz w:val="20"/>
                <w:szCs w:val="20"/>
              </w:rPr>
            </w:pPr>
            <w:r w:rsidRPr="000C7749">
              <w:rPr>
                <w:sz w:val="20"/>
                <w:szCs w:val="20"/>
              </w:rPr>
              <w:t> </w:t>
            </w:r>
          </w:p>
        </w:tc>
        <w:tc>
          <w:tcPr>
            <w:tcW w:w="3204" w:type="dxa"/>
            <w:shd w:val="clear" w:color="auto" w:fill="CAF278" w:themeFill="background2"/>
            <w:hideMark/>
          </w:tcPr>
          <w:p w:rsidR="005D2D00" w:rsidRPr="00302E52" w:rsidRDefault="00A9637F" w:rsidP="00AF4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Percent </w:t>
            </w:r>
            <w:r w:rsidR="005D2D00">
              <w:rPr>
                <w:color w:val="auto"/>
                <w:sz w:val="20"/>
                <w:szCs w:val="20"/>
              </w:rPr>
              <w:t>of Food-at-Home Expenditures</w:t>
            </w:r>
          </w:p>
        </w:tc>
        <w:tc>
          <w:tcPr>
            <w:tcW w:w="3204" w:type="dxa"/>
            <w:shd w:val="clear" w:color="auto" w:fill="CAF278" w:themeFill="background2"/>
          </w:tcPr>
          <w:p w:rsidR="005D2D00" w:rsidRDefault="005D2D00" w:rsidP="00AF4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Average Expenditures (USD)</w:t>
            </w:r>
          </w:p>
        </w:tc>
      </w:tr>
      <w:tr w:rsidR="005D2D00" w:rsidRPr="000C7749" w:rsidTr="00A9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hideMark/>
          </w:tcPr>
          <w:p w:rsidR="005D2D00" w:rsidRPr="000C7749" w:rsidRDefault="005D2D00" w:rsidP="00AF4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TJHD</w:t>
            </w:r>
          </w:p>
        </w:tc>
        <w:tc>
          <w:tcPr>
            <w:tcW w:w="3204" w:type="dxa"/>
            <w:noWrap/>
            <w:hideMark/>
          </w:tcPr>
          <w:p w:rsidR="005D2D00" w:rsidRPr="000C7749" w:rsidRDefault="005D2D00" w:rsidP="00AF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</w:rPr>
              <w:t>18.0%</w:t>
            </w:r>
          </w:p>
        </w:tc>
        <w:tc>
          <w:tcPr>
            <w:tcW w:w="3204" w:type="dxa"/>
          </w:tcPr>
          <w:p w:rsidR="005D2D00" w:rsidRDefault="005D2D00" w:rsidP="00AF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$1,065.72</w:t>
            </w:r>
          </w:p>
        </w:tc>
      </w:tr>
      <w:tr w:rsidR="005D2D00" w:rsidRPr="000C7749" w:rsidTr="00A9637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hideMark/>
          </w:tcPr>
          <w:p w:rsidR="005D2D00" w:rsidRPr="000C7749" w:rsidRDefault="005D2D00" w:rsidP="00AF4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</w:t>
            </w:r>
          </w:p>
        </w:tc>
        <w:tc>
          <w:tcPr>
            <w:tcW w:w="3204" w:type="dxa"/>
            <w:noWrap/>
            <w:hideMark/>
          </w:tcPr>
          <w:p w:rsidR="005D2D00" w:rsidRPr="000C7749" w:rsidRDefault="005D2D00" w:rsidP="00AF4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16.6%</w:t>
            </w:r>
          </w:p>
        </w:tc>
        <w:tc>
          <w:tcPr>
            <w:tcW w:w="3204" w:type="dxa"/>
          </w:tcPr>
          <w:p w:rsidR="005D2D00" w:rsidRDefault="005D2D00" w:rsidP="00AF4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$973.12</w:t>
            </w:r>
          </w:p>
        </w:tc>
      </w:tr>
      <w:tr w:rsidR="005D2D00" w:rsidRPr="000C7749" w:rsidTr="00A9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</w:tcPr>
          <w:p w:rsidR="005D2D00" w:rsidRDefault="005D2D00" w:rsidP="00AF4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U.S.</w:t>
            </w:r>
          </w:p>
        </w:tc>
        <w:tc>
          <w:tcPr>
            <w:tcW w:w="3204" w:type="dxa"/>
            <w:noWrap/>
          </w:tcPr>
          <w:p w:rsidR="005D2D00" w:rsidRDefault="005D2D00" w:rsidP="00AF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14.3%</w:t>
            </w:r>
          </w:p>
        </w:tc>
        <w:tc>
          <w:tcPr>
            <w:tcW w:w="3204" w:type="dxa"/>
          </w:tcPr>
          <w:p w:rsidR="005D2D00" w:rsidRDefault="005D2D00" w:rsidP="00AF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$839.54</w:t>
            </w:r>
          </w:p>
        </w:tc>
      </w:tr>
    </w:tbl>
    <w:p w:rsidR="005D2D00" w:rsidRDefault="005D2D00" w:rsidP="005D2D00">
      <w:pPr>
        <w:pStyle w:val="ListParagraph"/>
        <w:spacing w:after="0" w:line="240" w:lineRule="auto"/>
        <w:ind w:left="1080"/>
        <w:rPr>
          <w:b/>
          <w:bCs/>
        </w:rPr>
      </w:pPr>
    </w:p>
    <w:p w:rsidR="005D2D00" w:rsidRDefault="005D2D00" w:rsidP="005D2D00">
      <w:pPr>
        <w:pStyle w:val="ListParagraph"/>
        <w:spacing w:after="0" w:line="240" w:lineRule="auto"/>
        <w:ind w:left="1080"/>
        <w:rPr>
          <w:b/>
          <w:bCs/>
        </w:rPr>
      </w:pPr>
    </w:p>
    <w:p w:rsidR="005D2D00" w:rsidRDefault="005D2D00" w:rsidP="005D2D00">
      <w:pPr>
        <w:pStyle w:val="ListParagraph"/>
        <w:spacing w:after="0" w:line="240" w:lineRule="auto"/>
        <w:ind w:left="1080"/>
        <w:rPr>
          <w:b/>
          <w:bCs/>
        </w:rPr>
      </w:pPr>
    </w:p>
    <w:p w:rsidR="005D2D00" w:rsidRDefault="005D2D00" w:rsidP="005D2D00">
      <w:pPr>
        <w:pStyle w:val="ListParagraph"/>
        <w:ind w:left="1080"/>
        <w:rPr>
          <w:b/>
          <w:bCs/>
        </w:rPr>
      </w:pPr>
    </w:p>
    <w:p w:rsidR="005D2D00" w:rsidRDefault="005D2D00" w:rsidP="005D2D00">
      <w:pPr>
        <w:pStyle w:val="ListParagraph"/>
        <w:ind w:left="1440"/>
        <w:rPr>
          <w:sz w:val="20"/>
          <w:szCs w:val="20"/>
        </w:rPr>
      </w:pPr>
    </w:p>
    <w:p w:rsidR="002757FA" w:rsidRDefault="002757FA" w:rsidP="008E16C4">
      <w:pPr>
        <w:spacing w:after="0" w:line="240" w:lineRule="auto"/>
        <w:rPr>
          <w:b/>
          <w:bCs/>
        </w:rPr>
      </w:pPr>
    </w:p>
    <w:p w:rsidR="00B0359B" w:rsidRDefault="00B0359B" w:rsidP="008E16C4">
      <w:pPr>
        <w:spacing w:after="0" w:line="240" w:lineRule="auto"/>
        <w:rPr>
          <w:b/>
          <w:bCs/>
        </w:rPr>
      </w:pPr>
    </w:p>
    <w:p w:rsidR="00B0359B" w:rsidRDefault="00B0359B" w:rsidP="008E16C4">
      <w:pPr>
        <w:spacing w:after="0" w:line="240" w:lineRule="auto"/>
        <w:rPr>
          <w:b/>
          <w:bCs/>
        </w:rPr>
      </w:pPr>
    </w:p>
    <w:p w:rsidR="00B0359B" w:rsidRDefault="00B0359B" w:rsidP="008E16C4">
      <w:pPr>
        <w:spacing w:after="0" w:line="240" w:lineRule="auto"/>
        <w:rPr>
          <w:b/>
          <w:bCs/>
        </w:rPr>
      </w:pPr>
    </w:p>
    <w:p w:rsidR="004D1DBF" w:rsidRDefault="004D1DBF" w:rsidP="008E16C4">
      <w:pPr>
        <w:spacing w:after="0" w:line="240" w:lineRule="auto"/>
        <w:rPr>
          <w:b/>
          <w:bCs/>
        </w:rPr>
      </w:pPr>
    </w:p>
    <w:p w:rsidR="00F25213" w:rsidRDefault="001966A7" w:rsidP="00302E52">
      <w:pPr>
        <w:pStyle w:val="ListParagraph"/>
        <w:numPr>
          <w:ilvl w:val="0"/>
          <w:numId w:val="11"/>
        </w:numPr>
        <w:spacing w:after="0" w:line="240" w:lineRule="auto"/>
      </w:pPr>
      <w:r>
        <w:rPr>
          <w:b/>
          <w:bCs/>
        </w:rPr>
        <w:lastRenderedPageBreak/>
        <w:t>Daily Consumption of Fruits and Vegetables in TJHD, 2011-13</w:t>
      </w:r>
    </w:p>
    <w:tbl>
      <w:tblPr>
        <w:tblStyle w:val="LightList-Accent5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2394"/>
        <w:gridCol w:w="774"/>
        <w:gridCol w:w="90"/>
        <w:gridCol w:w="1890"/>
        <w:gridCol w:w="2340"/>
      </w:tblGrid>
      <w:tr w:rsidR="00AF18F4" w:rsidRPr="002D6BA7" w:rsidTr="00F57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74A510" w:themeFill="background2" w:themeFillShade="80"/>
          </w:tcPr>
          <w:p w:rsidR="00AF18F4" w:rsidRPr="002D6BA7" w:rsidRDefault="00AF18F4" w:rsidP="008E16C4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74A510" w:themeFill="background2" w:themeFillShade="80"/>
          </w:tcPr>
          <w:p w:rsidR="00AF18F4" w:rsidRPr="002D6BA7" w:rsidRDefault="001966A7" w:rsidP="00A96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340" w:type="dxa"/>
            <w:shd w:val="clear" w:color="auto" w:fill="74A510" w:themeFill="background2" w:themeFillShade="80"/>
          </w:tcPr>
          <w:p w:rsidR="00AF18F4" w:rsidRPr="002D6BA7" w:rsidRDefault="001966A7" w:rsidP="00196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</w:p>
        </w:tc>
      </w:tr>
      <w:tr w:rsidR="00AF18F4" w:rsidRPr="002D6BA7" w:rsidTr="00196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</w:tcPr>
          <w:p w:rsidR="00AF18F4" w:rsidRPr="002D6BA7" w:rsidRDefault="001966A7" w:rsidP="008E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Number Fruit</w:t>
            </w:r>
          </w:p>
        </w:tc>
        <w:tc>
          <w:tcPr>
            <w:tcW w:w="1980" w:type="dxa"/>
            <w:gridSpan w:val="2"/>
          </w:tcPr>
          <w:p w:rsidR="00AF18F4" w:rsidRPr="002D6BA7" w:rsidRDefault="001966A7" w:rsidP="0019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340" w:type="dxa"/>
          </w:tcPr>
          <w:p w:rsidR="00AF18F4" w:rsidRPr="002D6BA7" w:rsidRDefault="001966A7" w:rsidP="0019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</w:tr>
      <w:tr w:rsidR="00AF18F4" w:rsidRPr="002D6BA7" w:rsidTr="00196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gridSpan w:val="3"/>
          </w:tcPr>
          <w:p w:rsidR="00AF18F4" w:rsidRPr="002D6BA7" w:rsidRDefault="001966A7" w:rsidP="008E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Number Vegetable</w:t>
            </w:r>
          </w:p>
        </w:tc>
        <w:tc>
          <w:tcPr>
            <w:tcW w:w="1890" w:type="dxa"/>
          </w:tcPr>
          <w:p w:rsidR="00AF18F4" w:rsidRPr="002D6BA7" w:rsidRDefault="001966A7" w:rsidP="00196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2340" w:type="dxa"/>
          </w:tcPr>
          <w:p w:rsidR="00AF18F4" w:rsidRPr="002D6BA7" w:rsidRDefault="001966A7" w:rsidP="00196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</w:tr>
      <w:tr w:rsidR="001966A7" w:rsidRPr="002D6BA7" w:rsidTr="00196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gridSpan w:val="3"/>
          </w:tcPr>
          <w:p w:rsidR="001966A7" w:rsidRDefault="001966A7" w:rsidP="00196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Consumed Less &lt; 1 Vegetable </w:t>
            </w:r>
          </w:p>
        </w:tc>
        <w:tc>
          <w:tcPr>
            <w:tcW w:w="1890" w:type="dxa"/>
          </w:tcPr>
          <w:p w:rsidR="001966A7" w:rsidRDefault="001966A7" w:rsidP="0019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2340" w:type="dxa"/>
          </w:tcPr>
          <w:p w:rsidR="001966A7" w:rsidRDefault="001966A7" w:rsidP="00196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</w:tbl>
    <w:p w:rsidR="003F0891" w:rsidRDefault="00302E52" w:rsidP="0075671C">
      <w:pPr>
        <w:spacing w:after="0" w:line="24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2D6BA7" w:rsidRPr="002D6BA7">
        <w:rPr>
          <w:sz w:val="20"/>
          <w:szCs w:val="20"/>
        </w:rPr>
        <w:t xml:space="preserve">ource: </w:t>
      </w:r>
      <w:r w:rsidR="001966A7" w:rsidRPr="001966A7">
        <w:rPr>
          <w:sz w:val="20"/>
          <w:szCs w:val="20"/>
        </w:rPr>
        <w:t>Virginia Department of Health Behav</w:t>
      </w:r>
      <w:r w:rsidR="001966A7">
        <w:rPr>
          <w:sz w:val="20"/>
          <w:szCs w:val="20"/>
        </w:rPr>
        <w:t xml:space="preserve">ioral Risk Factor Surveillance </w:t>
      </w:r>
      <w:r w:rsidR="001966A7" w:rsidRPr="001966A7">
        <w:rPr>
          <w:sz w:val="20"/>
          <w:szCs w:val="20"/>
        </w:rPr>
        <w:t>Survey</w:t>
      </w:r>
    </w:p>
    <w:p w:rsidR="003F0891" w:rsidRPr="001966A7" w:rsidRDefault="003F0891" w:rsidP="00302E52">
      <w:pPr>
        <w:pStyle w:val="ListParagraph"/>
        <w:spacing w:after="0" w:line="240" w:lineRule="auto"/>
        <w:rPr>
          <w:rStyle w:val="SubtleEmphasis"/>
          <w:b/>
          <w:i w:val="0"/>
          <w:color w:val="auto"/>
          <w:sz w:val="26"/>
          <w:szCs w:val="26"/>
        </w:rPr>
      </w:pPr>
    </w:p>
    <w:p w:rsidR="00E71EE6" w:rsidRDefault="001966A7" w:rsidP="001966A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  <w:u w:val="single"/>
        </w:rPr>
      </w:pPr>
      <w:r w:rsidRPr="001966A7">
        <w:rPr>
          <w:b/>
          <w:sz w:val="26"/>
          <w:szCs w:val="26"/>
          <w:u w:val="single"/>
        </w:rPr>
        <w:t>Alcohol &amp; Substance Abuse</w:t>
      </w:r>
    </w:p>
    <w:p w:rsidR="001966A7" w:rsidRDefault="001966A7" w:rsidP="001966A7">
      <w:pPr>
        <w:pStyle w:val="ListParagraph"/>
        <w:spacing w:after="0" w:line="240" w:lineRule="auto"/>
        <w:rPr>
          <w:b/>
          <w:sz w:val="26"/>
          <w:szCs w:val="26"/>
          <w:u w:val="single"/>
        </w:rPr>
      </w:pPr>
    </w:p>
    <w:p w:rsidR="001966A7" w:rsidRPr="005571B8" w:rsidRDefault="001966A7" w:rsidP="005571B8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20432B">
        <w:rPr>
          <w:b/>
        </w:rPr>
        <w:t>Liquor Store Access</w:t>
      </w:r>
    </w:p>
    <w:tbl>
      <w:tblPr>
        <w:tblStyle w:val="MediumShading1-Accent4"/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04"/>
      </w:tblGrid>
      <w:tr w:rsidR="001966A7" w:rsidRPr="004D7960" w:rsidTr="00557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  <w:noWrap/>
            <w:hideMark/>
          </w:tcPr>
          <w:p w:rsidR="001966A7" w:rsidRPr="004D7960" w:rsidRDefault="001966A7" w:rsidP="00F609F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Breweries, Wineries, and Liquor Stores</w:t>
            </w:r>
            <w:r w:rsidR="00F609F8">
              <w:rPr>
                <w:sz w:val="19"/>
                <w:szCs w:val="19"/>
              </w:rPr>
              <w:t xml:space="preserve"> Rates </w:t>
            </w:r>
            <w:r>
              <w:rPr>
                <w:sz w:val="19"/>
                <w:szCs w:val="19"/>
              </w:rPr>
              <w:t>per 100,000 population, 2013</w:t>
            </w:r>
          </w:p>
        </w:tc>
      </w:tr>
      <w:tr w:rsidR="001966A7" w:rsidRPr="00D2517D" w:rsidTr="0055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noWrap/>
            <w:hideMark/>
          </w:tcPr>
          <w:p w:rsidR="001966A7" w:rsidRPr="005571B8" w:rsidRDefault="00B0359B" w:rsidP="00261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Fluvanna</w:t>
            </w:r>
          </w:p>
        </w:tc>
        <w:tc>
          <w:tcPr>
            <w:tcW w:w="3804" w:type="dxa"/>
            <w:shd w:val="clear" w:color="auto" w:fill="auto"/>
            <w:noWrap/>
          </w:tcPr>
          <w:p w:rsidR="001966A7" w:rsidRPr="00D2517D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966A7" w:rsidTr="00557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noWrap/>
          </w:tcPr>
          <w:p w:rsidR="001966A7" w:rsidRPr="005571B8" w:rsidRDefault="00B0359B" w:rsidP="00261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Louisa</w:t>
            </w:r>
          </w:p>
        </w:tc>
        <w:tc>
          <w:tcPr>
            <w:tcW w:w="3804" w:type="dxa"/>
            <w:shd w:val="clear" w:color="auto" w:fill="auto"/>
            <w:noWrap/>
          </w:tcPr>
          <w:p w:rsidR="001966A7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66A7" w:rsidRPr="00A67F0E" w:rsidRDefault="0020432B" w:rsidP="006F1C9C">
      <w:pPr>
        <w:spacing w:after="0" w:line="240" w:lineRule="auto"/>
        <w:ind w:left="1440"/>
        <w:rPr>
          <w:sz w:val="20"/>
          <w:szCs w:val="20"/>
        </w:rPr>
      </w:pPr>
      <w:r w:rsidRPr="00A67F0E">
        <w:rPr>
          <w:sz w:val="20"/>
          <w:szCs w:val="20"/>
        </w:rPr>
        <w:t>Source: U.S. Census Bureau, County Business Patterns, 2008-2013, using NAICS codes 312120, 312130, &amp; 445310. U.S. Census Population Data</w:t>
      </w:r>
    </w:p>
    <w:p w:rsidR="0020432B" w:rsidRPr="0020432B" w:rsidRDefault="0020432B" w:rsidP="001966A7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6F1C9C" w:rsidRPr="00593B4B" w:rsidRDefault="001966A7" w:rsidP="00593B4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20432B">
        <w:rPr>
          <w:b/>
        </w:rPr>
        <w:t>Driving Under the Influence (DUI)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39"/>
        <w:gridCol w:w="2790"/>
        <w:gridCol w:w="2358"/>
      </w:tblGrid>
      <w:tr w:rsidR="0020432B" w:rsidTr="00261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FF6700" w:themeFill="accent3"/>
            <w:noWrap/>
            <w:hideMark/>
          </w:tcPr>
          <w:p w:rsidR="0020432B" w:rsidRDefault="0020432B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Arrest Rates per 100,000 Population</w:t>
            </w:r>
          </w:p>
        </w:tc>
      </w:tr>
      <w:tr w:rsidR="0020432B" w:rsidTr="0020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  <w:vAlign w:val="bottom"/>
            <w:hideMark/>
          </w:tcPr>
          <w:p w:rsidR="0020432B" w:rsidRPr="005E651A" w:rsidRDefault="0020432B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FE0CC" w:themeFill="accent3" w:themeFillTint="33"/>
            <w:noWrap/>
            <w:vAlign w:val="bottom"/>
            <w:hideMark/>
          </w:tcPr>
          <w:p w:rsidR="0020432B" w:rsidRPr="005E651A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Fluvanna</w:t>
            </w:r>
          </w:p>
        </w:tc>
        <w:tc>
          <w:tcPr>
            <w:tcW w:w="2790" w:type="dxa"/>
            <w:shd w:val="clear" w:color="auto" w:fill="FFE0CC" w:themeFill="accent3" w:themeFillTint="33"/>
          </w:tcPr>
          <w:p w:rsidR="0020432B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2358" w:type="dxa"/>
            <w:shd w:val="clear" w:color="auto" w:fill="FFE0CC" w:themeFill="accent3" w:themeFillTint="33"/>
          </w:tcPr>
          <w:p w:rsidR="0020432B" w:rsidRDefault="0020432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</w:tr>
      <w:tr w:rsidR="0020432B" w:rsidTr="002043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20432B" w:rsidRDefault="0020432B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2011-13</w:t>
            </w:r>
          </w:p>
        </w:tc>
        <w:tc>
          <w:tcPr>
            <w:tcW w:w="1939" w:type="dxa"/>
            <w:noWrap/>
          </w:tcPr>
          <w:p w:rsidR="0020432B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790" w:type="dxa"/>
          </w:tcPr>
          <w:p w:rsidR="0020432B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358" w:type="dxa"/>
          </w:tcPr>
          <w:p w:rsidR="0020432B" w:rsidRDefault="0020432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</w:tbl>
    <w:p w:rsidR="0020432B" w:rsidRPr="006F1C9C" w:rsidRDefault="0020432B" w:rsidP="006F1C9C">
      <w:pPr>
        <w:ind w:left="1440"/>
        <w:rPr>
          <w:sz w:val="20"/>
          <w:szCs w:val="20"/>
        </w:rPr>
      </w:pPr>
      <w:r w:rsidRPr="006F1C9C">
        <w:rPr>
          <w:sz w:val="20"/>
          <w:szCs w:val="20"/>
        </w:rPr>
        <w:t>Source: Crime in Virginia - Virginia State Police - Uniform Crime Reporting Program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1350"/>
        <w:gridCol w:w="2790"/>
        <w:gridCol w:w="2358"/>
      </w:tblGrid>
      <w:tr w:rsidR="0020432B" w:rsidTr="0020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74A510" w:themeFill="background2" w:themeFillShade="80"/>
            <w:noWrap/>
            <w:hideMark/>
          </w:tcPr>
          <w:p w:rsidR="0020432B" w:rsidRDefault="00A9637F" w:rsidP="0020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of </w:t>
            </w:r>
            <w:r w:rsidR="00F609F8">
              <w:rPr>
                <w:sz w:val="20"/>
                <w:szCs w:val="20"/>
              </w:rPr>
              <w:t>Alcohol-</w:t>
            </w:r>
            <w:r w:rsidR="0020432B">
              <w:rPr>
                <w:sz w:val="20"/>
                <w:szCs w:val="20"/>
              </w:rPr>
              <w:t>Related</w:t>
            </w:r>
            <w:r w:rsidR="006F1C9C">
              <w:rPr>
                <w:sz w:val="20"/>
                <w:szCs w:val="20"/>
              </w:rPr>
              <w:t xml:space="preserve"> Motor Vehicle Crashes &amp; Fatalities, 2011-13</w:t>
            </w:r>
          </w:p>
        </w:tc>
      </w:tr>
      <w:tr w:rsidR="0020432B" w:rsidTr="006F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E9F9C8" w:themeFill="background2" w:themeFillTint="66"/>
            <w:noWrap/>
            <w:vAlign w:val="bottom"/>
            <w:hideMark/>
          </w:tcPr>
          <w:p w:rsidR="0020432B" w:rsidRPr="005E651A" w:rsidRDefault="0020432B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9F9C8" w:themeFill="background2" w:themeFillTint="66"/>
            <w:noWrap/>
            <w:vAlign w:val="bottom"/>
            <w:hideMark/>
          </w:tcPr>
          <w:p w:rsidR="0020432B" w:rsidRPr="005E651A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Fluvanna</w:t>
            </w:r>
          </w:p>
        </w:tc>
        <w:tc>
          <w:tcPr>
            <w:tcW w:w="2790" w:type="dxa"/>
            <w:shd w:val="clear" w:color="auto" w:fill="E9F9C8" w:themeFill="background2" w:themeFillTint="66"/>
          </w:tcPr>
          <w:p w:rsidR="0020432B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2358" w:type="dxa"/>
            <w:shd w:val="clear" w:color="auto" w:fill="E9F9C8" w:themeFill="background2" w:themeFillTint="66"/>
          </w:tcPr>
          <w:p w:rsidR="0020432B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</w:tr>
      <w:tr w:rsidR="0020432B" w:rsidTr="006F1C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noWrap/>
          </w:tcPr>
          <w:p w:rsidR="0020432B" w:rsidRDefault="006F1C9C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Alcohol-related MV Crashes</w:t>
            </w:r>
          </w:p>
        </w:tc>
        <w:tc>
          <w:tcPr>
            <w:tcW w:w="1350" w:type="dxa"/>
            <w:noWrap/>
          </w:tcPr>
          <w:p w:rsidR="0020432B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432B">
              <w:rPr>
                <w:sz w:val="20"/>
                <w:szCs w:val="20"/>
              </w:rPr>
              <w:t>%</w:t>
            </w:r>
          </w:p>
        </w:tc>
        <w:tc>
          <w:tcPr>
            <w:tcW w:w="2790" w:type="dxa"/>
          </w:tcPr>
          <w:p w:rsidR="0020432B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0432B">
              <w:rPr>
                <w:sz w:val="20"/>
                <w:szCs w:val="20"/>
              </w:rPr>
              <w:t>%</w:t>
            </w:r>
          </w:p>
        </w:tc>
        <w:tc>
          <w:tcPr>
            <w:tcW w:w="2358" w:type="dxa"/>
          </w:tcPr>
          <w:p w:rsidR="0020432B" w:rsidRDefault="006F1C9C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432B">
              <w:rPr>
                <w:sz w:val="20"/>
                <w:szCs w:val="20"/>
              </w:rPr>
              <w:t>%</w:t>
            </w:r>
          </w:p>
        </w:tc>
      </w:tr>
      <w:tr w:rsidR="006F1C9C" w:rsidTr="006F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noWrap/>
          </w:tcPr>
          <w:p w:rsidR="006F1C9C" w:rsidRDefault="006F1C9C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Alcohol-related MV Fatalities</w:t>
            </w:r>
          </w:p>
        </w:tc>
        <w:tc>
          <w:tcPr>
            <w:tcW w:w="1350" w:type="dxa"/>
            <w:noWrap/>
          </w:tcPr>
          <w:p w:rsidR="006F1C9C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6F1C9C">
              <w:rPr>
                <w:sz w:val="20"/>
                <w:szCs w:val="20"/>
              </w:rPr>
              <w:t>%</w:t>
            </w:r>
          </w:p>
        </w:tc>
        <w:tc>
          <w:tcPr>
            <w:tcW w:w="2790" w:type="dxa"/>
          </w:tcPr>
          <w:p w:rsidR="006F1C9C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F1C9C">
              <w:rPr>
                <w:sz w:val="20"/>
                <w:szCs w:val="20"/>
              </w:rPr>
              <w:t>%</w:t>
            </w:r>
          </w:p>
        </w:tc>
        <w:tc>
          <w:tcPr>
            <w:tcW w:w="2358" w:type="dxa"/>
          </w:tcPr>
          <w:p w:rsidR="006F1C9C" w:rsidRDefault="006F1C9C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</w:tr>
    </w:tbl>
    <w:p w:rsidR="00CD20C0" w:rsidRPr="00CD20C0" w:rsidRDefault="0020432B" w:rsidP="005D2D00">
      <w:pPr>
        <w:ind w:left="1440"/>
        <w:rPr>
          <w:sz w:val="20"/>
          <w:szCs w:val="20"/>
        </w:rPr>
      </w:pPr>
      <w:r w:rsidRPr="006F1C9C">
        <w:rPr>
          <w:sz w:val="20"/>
          <w:szCs w:val="20"/>
        </w:rPr>
        <w:t>Source: Virginia Department of Motor Vehicles-Virginia Crash Facts</w:t>
      </w:r>
    </w:p>
    <w:p w:rsidR="0020432B" w:rsidRDefault="0020432B" w:rsidP="0020432B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  <w:u w:val="single"/>
        </w:rPr>
      </w:pPr>
      <w:r w:rsidRPr="0020432B">
        <w:rPr>
          <w:b/>
          <w:sz w:val="26"/>
          <w:szCs w:val="26"/>
          <w:u w:val="single"/>
        </w:rPr>
        <w:t>Youth and Alcohol</w:t>
      </w:r>
    </w:p>
    <w:p w:rsidR="003410C3" w:rsidRDefault="003410C3" w:rsidP="003410C3">
      <w:pPr>
        <w:spacing w:after="0" w:line="240" w:lineRule="auto"/>
        <w:ind w:left="720"/>
        <w:rPr>
          <w:b/>
          <w:sz w:val="26"/>
          <w:szCs w:val="26"/>
          <w:u w:val="single"/>
        </w:rPr>
      </w:pPr>
    </w:p>
    <w:p w:rsidR="003410C3" w:rsidRPr="003410C3" w:rsidRDefault="003410C3" w:rsidP="003410C3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>
        <w:rPr>
          <w:b/>
        </w:rPr>
        <w:t>High School Students &amp; Alcohol Use</w:t>
      </w:r>
    </w:p>
    <w:tbl>
      <w:tblPr>
        <w:tblStyle w:val="MediumShading1-Accent1"/>
        <w:tblW w:w="8751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1350"/>
        <w:gridCol w:w="903"/>
      </w:tblGrid>
      <w:tr w:rsidR="003410C3" w:rsidTr="00A9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1" w:type="dxa"/>
            <w:gridSpan w:val="3"/>
            <w:shd w:val="clear" w:color="auto" w:fill="FF6700" w:themeFill="accent3"/>
            <w:noWrap/>
            <w:hideMark/>
          </w:tcPr>
          <w:p w:rsidR="003410C3" w:rsidRPr="00A9637F" w:rsidRDefault="00A9637F" w:rsidP="00A9637F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Percent of </w:t>
            </w:r>
            <w:r w:rsidR="003410C3">
              <w:rPr>
                <w:bCs w:val="0"/>
                <w:sz w:val="20"/>
                <w:szCs w:val="20"/>
              </w:rPr>
              <w:t>High School Students (Grade 9-12) Alcohol Use, 2013</w:t>
            </w:r>
          </w:p>
        </w:tc>
      </w:tr>
      <w:tr w:rsidR="003410C3" w:rsidTr="00A9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shd w:val="clear" w:color="auto" w:fill="FFE0CC" w:themeFill="accent3" w:themeFillTint="33"/>
            <w:noWrap/>
            <w:vAlign w:val="bottom"/>
            <w:hideMark/>
          </w:tcPr>
          <w:p w:rsidR="003410C3" w:rsidRPr="005E651A" w:rsidRDefault="003410C3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E0CC" w:themeFill="accent3" w:themeFillTint="33"/>
            <w:noWrap/>
            <w:vAlign w:val="bottom"/>
            <w:hideMark/>
          </w:tcPr>
          <w:p w:rsidR="003410C3" w:rsidRPr="005E651A" w:rsidRDefault="003410C3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  <w:tc>
          <w:tcPr>
            <w:tcW w:w="903" w:type="dxa"/>
            <w:shd w:val="clear" w:color="auto" w:fill="FFE0CC" w:themeFill="accent3" w:themeFillTint="33"/>
          </w:tcPr>
          <w:p w:rsidR="003410C3" w:rsidRDefault="00A9637F" w:rsidP="00A9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</w:t>
            </w:r>
          </w:p>
        </w:tc>
      </w:tr>
      <w:tr w:rsidR="003410C3" w:rsidTr="00A963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noWrap/>
          </w:tcPr>
          <w:p w:rsidR="003410C3" w:rsidRDefault="003410C3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had at least one drink of alcohol</w:t>
            </w:r>
          </w:p>
        </w:tc>
        <w:tc>
          <w:tcPr>
            <w:tcW w:w="1350" w:type="dxa"/>
            <w:noWrap/>
          </w:tcPr>
          <w:p w:rsidR="003410C3" w:rsidRDefault="00CD20C0" w:rsidP="00A963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03" w:type="dxa"/>
            <w:vAlign w:val="bottom"/>
          </w:tcPr>
          <w:p w:rsidR="003410C3" w:rsidRDefault="00CD20C0" w:rsidP="00A963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3410C3" w:rsidTr="00A9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shd w:val="clear" w:color="auto" w:fill="FFE0CC" w:themeFill="accent3" w:themeFillTint="33"/>
            <w:noWrap/>
          </w:tcPr>
          <w:p w:rsidR="003410C3" w:rsidRDefault="003410C3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drink alcohol</w:t>
            </w:r>
          </w:p>
        </w:tc>
        <w:tc>
          <w:tcPr>
            <w:tcW w:w="1350" w:type="dxa"/>
            <w:shd w:val="clear" w:color="auto" w:fill="FFE0CC" w:themeFill="accent3" w:themeFillTint="33"/>
            <w:noWrap/>
          </w:tcPr>
          <w:p w:rsidR="003410C3" w:rsidRDefault="00CD20C0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03" w:type="dxa"/>
            <w:shd w:val="clear" w:color="auto" w:fill="FFE0CC" w:themeFill="accent3" w:themeFillTint="33"/>
            <w:vAlign w:val="bottom"/>
          </w:tcPr>
          <w:p w:rsidR="003410C3" w:rsidRDefault="00CD20C0" w:rsidP="00CD2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3410C3" w:rsidTr="00A963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shd w:val="clear" w:color="auto" w:fill="auto"/>
            <w:noWrap/>
          </w:tcPr>
          <w:p w:rsidR="003410C3" w:rsidRDefault="003410C3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binge drinking</w:t>
            </w:r>
          </w:p>
        </w:tc>
        <w:tc>
          <w:tcPr>
            <w:tcW w:w="1350" w:type="dxa"/>
            <w:shd w:val="clear" w:color="auto" w:fill="auto"/>
            <w:noWrap/>
          </w:tcPr>
          <w:p w:rsidR="003410C3" w:rsidRDefault="00CD20C0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3410C3" w:rsidRDefault="00CD20C0" w:rsidP="00CD20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3410C3" w:rsidTr="00A9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shd w:val="clear" w:color="auto" w:fill="FFE0CC" w:themeFill="accent3" w:themeFillTint="33"/>
            <w:noWrap/>
          </w:tcPr>
          <w:p w:rsidR="003410C3" w:rsidRDefault="003410C3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Rode in Vehicle with Driver who had been drinking alcohol</w:t>
            </w:r>
          </w:p>
        </w:tc>
        <w:tc>
          <w:tcPr>
            <w:tcW w:w="1350" w:type="dxa"/>
            <w:shd w:val="clear" w:color="auto" w:fill="FFE0CC" w:themeFill="accent3" w:themeFillTint="33"/>
            <w:noWrap/>
            <w:vAlign w:val="center"/>
          </w:tcPr>
          <w:p w:rsidR="003410C3" w:rsidRDefault="00CD20C0" w:rsidP="00A9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03" w:type="dxa"/>
            <w:shd w:val="clear" w:color="auto" w:fill="FFE0CC" w:themeFill="accent3" w:themeFillTint="33"/>
            <w:vAlign w:val="center"/>
          </w:tcPr>
          <w:p w:rsidR="003410C3" w:rsidRDefault="00CD20C0" w:rsidP="0029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CD20C0" w:rsidTr="00A963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shd w:val="clear" w:color="auto" w:fill="auto"/>
            <w:noWrap/>
          </w:tcPr>
          <w:p w:rsidR="00CD20C0" w:rsidRDefault="00CD20C0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Among those who drink-Those who usually obtained the alcohol they drank by someone giving it to them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CD20C0" w:rsidRDefault="00CD20C0" w:rsidP="00294F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D20C0" w:rsidRDefault="00CD20C0" w:rsidP="00294F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3410C3" w:rsidTr="00A9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shd w:val="clear" w:color="auto" w:fill="FFE0CC" w:themeFill="accent3" w:themeFillTint="33"/>
            <w:noWrap/>
          </w:tcPr>
          <w:p w:rsidR="003410C3" w:rsidRDefault="003410C3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Drank alcohol before age 13</w:t>
            </w:r>
          </w:p>
        </w:tc>
        <w:tc>
          <w:tcPr>
            <w:tcW w:w="1350" w:type="dxa"/>
            <w:shd w:val="clear" w:color="auto" w:fill="FFE0CC" w:themeFill="accent3" w:themeFillTint="33"/>
            <w:noWrap/>
          </w:tcPr>
          <w:p w:rsidR="003410C3" w:rsidRDefault="00CD20C0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03" w:type="dxa"/>
            <w:shd w:val="clear" w:color="auto" w:fill="FFE0CC" w:themeFill="accent3" w:themeFillTint="33"/>
            <w:vAlign w:val="bottom"/>
          </w:tcPr>
          <w:p w:rsidR="003410C3" w:rsidRDefault="00593B4B" w:rsidP="00CD2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20432B" w:rsidRPr="00261D37" w:rsidRDefault="00261D37" w:rsidP="00261D37">
      <w:pPr>
        <w:pStyle w:val="ListParagraph"/>
        <w:rPr>
          <w:sz w:val="20"/>
          <w:szCs w:val="20"/>
        </w:rPr>
      </w:pPr>
      <w:r w:rsidRPr="00261D37">
        <w:rPr>
          <w:sz w:val="20"/>
          <w:szCs w:val="20"/>
        </w:rPr>
        <w:t xml:space="preserve">Source: Centers for Disease Control &amp; Prevention. Youth Risk Behavior Surveillance System (YRBSS) </w:t>
      </w:r>
    </w:p>
    <w:p w:rsidR="003410C3" w:rsidRDefault="003410C3" w:rsidP="0020432B">
      <w:pPr>
        <w:pStyle w:val="ListParagraph"/>
        <w:spacing w:after="0" w:line="240" w:lineRule="auto"/>
        <w:rPr>
          <w:b/>
          <w:sz w:val="26"/>
          <w:szCs w:val="26"/>
          <w:u w:val="single"/>
        </w:rPr>
      </w:pPr>
    </w:p>
    <w:p w:rsidR="00593B4B" w:rsidRPr="00593B4B" w:rsidRDefault="00593B4B" w:rsidP="00593B4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20432B">
        <w:rPr>
          <w:b/>
        </w:rPr>
        <w:t>Drug/Narcotics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39"/>
        <w:gridCol w:w="1706"/>
        <w:gridCol w:w="2884"/>
        <w:gridCol w:w="270"/>
        <w:gridCol w:w="288"/>
      </w:tblGrid>
      <w:tr w:rsidR="00593B4B" w:rsidTr="00F6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  <w:shd w:val="clear" w:color="auto" w:fill="FF6700" w:themeFill="accent3"/>
            <w:noWrap/>
            <w:hideMark/>
          </w:tcPr>
          <w:p w:rsidR="00593B4B" w:rsidRDefault="00593B4B" w:rsidP="00F6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Arrest Rates per 100,000 Population</w:t>
            </w:r>
          </w:p>
        </w:tc>
      </w:tr>
      <w:tr w:rsidR="00593B4B" w:rsidTr="00B0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  <w:vAlign w:val="bottom"/>
            <w:hideMark/>
          </w:tcPr>
          <w:p w:rsidR="00593B4B" w:rsidRPr="005E651A" w:rsidRDefault="00593B4B" w:rsidP="00F609F8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FE0CC" w:themeFill="accent3" w:themeFillTint="33"/>
            <w:noWrap/>
            <w:vAlign w:val="bottom"/>
            <w:hideMark/>
          </w:tcPr>
          <w:p w:rsidR="00593B4B" w:rsidRPr="005E651A" w:rsidRDefault="00B0359B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Fluvanna</w:t>
            </w:r>
          </w:p>
        </w:tc>
        <w:tc>
          <w:tcPr>
            <w:tcW w:w="1706" w:type="dxa"/>
            <w:shd w:val="clear" w:color="auto" w:fill="FFE0CC" w:themeFill="accent3" w:themeFillTint="33"/>
          </w:tcPr>
          <w:p w:rsidR="00593B4B" w:rsidRDefault="00B0359B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2884" w:type="dxa"/>
            <w:shd w:val="clear" w:color="auto" w:fill="FFE0CC" w:themeFill="accent3" w:themeFillTint="33"/>
          </w:tcPr>
          <w:p w:rsidR="00593B4B" w:rsidRDefault="00593B4B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  <w:tc>
          <w:tcPr>
            <w:tcW w:w="270" w:type="dxa"/>
            <w:shd w:val="clear" w:color="auto" w:fill="FFE0CC" w:themeFill="accent3" w:themeFillTint="33"/>
          </w:tcPr>
          <w:p w:rsidR="00593B4B" w:rsidRDefault="00593B4B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E0CC" w:themeFill="accent3" w:themeFillTint="33"/>
          </w:tcPr>
          <w:p w:rsidR="00593B4B" w:rsidRDefault="00593B4B" w:rsidP="00B03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93B4B" w:rsidTr="00B03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593B4B" w:rsidRDefault="00593B4B" w:rsidP="00F6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2011-13</w:t>
            </w:r>
          </w:p>
        </w:tc>
        <w:tc>
          <w:tcPr>
            <w:tcW w:w="1939" w:type="dxa"/>
            <w:noWrap/>
          </w:tcPr>
          <w:p w:rsidR="00593B4B" w:rsidRDefault="00B0359B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706" w:type="dxa"/>
          </w:tcPr>
          <w:p w:rsidR="00593B4B" w:rsidRDefault="00B0359B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884" w:type="dxa"/>
          </w:tcPr>
          <w:p w:rsidR="00593B4B" w:rsidRDefault="00593B4B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70" w:type="dxa"/>
          </w:tcPr>
          <w:p w:rsidR="00593B4B" w:rsidRDefault="00593B4B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593B4B" w:rsidRDefault="00593B4B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93B4B" w:rsidRDefault="00593B4B" w:rsidP="00593B4B">
      <w:pPr>
        <w:ind w:left="1440"/>
        <w:rPr>
          <w:sz w:val="20"/>
          <w:szCs w:val="20"/>
        </w:rPr>
      </w:pPr>
      <w:r w:rsidRPr="00CD20C0">
        <w:rPr>
          <w:sz w:val="20"/>
          <w:szCs w:val="20"/>
        </w:rPr>
        <w:t>Source: Crime in Virginia - Virginia State Police - Uniform Crime Reporting Program</w:t>
      </w:r>
    </w:p>
    <w:p w:rsidR="00B0359B" w:rsidRDefault="00B0359B" w:rsidP="00593B4B">
      <w:pPr>
        <w:ind w:left="1440"/>
        <w:rPr>
          <w:sz w:val="20"/>
          <w:szCs w:val="20"/>
        </w:rPr>
      </w:pPr>
    </w:p>
    <w:p w:rsidR="00616E78" w:rsidRPr="000F48A4" w:rsidRDefault="00A9637F" w:rsidP="00616E78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Percent of </w:t>
      </w:r>
      <w:r w:rsidR="00616E78" w:rsidRPr="000F48A4">
        <w:rPr>
          <w:b/>
          <w:sz w:val="20"/>
          <w:szCs w:val="20"/>
        </w:rPr>
        <w:t>High School Students (Grades 9-12)</w:t>
      </w:r>
      <w:r w:rsidR="000F48A4">
        <w:rPr>
          <w:b/>
          <w:sz w:val="20"/>
          <w:szCs w:val="20"/>
        </w:rPr>
        <w:t xml:space="preserve"> Drug Use (Self-reported), 2013</w:t>
      </w:r>
    </w:p>
    <w:tbl>
      <w:tblPr>
        <w:tblStyle w:val="LightShading-Accent1"/>
        <w:tblW w:w="0" w:type="auto"/>
        <w:tblInd w:w="1440" w:type="dxa"/>
        <w:tblLook w:val="04A0" w:firstRow="1" w:lastRow="0" w:firstColumn="1" w:lastColumn="0" w:noHBand="0" w:noVBand="1"/>
      </w:tblPr>
      <w:tblGrid>
        <w:gridCol w:w="3672"/>
        <w:gridCol w:w="1026"/>
        <w:gridCol w:w="990"/>
      </w:tblGrid>
      <w:tr w:rsidR="000F48A4" w:rsidTr="000F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used/took:</w:t>
            </w:r>
          </w:p>
        </w:tc>
        <w:tc>
          <w:tcPr>
            <w:tcW w:w="1026" w:type="dxa"/>
          </w:tcPr>
          <w:p w:rsidR="000F48A4" w:rsidRDefault="00A9637F" w:rsidP="00616E7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</w:t>
            </w:r>
          </w:p>
        </w:tc>
        <w:tc>
          <w:tcPr>
            <w:tcW w:w="990" w:type="dxa"/>
          </w:tcPr>
          <w:p w:rsidR="000F48A4" w:rsidRDefault="00A9637F" w:rsidP="00616E7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</w:p>
        </w:tc>
      </w:tr>
      <w:tr w:rsidR="000F48A4" w:rsidTr="000F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Marijuana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drugs without a doctor’s prescription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Inhalants (sniffed glue, breathed in contents of aerosol spray cans, etc.)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Ecstasy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Cocaine (in any form-powder, crack, freebase, etc.)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Methamphetamines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Steroids without a doctor’s prescription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Heroin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F48A4" w:rsidTr="000F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="000F48A4" w:rsidRDefault="000F48A4" w:rsidP="00616E7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Injected any illegal drug using a needle</w:t>
            </w:r>
          </w:p>
        </w:tc>
        <w:tc>
          <w:tcPr>
            <w:tcW w:w="1026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0F48A4" w:rsidRDefault="000F48A4" w:rsidP="00616E7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616E78" w:rsidRDefault="000F48A4" w:rsidP="000F48A4">
      <w:pPr>
        <w:pStyle w:val="ListParagraph"/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Source: Centers for Disease Control &amp; Prevention (CDC). Youth Behavioral Risk Factor Surveillance System (YRBSS). </w:t>
      </w:r>
    </w:p>
    <w:p w:rsidR="000F48A4" w:rsidRPr="00616E78" w:rsidRDefault="000F48A4" w:rsidP="000F48A4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20432B" w:rsidRDefault="0020432B" w:rsidP="0020432B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Youth Mental Health</w:t>
      </w:r>
    </w:p>
    <w:p w:rsidR="00261D37" w:rsidRDefault="00261D37" w:rsidP="00261D37">
      <w:pPr>
        <w:pStyle w:val="ListParagraph"/>
        <w:spacing w:after="0" w:line="240" w:lineRule="auto"/>
        <w:rPr>
          <w:b/>
          <w:sz w:val="26"/>
          <w:szCs w:val="26"/>
          <w:u w:val="single"/>
        </w:rPr>
      </w:pPr>
    </w:p>
    <w:p w:rsidR="00261D37" w:rsidRPr="00261D37" w:rsidRDefault="00261D37" w:rsidP="00261D37">
      <w:pPr>
        <w:pStyle w:val="ListParagraph"/>
        <w:numPr>
          <w:ilvl w:val="0"/>
          <w:numId w:val="16"/>
        </w:numPr>
        <w:spacing w:after="0" w:line="240" w:lineRule="auto"/>
        <w:rPr>
          <w:b/>
          <w:u w:val="single"/>
        </w:rPr>
      </w:pPr>
      <w:r>
        <w:rPr>
          <w:b/>
        </w:rPr>
        <w:t>Adolescent Mental Health – Depression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39"/>
        <w:gridCol w:w="2790"/>
        <w:gridCol w:w="2358"/>
      </w:tblGrid>
      <w:tr w:rsidR="00261D37" w:rsidTr="00261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74A510" w:themeFill="background2" w:themeFillShade="80"/>
            <w:noWrap/>
            <w:hideMark/>
          </w:tcPr>
          <w:p w:rsidR="0071523A" w:rsidRDefault="00A9637F" w:rsidP="00A9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</w:t>
            </w:r>
            <w:r w:rsidR="00261D37">
              <w:rPr>
                <w:sz w:val="20"/>
                <w:szCs w:val="20"/>
              </w:rPr>
              <w:t xml:space="preserve"> High School Students (Grades 9-12) reporting Depression</w:t>
            </w:r>
          </w:p>
          <w:p w:rsidR="00261D37" w:rsidRDefault="0071523A" w:rsidP="0071523A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(Feeling sad or h</w:t>
            </w:r>
            <w:r w:rsidRPr="0071523A">
              <w:rPr>
                <w:b w:val="0"/>
                <w:sz w:val="20"/>
                <w:szCs w:val="20"/>
              </w:rPr>
              <w:t>opeless almost every day for 2 or more weeks in a row so that they stopped doing some usual activities)</w:t>
            </w:r>
          </w:p>
        </w:tc>
      </w:tr>
      <w:tr w:rsidR="00261D37" w:rsidTr="002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E9F9C8" w:themeFill="background2" w:themeFillTint="66"/>
            <w:noWrap/>
            <w:vAlign w:val="bottom"/>
            <w:hideMark/>
          </w:tcPr>
          <w:p w:rsidR="00261D37" w:rsidRPr="005E651A" w:rsidRDefault="00261D37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E9F9C8" w:themeFill="background2" w:themeFillTint="66"/>
            <w:noWrap/>
            <w:vAlign w:val="bottom"/>
            <w:hideMark/>
          </w:tcPr>
          <w:p w:rsidR="00261D37" w:rsidRPr="005E651A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Virginia </w:t>
            </w:r>
          </w:p>
        </w:tc>
        <w:tc>
          <w:tcPr>
            <w:tcW w:w="2790" w:type="dxa"/>
            <w:shd w:val="clear" w:color="auto" w:fill="E9F9C8" w:themeFill="background2" w:themeFillTint="66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Males</w:t>
            </w:r>
          </w:p>
        </w:tc>
        <w:tc>
          <w:tcPr>
            <w:tcW w:w="2358" w:type="dxa"/>
            <w:shd w:val="clear" w:color="auto" w:fill="E9F9C8" w:themeFill="background2" w:themeFillTint="66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Females</w:t>
            </w:r>
          </w:p>
        </w:tc>
      </w:tr>
      <w:tr w:rsidR="00261D37" w:rsidTr="00261D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939" w:type="dxa"/>
            <w:noWrap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2790" w:type="dxa"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2358" w:type="dxa"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</w:tr>
      <w:tr w:rsidR="00261D37" w:rsidTr="002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39" w:type="dxa"/>
            <w:noWrap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2790" w:type="dxa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2358" w:type="dxa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</w:tr>
    </w:tbl>
    <w:p w:rsidR="00261D37" w:rsidRPr="00261D37" w:rsidRDefault="00261D37" w:rsidP="008E44D9">
      <w:pPr>
        <w:spacing w:after="0" w:line="240" w:lineRule="auto"/>
        <w:ind w:left="1440"/>
        <w:rPr>
          <w:sz w:val="20"/>
          <w:szCs w:val="20"/>
        </w:rPr>
      </w:pPr>
      <w:r w:rsidRPr="00261D37">
        <w:rPr>
          <w:sz w:val="20"/>
          <w:szCs w:val="20"/>
        </w:rPr>
        <w:t>Source: Centers for Disease Control &amp; Prevention (CDC). Youth Risk Behavior Survey (YRBS</w:t>
      </w:r>
      <w:r w:rsidR="008E44D9">
        <w:rPr>
          <w:sz w:val="20"/>
          <w:szCs w:val="20"/>
        </w:rPr>
        <w:t>).</w:t>
      </w:r>
    </w:p>
    <w:p w:rsidR="00261D37" w:rsidRPr="00261D37" w:rsidRDefault="00261D37" w:rsidP="00261D37">
      <w:pPr>
        <w:spacing w:after="0" w:line="240" w:lineRule="auto"/>
        <w:ind w:left="720"/>
        <w:rPr>
          <w:b/>
          <w:u w:val="single"/>
        </w:rPr>
      </w:pPr>
    </w:p>
    <w:p w:rsidR="00261D37" w:rsidRPr="00261D37" w:rsidRDefault="00261D37" w:rsidP="00261D37">
      <w:pPr>
        <w:pStyle w:val="ListParagraph"/>
        <w:numPr>
          <w:ilvl w:val="0"/>
          <w:numId w:val="16"/>
        </w:numPr>
        <w:spacing w:after="0" w:line="240" w:lineRule="auto"/>
        <w:rPr>
          <w:b/>
          <w:u w:val="single"/>
        </w:rPr>
      </w:pPr>
      <w:r>
        <w:rPr>
          <w:b/>
        </w:rPr>
        <w:t>Adolescent Mental Health – Suicidal Thoughts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39"/>
        <w:gridCol w:w="2790"/>
        <w:gridCol w:w="2358"/>
      </w:tblGrid>
      <w:tr w:rsidR="00261D37" w:rsidTr="00261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D67B01" w:themeFill="accent6" w:themeFillShade="BF"/>
            <w:noWrap/>
            <w:hideMark/>
          </w:tcPr>
          <w:p w:rsidR="00261D37" w:rsidRPr="00261D37" w:rsidRDefault="00A9637F" w:rsidP="00A9637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</w:t>
            </w:r>
            <w:r w:rsidR="00261D37" w:rsidRPr="00261D37">
              <w:rPr>
                <w:sz w:val="20"/>
                <w:szCs w:val="20"/>
              </w:rPr>
              <w:t xml:space="preserve"> High School Students (Grades 9-12) reporting Suicidal Thoughts</w:t>
            </w:r>
          </w:p>
        </w:tc>
      </w:tr>
      <w:tr w:rsidR="00261D37" w:rsidTr="002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  <w:vAlign w:val="bottom"/>
            <w:hideMark/>
          </w:tcPr>
          <w:p w:rsidR="00261D37" w:rsidRPr="005E651A" w:rsidRDefault="00261D37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FE0CC" w:themeFill="accent3" w:themeFillTint="33"/>
            <w:noWrap/>
            <w:vAlign w:val="bottom"/>
            <w:hideMark/>
          </w:tcPr>
          <w:p w:rsidR="00261D37" w:rsidRPr="005E651A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Virginia </w:t>
            </w:r>
          </w:p>
        </w:tc>
        <w:tc>
          <w:tcPr>
            <w:tcW w:w="2790" w:type="dxa"/>
            <w:shd w:val="clear" w:color="auto" w:fill="FFE0CC" w:themeFill="accent3" w:themeFillTint="33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Males</w:t>
            </w:r>
          </w:p>
        </w:tc>
        <w:tc>
          <w:tcPr>
            <w:tcW w:w="2358" w:type="dxa"/>
            <w:shd w:val="clear" w:color="auto" w:fill="FFE0CC" w:themeFill="accent3" w:themeFillTint="33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Females</w:t>
            </w:r>
          </w:p>
        </w:tc>
      </w:tr>
      <w:tr w:rsidR="00261D37" w:rsidTr="00261D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939" w:type="dxa"/>
            <w:noWrap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2790" w:type="dxa"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2358" w:type="dxa"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  <w:tr w:rsidR="00261D37" w:rsidTr="002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39" w:type="dxa"/>
            <w:shd w:val="clear" w:color="auto" w:fill="FFE0CC" w:themeFill="accent3" w:themeFillTint="33"/>
            <w:noWrap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790" w:type="dxa"/>
            <w:shd w:val="clear" w:color="auto" w:fill="FFE0CC" w:themeFill="accent3" w:themeFillTint="33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358" w:type="dxa"/>
            <w:shd w:val="clear" w:color="auto" w:fill="FFE0CC" w:themeFill="accent3" w:themeFillTint="33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</w:tr>
    </w:tbl>
    <w:p w:rsidR="00261D37" w:rsidRPr="008E44D9" w:rsidRDefault="008E44D9" w:rsidP="008E44D9">
      <w:pPr>
        <w:spacing w:after="0" w:line="240" w:lineRule="auto"/>
      </w:pPr>
      <w:r>
        <w:tab/>
      </w:r>
      <w:r>
        <w:tab/>
      </w:r>
      <w:r w:rsidR="00261D37" w:rsidRPr="00261D37">
        <w:rPr>
          <w:sz w:val="20"/>
          <w:szCs w:val="20"/>
        </w:rPr>
        <w:t>Source: Centers for Disease Control &amp; Prevention (CDC). Youth Risk Behavior Survey (YRBS</w:t>
      </w:r>
      <w:r>
        <w:rPr>
          <w:sz w:val="20"/>
          <w:szCs w:val="20"/>
        </w:rPr>
        <w:t>).</w:t>
      </w:r>
    </w:p>
    <w:p w:rsidR="00261D37" w:rsidRDefault="00261D37" w:rsidP="00261D37">
      <w:pPr>
        <w:pStyle w:val="ListParagraph"/>
        <w:spacing w:after="0" w:line="240" w:lineRule="auto"/>
        <w:ind w:left="1080"/>
        <w:rPr>
          <w:b/>
          <w:u w:val="single"/>
        </w:rPr>
      </w:pPr>
    </w:p>
    <w:p w:rsidR="00CC4C78" w:rsidRPr="00261D37" w:rsidRDefault="00CC4C78" w:rsidP="00261D37">
      <w:pPr>
        <w:pStyle w:val="ListParagraph"/>
        <w:spacing w:after="0" w:line="240" w:lineRule="auto"/>
        <w:ind w:left="1080"/>
        <w:rPr>
          <w:b/>
          <w:u w:val="single"/>
        </w:rPr>
      </w:pPr>
    </w:p>
    <w:p w:rsidR="00261D37" w:rsidRPr="00261D37" w:rsidRDefault="00261D37" w:rsidP="00261D37">
      <w:pPr>
        <w:pStyle w:val="ListParagraph"/>
        <w:numPr>
          <w:ilvl w:val="0"/>
          <w:numId w:val="16"/>
        </w:numPr>
        <w:spacing w:after="0" w:line="240" w:lineRule="auto"/>
        <w:rPr>
          <w:b/>
          <w:u w:val="single"/>
        </w:rPr>
      </w:pPr>
      <w:r>
        <w:rPr>
          <w:b/>
        </w:rPr>
        <w:t>Adoles</w:t>
      </w:r>
      <w:r w:rsidR="001E59A3">
        <w:rPr>
          <w:b/>
        </w:rPr>
        <w:t>cent Mental Health – Suicide</w:t>
      </w:r>
      <w:r>
        <w:rPr>
          <w:b/>
        </w:rPr>
        <w:t xml:space="preserve"> Attempts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39"/>
        <w:gridCol w:w="2790"/>
        <w:gridCol w:w="2358"/>
      </w:tblGrid>
      <w:tr w:rsidR="00261D37" w:rsidTr="00261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74A510" w:themeFill="background2" w:themeFillShade="80"/>
            <w:noWrap/>
            <w:hideMark/>
          </w:tcPr>
          <w:p w:rsidR="00261D37" w:rsidRPr="00261D37" w:rsidRDefault="00A9637F" w:rsidP="00261D37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</w:t>
            </w:r>
            <w:r w:rsidR="00261D37" w:rsidRPr="00261D37">
              <w:rPr>
                <w:sz w:val="20"/>
                <w:szCs w:val="20"/>
              </w:rPr>
              <w:t xml:space="preserve"> High School Students (Grades 9-12) reporting </w:t>
            </w:r>
            <w:r w:rsidR="001E59A3">
              <w:rPr>
                <w:sz w:val="20"/>
                <w:szCs w:val="20"/>
              </w:rPr>
              <w:t>Suicide</w:t>
            </w:r>
            <w:r w:rsidR="00261D37">
              <w:rPr>
                <w:sz w:val="20"/>
                <w:szCs w:val="20"/>
              </w:rPr>
              <w:t xml:space="preserve"> Attempts</w:t>
            </w:r>
          </w:p>
        </w:tc>
      </w:tr>
      <w:tr w:rsidR="00261D37" w:rsidTr="002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E9F9C8" w:themeFill="background2" w:themeFillTint="66"/>
            <w:noWrap/>
            <w:vAlign w:val="bottom"/>
            <w:hideMark/>
          </w:tcPr>
          <w:p w:rsidR="00261D37" w:rsidRPr="005E651A" w:rsidRDefault="00261D37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E9F9C8" w:themeFill="background2" w:themeFillTint="66"/>
            <w:noWrap/>
            <w:vAlign w:val="bottom"/>
            <w:hideMark/>
          </w:tcPr>
          <w:p w:rsidR="00261D37" w:rsidRPr="005E651A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Virginia </w:t>
            </w:r>
          </w:p>
        </w:tc>
        <w:tc>
          <w:tcPr>
            <w:tcW w:w="2790" w:type="dxa"/>
            <w:shd w:val="clear" w:color="auto" w:fill="E9F9C8" w:themeFill="background2" w:themeFillTint="66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Males</w:t>
            </w:r>
          </w:p>
        </w:tc>
        <w:tc>
          <w:tcPr>
            <w:tcW w:w="2358" w:type="dxa"/>
            <w:shd w:val="clear" w:color="auto" w:fill="E9F9C8" w:themeFill="background2" w:themeFillTint="66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Females</w:t>
            </w:r>
          </w:p>
        </w:tc>
      </w:tr>
      <w:tr w:rsidR="00261D37" w:rsidTr="00261D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939" w:type="dxa"/>
            <w:noWrap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2790" w:type="dxa"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2358" w:type="dxa"/>
          </w:tcPr>
          <w:p w:rsidR="00261D37" w:rsidRDefault="00261D37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</w:tr>
      <w:tr w:rsidR="00261D37" w:rsidTr="002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39" w:type="dxa"/>
            <w:noWrap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790" w:type="dxa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2358" w:type="dxa"/>
          </w:tcPr>
          <w:p w:rsidR="00261D37" w:rsidRDefault="00261D37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</w:tbl>
    <w:p w:rsidR="00261D37" w:rsidRPr="001E59A3" w:rsidRDefault="001E59A3" w:rsidP="001E59A3">
      <w:pPr>
        <w:spacing w:after="0" w:line="240" w:lineRule="auto"/>
      </w:pPr>
      <w:r>
        <w:tab/>
      </w:r>
      <w:r>
        <w:tab/>
      </w:r>
      <w:r w:rsidR="00261D37" w:rsidRPr="00261D37">
        <w:rPr>
          <w:sz w:val="20"/>
          <w:szCs w:val="20"/>
        </w:rPr>
        <w:t>Source: Centers for Disease Control &amp; Prevention (CDC). Youth Risk Behavior Survey (YRBS</w:t>
      </w:r>
      <w:r w:rsidR="00FF7C1F">
        <w:rPr>
          <w:sz w:val="20"/>
          <w:szCs w:val="20"/>
        </w:rPr>
        <w:t>).</w:t>
      </w:r>
    </w:p>
    <w:p w:rsidR="0020432B" w:rsidRDefault="0020432B" w:rsidP="001E59A3">
      <w:pPr>
        <w:rPr>
          <w:b/>
          <w:sz w:val="26"/>
          <w:szCs w:val="26"/>
          <w:u w:val="single"/>
        </w:rPr>
      </w:pPr>
    </w:p>
    <w:p w:rsidR="004D1DBF" w:rsidRDefault="004D1DBF" w:rsidP="001E59A3">
      <w:pPr>
        <w:rPr>
          <w:b/>
          <w:sz w:val="26"/>
          <w:szCs w:val="26"/>
          <w:u w:val="single"/>
        </w:rPr>
      </w:pPr>
    </w:p>
    <w:p w:rsidR="004D1DBF" w:rsidRDefault="004D1DBF" w:rsidP="001E59A3">
      <w:pPr>
        <w:rPr>
          <w:b/>
          <w:sz w:val="26"/>
          <w:szCs w:val="26"/>
          <w:u w:val="single"/>
        </w:rPr>
      </w:pPr>
    </w:p>
    <w:p w:rsidR="004D1DBF" w:rsidRPr="001E59A3" w:rsidRDefault="004D1DBF" w:rsidP="001E59A3">
      <w:pPr>
        <w:rPr>
          <w:b/>
          <w:sz w:val="26"/>
          <w:szCs w:val="26"/>
          <w:u w:val="single"/>
        </w:rPr>
      </w:pPr>
    </w:p>
    <w:p w:rsidR="00B0359B" w:rsidRPr="004D1DBF" w:rsidRDefault="0020432B" w:rsidP="004D1DB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Seat Belt &amp; Safety Device Use</w:t>
      </w:r>
    </w:p>
    <w:p w:rsidR="00B0359B" w:rsidRDefault="00B0359B" w:rsidP="0020432B">
      <w:pPr>
        <w:pStyle w:val="ListParagraph"/>
        <w:rPr>
          <w:b/>
          <w:sz w:val="26"/>
          <w:szCs w:val="26"/>
          <w:u w:val="single"/>
        </w:rPr>
      </w:pPr>
    </w:p>
    <w:p w:rsidR="00261D37" w:rsidRDefault="00261D37" w:rsidP="00FF7C1F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Accidents without use of Safety Device (air bags, child car seats, bike helmets, seat belts)</w:t>
      </w:r>
    </w:p>
    <w:tbl>
      <w:tblPr>
        <w:tblStyle w:val="MediumShading1-Accent1"/>
        <w:tblW w:w="910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119"/>
        <w:gridCol w:w="4500"/>
      </w:tblGrid>
      <w:tr w:rsidR="00261D37" w:rsidTr="005D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  <w:gridSpan w:val="3"/>
            <w:shd w:val="clear" w:color="auto" w:fill="FF6700" w:themeFill="accent3"/>
            <w:noWrap/>
            <w:hideMark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Hospitalizations from Motor &amp; Other Vehicl</w:t>
            </w:r>
            <w:r w:rsidR="005D2D0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Accidents without the use of Safety Devices</w:t>
            </w:r>
          </w:p>
        </w:tc>
      </w:tr>
      <w:tr w:rsidR="00261D37" w:rsidTr="005D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  <w:vAlign w:val="bottom"/>
            <w:hideMark/>
          </w:tcPr>
          <w:p w:rsidR="00261D37" w:rsidRPr="005E651A" w:rsidRDefault="00261D37" w:rsidP="00261D3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E0CC" w:themeFill="accent3" w:themeFillTint="33"/>
            <w:noWrap/>
            <w:vAlign w:val="bottom"/>
            <w:hideMark/>
          </w:tcPr>
          <w:p w:rsidR="00261D37" w:rsidRPr="005E651A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Fluvanna</w:t>
            </w:r>
          </w:p>
        </w:tc>
        <w:tc>
          <w:tcPr>
            <w:tcW w:w="4500" w:type="dxa"/>
            <w:shd w:val="clear" w:color="auto" w:fill="FFE0CC" w:themeFill="accent3" w:themeFillTint="33"/>
          </w:tcPr>
          <w:p w:rsidR="00261D37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</w:tr>
      <w:tr w:rsidR="00261D37" w:rsidTr="005D2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  <w:hideMark/>
          </w:tcPr>
          <w:p w:rsidR="00261D37" w:rsidRPr="00F25213" w:rsidRDefault="000705D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2005-07</w:t>
            </w:r>
          </w:p>
        </w:tc>
        <w:tc>
          <w:tcPr>
            <w:tcW w:w="2119" w:type="dxa"/>
            <w:noWrap/>
            <w:hideMark/>
          </w:tcPr>
          <w:p w:rsidR="00261D37" w:rsidRPr="00F25213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:rsidR="00261D37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1D37" w:rsidTr="005D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</w:tcPr>
          <w:p w:rsidR="00261D37" w:rsidRDefault="000705D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2006-08</w:t>
            </w:r>
          </w:p>
        </w:tc>
        <w:tc>
          <w:tcPr>
            <w:tcW w:w="2119" w:type="dxa"/>
            <w:shd w:val="clear" w:color="auto" w:fill="FFE0CC" w:themeFill="accent3" w:themeFillTint="33"/>
            <w:noWrap/>
          </w:tcPr>
          <w:p w:rsidR="00261D37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  <w:shd w:val="clear" w:color="auto" w:fill="FFE0CC" w:themeFill="accent3" w:themeFillTint="33"/>
          </w:tcPr>
          <w:p w:rsidR="00261D37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61D37" w:rsidTr="005D2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261D37" w:rsidRDefault="00261D37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2007-09</w:t>
            </w:r>
          </w:p>
        </w:tc>
        <w:tc>
          <w:tcPr>
            <w:tcW w:w="2119" w:type="dxa"/>
            <w:noWrap/>
          </w:tcPr>
          <w:p w:rsidR="00261D37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:rsidR="00261D37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61D37" w:rsidTr="005D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</w:tcPr>
          <w:p w:rsidR="00261D37" w:rsidRDefault="000705D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2008-10</w:t>
            </w:r>
          </w:p>
        </w:tc>
        <w:tc>
          <w:tcPr>
            <w:tcW w:w="2119" w:type="dxa"/>
            <w:shd w:val="clear" w:color="auto" w:fill="FFE0CC" w:themeFill="accent3" w:themeFillTint="33"/>
            <w:noWrap/>
          </w:tcPr>
          <w:p w:rsidR="00261D37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0" w:type="dxa"/>
            <w:shd w:val="clear" w:color="auto" w:fill="FFE0CC" w:themeFill="accent3" w:themeFillTint="33"/>
          </w:tcPr>
          <w:p w:rsidR="00261D37" w:rsidRDefault="00B0359B" w:rsidP="0026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61D37" w:rsidTr="005D2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auto"/>
            <w:noWrap/>
          </w:tcPr>
          <w:p w:rsidR="00261D37" w:rsidRDefault="000705D4" w:rsidP="0026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2009-11</w:t>
            </w:r>
          </w:p>
        </w:tc>
        <w:tc>
          <w:tcPr>
            <w:tcW w:w="2119" w:type="dxa"/>
            <w:shd w:val="clear" w:color="auto" w:fill="auto"/>
            <w:noWrap/>
          </w:tcPr>
          <w:p w:rsidR="00261D37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261D37" w:rsidRDefault="00B0359B" w:rsidP="00261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261D37" w:rsidRPr="005D2D00" w:rsidRDefault="000705D4" w:rsidP="005D2D00">
      <w:pPr>
        <w:ind w:left="1440"/>
        <w:rPr>
          <w:sz w:val="20"/>
          <w:szCs w:val="20"/>
        </w:rPr>
      </w:pPr>
      <w:r w:rsidRPr="00FF7C1F">
        <w:rPr>
          <w:sz w:val="20"/>
          <w:szCs w:val="20"/>
        </w:rPr>
        <w:t>Source: Virginia Department of Motor Vehicles Highway Safety Office</w:t>
      </w:r>
    </w:p>
    <w:p w:rsidR="0020432B" w:rsidRDefault="003410C3" w:rsidP="0020432B">
      <w:pPr>
        <w:pStyle w:val="ListParagraph"/>
        <w:numPr>
          <w:ilvl w:val="0"/>
          <w:numId w:val="10"/>
        </w:num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Immunizations</w:t>
      </w:r>
    </w:p>
    <w:p w:rsidR="0020432B" w:rsidRDefault="0020432B" w:rsidP="0020432B">
      <w:pPr>
        <w:pStyle w:val="ListParagraph"/>
        <w:rPr>
          <w:b/>
          <w:sz w:val="26"/>
          <w:szCs w:val="26"/>
          <w:u w:val="single"/>
        </w:rPr>
      </w:pPr>
    </w:p>
    <w:p w:rsidR="000705D4" w:rsidRPr="00593B4B" w:rsidRDefault="000705D4" w:rsidP="00593B4B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Kindergarteners Immunized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39"/>
        <w:gridCol w:w="2790"/>
        <w:gridCol w:w="2358"/>
      </w:tblGrid>
      <w:tr w:rsidR="000705D4" w:rsidRPr="00261D37" w:rsidTr="001A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74A510" w:themeFill="background2" w:themeFillShade="80"/>
            <w:noWrap/>
            <w:hideMark/>
          </w:tcPr>
          <w:p w:rsidR="000705D4" w:rsidRPr="00261D37" w:rsidRDefault="00A9637F" w:rsidP="000705D4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</w:t>
            </w:r>
            <w:r w:rsidR="000705D4" w:rsidRPr="00261D37">
              <w:rPr>
                <w:sz w:val="20"/>
                <w:szCs w:val="20"/>
              </w:rPr>
              <w:t xml:space="preserve"> </w:t>
            </w:r>
            <w:r w:rsidR="000705D4">
              <w:rPr>
                <w:sz w:val="20"/>
                <w:szCs w:val="20"/>
              </w:rPr>
              <w:t>Kindergarteners Immunized in Public &amp; Private Schools in TJHD</w:t>
            </w:r>
          </w:p>
        </w:tc>
      </w:tr>
      <w:tr w:rsidR="000705D4" w:rsidTr="001A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E9F9C8" w:themeFill="background2" w:themeFillTint="66"/>
            <w:noWrap/>
            <w:vAlign w:val="bottom"/>
            <w:hideMark/>
          </w:tcPr>
          <w:p w:rsidR="000705D4" w:rsidRPr="005E651A" w:rsidRDefault="000705D4" w:rsidP="001A4BC4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E9F9C8" w:themeFill="background2" w:themeFillTint="66"/>
            <w:noWrap/>
            <w:vAlign w:val="bottom"/>
            <w:hideMark/>
          </w:tcPr>
          <w:p w:rsidR="000705D4" w:rsidRPr="005E651A" w:rsidRDefault="00A9637F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790" w:type="dxa"/>
            <w:shd w:val="clear" w:color="auto" w:fill="E9F9C8" w:themeFill="background2" w:themeFillTint="66"/>
          </w:tcPr>
          <w:p w:rsidR="000705D4" w:rsidRDefault="00A9637F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358" w:type="dxa"/>
            <w:shd w:val="clear" w:color="auto" w:fill="E9F9C8" w:themeFill="background2" w:themeFillTint="66"/>
          </w:tcPr>
          <w:p w:rsidR="000705D4" w:rsidRDefault="00A9637F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</w:tr>
      <w:tr w:rsidR="000705D4" w:rsidTr="001A4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0705D4" w:rsidRDefault="000705D4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</w:t>
            </w:r>
          </w:p>
        </w:tc>
        <w:tc>
          <w:tcPr>
            <w:tcW w:w="1939" w:type="dxa"/>
            <w:noWrap/>
          </w:tcPr>
          <w:p w:rsidR="000705D4" w:rsidRDefault="000705D4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790" w:type="dxa"/>
          </w:tcPr>
          <w:p w:rsidR="000705D4" w:rsidRDefault="000705D4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358" w:type="dxa"/>
          </w:tcPr>
          <w:p w:rsidR="000705D4" w:rsidRDefault="000705D4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705D4" w:rsidTr="001A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0705D4" w:rsidRDefault="000705D4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</w:p>
        </w:tc>
        <w:tc>
          <w:tcPr>
            <w:tcW w:w="1939" w:type="dxa"/>
            <w:noWrap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790" w:type="dxa"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358" w:type="dxa"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0705D4" w:rsidRPr="000705D4" w:rsidRDefault="000705D4" w:rsidP="000705D4">
      <w:pPr>
        <w:pStyle w:val="ListParagraph"/>
        <w:ind w:left="1080"/>
        <w:rPr>
          <w:sz w:val="20"/>
          <w:szCs w:val="20"/>
        </w:rPr>
      </w:pPr>
      <w:r w:rsidRPr="000705D4">
        <w:rPr>
          <w:sz w:val="20"/>
          <w:szCs w:val="20"/>
        </w:rPr>
        <w:t>Source: Virginia Department of Health</w:t>
      </w:r>
    </w:p>
    <w:p w:rsidR="000705D4" w:rsidRDefault="000705D4" w:rsidP="000705D4">
      <w:pPr>
        <w:pStyle w:val="ListParagraph"/>
        <w:ind w:left="1080"/>
        <w:rPr>
          <w:b/>
        </w:rPr>
      </w:pPr>
    </w:p>
    <w:p w:rsidR="000705D4" w:rsidRPr="000705D4" w:rsidRDefault="000705D4" w:rsidP="000705D4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6</w:t>
      </w:r>
      <w:r w:rsidRPr="000705D4">
        <w:rPr>
          <w:b/>
          <w:vertAlign w:val="superscript"/>
        </w:rPr>
        <w:t>th</w:t>
      </w:r>
      <w:r>
        <w:rPr>
          <w:b/>
        </w:rPr>
        <w:t xml:space="preserve"> Graders Immunized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939"/>
        <w:gridCol w:w="2790"/>
        <w:gridCol w:w="2358"/>
      </w:tblGrid>
      <w:tr w:rsidR="000705D4" w:rsidRPr="00261D37" w:rsidTr="00317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FEA022" w:themeFill="accent6"/>
            <w:noWrap/>
            <w:hideMark/>
          </w:tcPr>
          <w:p w:rsidR="000705D4" w:rsidRPr="00261D37" w:rsidRDefault="00A9637F" w:rsidP="000705D4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</w:t>
            </w:r>
            <w:r w:rsidR="000705D4" w:rsidRPr="00261D37">
              <w:rPr>
                <w:sz w:val="20"/>
                <w:szCs w:val="20"/>
              </w:rPr>
              <w:t xml:space="preserve"> </w:t>
            </w:r>
            <w:r w:rsidR="000705D4">
              <w:rPr>
                <w:sz w:val="20"/>
                <w:szCs w:val="20"/>
              </w:rPr>
              <w:t>6</w:t>
            </w:r>
            <w:r w:rsidR="000705D4" w:rsidRPr="000705D4">
              <w:rPr>
                <w:sz w:val="20"/>
                <w:szCs w:val="20"/>
                <w:vertAlign w:val="superscript"/>
              </w:rPr>
              <w:t>th</w:t>
            </w:r>
            <w:r w:rsidR="000705D4">
              <w:rPr>
                <w:sz w:val="20"/>
                <w:szCs w:val="20"/>
              </w:rPr>
              <w:t xml:space="preserve"> Graders Immunized in Public &amp; Private Schools in TJHD</w:t>
            </w:r>
          </w:p>
        </w:tc>
      </w:tr>
      <w:tr w:rsidR="000705D4" w:rsidTr="0031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  <w:vAlign w:val="bottom"/>
            <w:hideMark/>
          </w:tcPr>
          <w:p w:rsidR="000705D4" w:rsidRPr="005E651A" w:rsidRDefault="000705D4" w:rsidP="001A4BC4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FE0CC" w:themeFill="accent3" w:themeFillTint="33"/>
            <w:noWrap/>
            <w:vAlign w:val="bottom"/>
            <w:hideMark/>
          </w:tcPr>
          <w:p w:rsidR="000705D4" w:rsidRPr="005E651A" w:rsidRDefault="00A9637F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790" w:type="dxa"/>
            <w:shd w:val="clear" w:color="auto" w:fill="FFE0CC" w:themeFill="accent3" w:themeFillTint="33"/>
          </w:tcPr>
          <w:p w:rsidR="000705D4" w:rsidRDefault="00A9637F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358" w:type="dxa"/>
            <w:shd w:val="clear" w:color="auto" w:fill="FFE0CC" w:themeFill="accent3" w:themeFillTint="33"/>
          </w:tcPr>
          <w:p w:rsidR="000705D4" w:rsidRDefault="00A9637F" w:rsidP="00A96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</w:tr>
      <w:tr w:rsidR="000705D4" w:rsidTr="001A4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noWrap/>
          </w:tcPr>
          <w:p w:rsidR="000705D4" w:rsidRDefault="000705D4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</w:t>
            </w:r>
          </w:p>
        </w:tc>
        <w:tc>
          <w:tcPr>
            <w:tcW w:w="1939" w:type="dxa"/>
            <w:noWrap/>
          </w:tcPr>
          <w:p w:rsidR="000705D4" w:rsidRDefault="000705D4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790" w:type="dxa"/>
          </w:tcPr>
          <w:p w:rsidR="000705D4" w:rsidRDefault="000705D4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358" w:type="dxa"/>
          </w:tcPr>
          <w:p w:rsidR="000705D4" w:rsidRDefault="000705D4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A9637F">
              <w:rPr>
                <w:sz w:val="20"/>
                <w:szCs w:val="20"/>
              </w:rPr>
              <w:t>%</w:t>
            </w:r>
          </w:p>
        </w:tc>
      </w:tr>
      <w:tr w:rsidR="000705D4" w:rsidTr="0031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shd w:val="clear" w:color="auto" w:fill="FFE0CC" w:themeFill="accent3" w:themeFillTint="33"/>
            <w:noWrap/>
          </w:tcPr>
          <w:p w:rsidR="000705D4" w:rsidRDefault="000705D4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</w:p>
        </w:tc>
        <w:tc>
          <w:tcPr>
            <w:tcW w:w="1939" w:type="dxa"/>
            <w:shd w:val="clear" w:color="auto" w:fill="FFE0CC" w:themeFill="accent3" w:themeFillTint="33"/>
            <w:noWrap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790" w:type="dxa"/>
            <w:shd w:val="clear" w:color="auto" w:fill="FFE0CC" w:themeFill="accent3" w:themeFillTint="33"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A9637F">
              <w:rPr>
                <w:sz w:val="20"/>
                <w:szCs w:val="20"/>
              </w:rPr>
              <w:t>%</w:t>
            </w:r>
          </w:p>
        </w:tc>
        <w:tc>
          <w:tcPr>
            <w:tcW w:w="2358" w:type="dxa"/>
            <w:shd w:val="clear" w:color="auto" w:fill="FFE0CC" w:themeFill="accent3" w:themeFillTint="33"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A9637F">
              <w:rPr>
                <w:sz w:val="20"/>
                <w:szCs w:val="20"/>
              </w:rPr>
              <w:t>%</w:t>
            </w:r>
          </w:p>
        </w:tc>
      </w:tr>
    </w:tbl>
    <w:p w:rsidR="000705D4" w:rsidRDefault="000705D4" w:rsidP="000705D4">
      <w:pPr>
        <w:pStyle w:val="ListParagraph"/>
        <w:ind w:left="1080"/>
        <w:rPr>
          <w:sz w:val="20"/>
          <w:szCs w:val="20"/>
        </w:rPr>
      </w:pPr>
      <w:r w:rsidRPr="000705D4">
        <w:rPr>
          <w:sz w:val="20"/>
          <w:szCs w:val="20"/>
        </w:rPr>
        <w:t>Source: Virginia Department of Health</w:t>
      </w:r>
    </w:p>
    <w:p w:rsidR="00317EDD" w:rsidRPr="000705D4" w:rsidRDefault="00317EDD" w:rsidP="000705D4">
      <w:pPr>
        <w:pStyle w:val="ListParagraph"/>
        <w:ind w:left="1080"/>
        <w:rPr>
          <w:sz w:val="20"/>
          <w:szCs w:val="20"/>
        </w:rPr>
      </w:pPr>
    </w:p>
    <w:p w:rsidR="00317EDD" w:rsidRPr="00FF7C1F" w:rsidRDefault="000705D4" w:rsidP="00FF7C1F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Adults Receiving Pneumonia Vaccine, 2006-12</w:t>
      </w:r>
    </w:p>
    <w:tbl>
      <w:tblPr>
        <w:tblStyle w:val="MediumShading1-Accent1"/>
        <w:tblW w:w="957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340"/>
        <w:gridCol w:w="3690"/>
        <w:gridCol w:w="468"/>
      </w:tblGrid>
      <w:tr w:rsidR="000705D4" w:rsidRPr="00261D37" w:rsidTr="001A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74A510" w:themeFill="background2" w:themeFillShade="80"/>
            <w:noWrap/>
            <w:hideMark/>
          </w:tcPr>
          <w:p w:rsidR="000705D4" w:rsidRPr="00261D37" w:rsidRDefault="000705D4" w:rsidP="001A4BC4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of Adults (65+) who Received Pneumonia Vaccine</w:t>
            </w:r>
          </w:p>
        </w:tc>
      </w:tr>
      <w:tr w:rsidR="000705D4" w:rsidTr="0031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E9F9C8" w:themeFill="background2" w:themeFillTint="66"/>
            <w:noWrap/>
            <w:vAlign w:val="bottom"/>
            <w:hideMark/>
          </w:tcPr>
          <w:p w:rsidR="000705D4" w:rsidRPr="00317EDD" w:rsidRDefault="000705D4" w:rsidP="001A4BC4">
            <w:pPr>
              <w:jc w:val="center"/>
              <w:rPr>
                <w:sz w:val="20"/>
                <w:szCs w:val="20"/>
              </w:rPr>
            </w:pPr>
            <w:r w:rsidRPr="00317EDD">
              <w:rPr>
                <w:sz w:val="20"/>
                <w:szCs w:val="20"/>
              </w:rPr>
              <w:t>Albemarle</w:t>
            </w:r>
          </w:p>
        </w:tc>
        <w:tc>
          <w:tcPr>
            <w:tcW w:w="2340" w:type="dxa"/>
            <w:shd w:val="clear" w:color="auto" w:fill="E9F9C8" w:themeFill="background2" w:themeFillTint="66"/>
            <w:noWrap/>
            <w:vAlign w:val="bottom"/>
            <w:hideMark/>
          </w:tcPr>
          <w:p w:rsidR="000705D4" w:rsidRPr="005E651A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TJHD</w:t>
            </w:r>
          </w:p>
        </w:tc>
        <w:tc>
          <w:tcPr>
            <w:tcW w:w="3690" w:type="dxa"/>
            <w:shd w:val="clear" w:color="auto" w:fill="E9F9C8" w:themeFill="background2" w:themeFillTint="66"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  <w:tc>
          <w:tcPr>
            <w:tcW w:w="468" w:type="dxa"/>
            <w:shd w:val="clear" w:color="auto" w:fill="E9F9C8" w:themeFill="background2" w:themeFillTint="66"/>
          </w:tcPr>
          <w:p w:rsidR="000705D4" w:rsidRDefault="000705D4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05D4" w:rsidTr="0031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noWrap/>
          </w:tcPr>
          <w:p w:rsidR="000705D4" w:rsidRDefault="00317EDD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67.5%</w:t>
            </w:r>
          </w:p>
        </w:tc>
        <w:tc>
          <w:tcPr>
            <w:tcW w:w="2340" w:type="dxa"/>
            <w:noWrap/>
          </w:tcPr>
          <w:p w:rsidR="000705D4" w:rsidRDefault="00317EDD" w:rsidP="008450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8450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2%</w:t>
            </w:r>
          </w:p>
        </w:tc>
        <w:tc>
          <w:tcPr>
            <w:tcW w:w="3690" w:type="dxa"/>
          </w:tcPr>
          <w:p w:rsidR="000705D4" w:rsidRDefault="00317EDD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70.1%</w:t>
            </w:r>
          </w:p>
        </w:tc>
        <w:tc>
          <w:tcPr>
            <w:tcW w:w="468" w:type="dxa"/>
          </w:tcPr>
          <w:p w:rsidR="000705D4" w:rsidRDefault="000705D4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705D4" w:rsidRPr="00FF7C1F" w:rsidRDefault="000705D4" w:rsidP="00FF7C1F">
      <w:pPr>
        <w:ind w:left="1440"/>
        <w:rPr>
          <w:sz w:val="20"/>
          <w:szCs w:val="20"/>
        </w:rPr>
      </w:pPr>
      <w:r w:rsidRPr="00FF7C1F">
        <w:rPr>
          <w:sz w:val="20"/>
          <w:szCs w:val="20"/>
        </w:rPr>
        <w:t xml:space="preserve">Source: </w:t>
      </w:r>
      <w:r w:rsidR="00317EDD" w:rsidRPr="00FF7C1F">
        <w:rPr>
          <w:sz w:val="20"/>
          <w:szCs w:val="20"/>
        </w:rPr>
        <w:t xml:space="preserve">Community Commons Community Health Needs Assessment for TJHD localities-Clinical Care Report. </w:t>
      </w:r>
      <w:r w:rsidR="00FF7C1F">
        <w:rPr>
          <w:sz w:val="20"/>
          <w:szCs w:val="20"/>
        </w:rPr>
        <w:t>C</w:t>
      </w:r>
      <w:r w:rsidR="00317EDD" w:rsidRPr="00FF7C1F">
        <w:rPr>
          <w:sz w:val="20"/>
          <w:szCs w:val="20"/>
        </w:rPr>
        <w:t>enters for Disease Control &amp; Prevention, Behavioral Risk Factor Surveillance System (BRFSS). Accessed via the Health Indicators Warehouse. US Department of Health &amp; Human Services. 2006-12. Source geography: County</w:t>
      </w:r>
    </w:p>
    <w:p w:rsidR="000705D4" w:rsidRPr="0020432B" w:rsidRDefault="000705D4" w:rsidP="0020432B">
      <w:pPr>
        <w:pStyle w:val="ListParagraph"/>
        <w:rPr>
          <w:b/>
          <w:sz w:val="26"/>
          <w:szCs w:val="26"/>
          <w:u w:val="single"/>
        </w:rPr>
      </w:pPr>
    </w:p>
    <w:p w:rsidR="00317EDD" w:rsidRDefault="003410C3" w:rsidP="00317EDD">
      <w:pPr>
        <w:pStyle w:val="ListParagraph"/>
        <w:numPr>
          <w:ilvl w:val="0"/>
          <w:numId w:val="10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Cancer &amp; HIV Screening Behaviors</w:t>
      </w:r>
    </w:p>
    <w:p w:rsidR="00B0359B" w:rsidRDefault="00B0359B" w:rsidP="00B0359B">
      <w:pPr>
        <w:pStyle w:val="ListParagraph"/>
        <w:rPr>
          <w:b/>
          <w:sz w:val="26"/>
          <w:szCs w:val="26"/>
          <w:u w:val="single"/>
        </w:rPr>
      </w:pPr>
    </w:p>
    <w:p w:rsidR="00845003" w:rsidRPr="0088520A" w:rsidRDefault="00317EDD" w:rsidP="0088520A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Colonoscopy</w:t>
      </w:r>
      <w:r w:rsidR="00845003">
        <w:rPr>
          <w:b/>
        </w:rPr>
        <w:t xml:space="preserve"> or Sigmoidoscopy</w:t>
      </w:r>
    </w:p>
    <w:tbl>
      <w:tblPr>
        <w:tblStyle w:val="MediumShading1-Accent1"/>
        <w:tblW w:w="988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16"/>
        <w:gridCol w:w="3810"/>
        <w:gridCol w:w="485"/>
      </w:tblGrid>
      <w:tr w:rsidR="00845003" w:rsidRPr="00261D37" w:rsidTr="00845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EA022" w:themeFill="accent6"/>
            <w:noWrap/>
            <w:hideMark/>
          </w:tcPr>
          <w:p w:rsidR="00845003" w:rsidRPr="00845003" w:rsidRDefault="00845003" w:rsidP="00845003">
            <w:pPr>
              <w:jc w:val="center"/>
              <w:rPr>
                <w:sz w:val="20"/>
                <w:szCs w:val="20"/>
              </w:rPr>
            </w:pPr>
            <w:r w:rsidRPr="00845003">
              <w:rPr>
                <w:sz w:val="20"/>
                <w:szCs w:val="20"/>
              </w:rPr>
              <w:t>Percent of Adults (</w:t>
            </w:r>
            <w:r w:rsidR="0088520A">
              <w:rPr>
                <w:sz w:val="20"/>
                <w:szCs w:val="20"/>
              </w:rPr>
              <w:t xml:space="preserve">Age </w:t>
            </w:r>
            <w:r w:rsidRPr="00845003">
              <w:rPr>
                <w:sz w:val="20"/>
                <w:szCs w:val="20"/>
              </w:rPr>
              <w:t>50+</w:t>
            </w:r>
            <w:r w:rsidR="0088520A">
              <w:rPr>
                <w:sz w:val="20"/>
                <w:szCs w:val="20"/>
              </w:rPr>
              <w:t xml:space="preserve"> Years</w:t>
            </w:r>
            <w:r w:rsidRPr="00845003">
              <w:rPr>
                <w:sz w:val="20"/>
                <w:szCs w:val="20"/>
              </w:rPr>
              <w:t>) Who have ever had a Sigmoidoscopy or Colonoscopy, 2006-12</w:t>
            </w:r>
          </w:p>
        </w:tc>
      </w:tr>
      <w:tr w:rsidR="00845003" w:rsidTr="00845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shd w:val="clear" w:color="auto" w:fill="FFE0CC" w:themeFill="accent3" w:themeFillTint="33"/>
            <w:noWrap/>
            <w:vAlign w:val="bottom"/>
            <w:hideMark/>
          </w:tcPr>
          <w:p w:rsidR="00845003" w:rsidRPr="00317EDD" w:rsidRDefault="00B0359B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Fluvanna</w:t>
            </w:r>
          </w:p>
        </w:tc>
        <w:tc>
          <w:tcPr>
            <w:tcW w:w="2416" w:type="dxa"/>
            <w:shd w:val="clear" w:color="auto" w:fill="FFE0CC" w:themeFill="accent3" w:themeFillTint="33"/>
            <w:noWrap/>
            <w:vAlign w:val="bottom"/>
            <w:hideMark/>
          </w:tcPr>
          <w:p w:rsidR="00845003" w:rsidRPr="005E651A" w:rsidRDefault="00B0359B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3810" w:type="dxa"/>
            <w:shd w:val="clear" w:color="auto" w:fill="FFE0CC" w:themeFill="accent3" w:themeFillTint="33"/>
          </w:tcPr>
          <w:p w:rsidR="00845003" w:rsidRDefault="00845003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  <w:tc>
          <w:tcPr>
            <w:tcW w:w="483" w:type="dxa"/>
            <w:shd w:val="clear" w:color="auto" w:fill="FFE0CC" w:themeFill="accent3" w:themeFillTint="33"/>
          </w:tcPr>
          <w:p w:rsidR="00845003" w:rsidRDefault="00845003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45003" w:rsidTr="008450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noWrap/>
          </w:tcPr>
          <w:p w:rsidR="00845003" w:rsidRPr="0088520A" w:rsidRDefault="00B0359B" w:rsidP="001A4BC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</w:t>
            </w:r>
            <w:r w:rsidR="00845003" w:rsidRPr="0088520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2416" w:type="dxa"/>
            <w:noWrap/>
          </w:tcPr>
          <w:p w:rsidR="00845003" w:rsidRDefault="00B0359B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3810" w:type="dxa"/>
          </w:tcPr>
          <w:p w:rsidR="00845003" w:rsidRDefault="00845003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483" w:type="dxa"/>
          </w:tcPr>
          <w:p w:rsidR="00845003" w:rsidRDefault="00845003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45003" w:rsidRPr="0088520A" w:rsidRDefault="00845003" w:rsidP="0088520A">
      <w:pPr>
        <w:ind w:left="1440"/>
        <w:rPr>
          <w:sz w:val="20"/>
          <w:szCs w:val="20"/>
        </w:rPr>
      </w:pPr>
      <w:r w:rsidRPr="0088520A">
        <w:rPr>
          <w:sz w:val="20"/>
          <w:szCs w:val="20"/>
        </w:rPr>
        <w:t xml:space="preserve">Source: Community Commons Community Health Needs Assessment for TJHD localities-Clinical Care Report. </w:t>
      </w:r>
      <w:r w:rsidR="0088520A" w:rsidRPr="0088520A">
        <w:rPr>
          <w:sz w:val="20"/>
          <w:szCs w:val="20"/>
        </w:rPr>
        <w:t>C</w:t>
      </w:r>
      <w:r w:rsidRPr="0088520A">
        <w:rPr>
          <w:sz w:val="20"/>
          <w:szCs w:val="20"/>
        </w:rPr>
        <w:t>enters for Disease Control &amp; Prevention</w:t>
      </w:r>
      <w:r w:rsidR="0088520A" w:rsidRPr="0088520A">
        <w:rPr>
          <w:sz w:val="20"/>
          <w:szCs w:val="20"/>
        </w:rPr>
        <w:t xml:space="preserve"> (CDC)</w:t>
      </w:r>
      <w:r w:rsidRPr="0088520A">
        <w:rPr>
          <w:sz w:val="20"/>
          <w:szCs w:val="20"/>
        </w:rPr>
        <w:t>, Behavioral Risk Factor Surveillance System (BRFSS</w:t>
      </w:r>
      <w:r w:rsidR="008C51A5">
        <w:rPr>
          <w:sz w:val="20"/>
          <w:szCs w:val="20"/>
        </w:rPr>
        <w:t xml:space="preserve">), </w:t>
      </w:r>
      <w:r w:rsidRPr="0088520A">
        <w:rPr>
          <w:sz w:val="20"/>
          <w:szCs w:val="20"/>
        </w:rPr>
        <w:t xml:space="preserve">2006-12. </w:t>
      </w:r>
    </w:p>
    <w:p w:rsidR="00845003" w:rsidRDefault="00845003" w:rsidP="00845003">
      <w:pPr>
        <w:pStyle w:val="ListParagraph"/>
        <w:spacing w:after="0" w:line="240" w:lineRule="auto"/>
        <w:rPr>
          <w:b/>
        </w:rPr>
      </w:pPr>
    </w:p>
    <w:p w:rsidR="00B0359B" w:rsidRDefault="00B0359B" w:rsidP="00845003">
      <w:pPr>
        <w:pStyle w:val="ListParagraph"/>
        <w:spacing w:after="0" w:line="240" w:lineRule="auto"/>
        <w:rPr>
          <w:b/>
        </w:rPr>
      </w:pPr>
    </w:p>
    <w:p w:rsidR="00B0359B" w:rsidRDefault="00B0359B" w:rsidP="00845003">
      <w:pPr>
        <w:pStyle w:val="ListParagraph"/>
        <w:spacing w:after="0" w:line="240" w:lineRule="auto"/>
        <w:rPr>
          <w:b/>
        </w:rPr>
      </w:pPr>
    </w:p>
    <w:p w:rsidR="00845003" w:rsidRPr="0088520A" w:rsidRDefault="00845003" w:rsidP="0088520A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Mammography</w:t>
      </w:r>
      <w:r w:rsidR="00FE2BD4">
        <w:rPr>
          <w:b/>
        </w:rPr>
        <w:t xml:space="preserve"> (Breast Cancer Screening)</w:t>
      </w:r>
    </w:p>
    <w:tbl>
      <w:tblPr>
        <w:tblStyle w:val="MediumShading1-Accent1"/>
        <w:tblW w:w="988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16"/>
        <w:gridCol w:w="3810"/>
        <w:gridCol w:w="485"/>
      </w:tblGrid>
      <w:tr w:rsidR="00845003" w:rsidRPr="00261D37" w:rsidTr="00845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74A510" w:themeFill="background2" w:themeFillShade="80"/>
            <w:noWrap/>
            <w:hideMark/>
          </w:tcPr>
          <w:p w:rsidR="00845003" w:rsidRPr="00845003" w:rsidRDefault="00845003" w:rsidP="00845003">
            <w:pPr>
              <w:jc w:val="center"/>
              <w:rPr>
                <w:sz w:val="20"/>
                <w:szCs w:val="20"/>
              </w:rPr>
            </w:pPr>
            <w:r w:rsidRPr="00845003">
              <w:rPr>
                <w:sz w:val="20"/>
                <w:szCs w:val="20"/>
              </w:rPr>
              <w:t xml:space="preserve">Percent of </w:t>
            </w:r>
            <w:r>
              <w:rPr>
                <w:sz w:val="20"/>
                <w:szCs w:val="20"/>
              </w:rPr>
              <w:t>Females</w:t>
            </w:r>
            <w:r w:rsidRPr="0084500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67-69)</w:t>
            </w:r>
            <w:r w:rsidRPr="00845003">
              <w:rPr>
                <w:sz w:val="20"/>
                <w:szCs w:val="20"/>
              </w:rPr>
              <w:t xml:space="preserve"> Who have had a </w:t>
            </w:r>
            <w:r>
              <w:rPr>
                <w:sz w:val="20"/>
                <w:szCs w:val="20"/>
              </w:rPr>
              <w:t>Mammogram in past 2 Years</w:t>
            </w:r>
            <w:r w:rsidRPr="0084500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2012</w:t>
            </w:r>
          </w:p>
        </w:tc>
      </w:tr>
      <w:tr w:rsidR="00845003" w:rsidTr="00885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shd w:val="clear" w:color="auto" w:fill="DFF7AD" w:themeFill="background2" w:themeFillTint="99"/>
            <w:noWrap/>
            <w:vAlign w:val="bottom"/>
            <w:hideMark/>
          </w:tcPr>
          <w:p w:rsidR="00845003" w:rsidRPr="00317EDD" w:rsidRDefault="004D1DBF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Fluvanna</w:t>
            </w:r>
          </w:p>
        </w:tc>
        <w:tc>
          <w:tcPr>
            <w:tcW w:w="2416" w:type="dxa"/>
            <w:shd w:val="clear" w:color="auto" w:fill="DFF7AD" w:themeFill="background2" w:themeFillTint="99"/>
            <w:noWrap/>
            <w:vAlign w:val="bottom"/>
            <w:hideMark/>
          </w:tcPr>
          <w:p w:rsidR="00845003" w:rsidRPr="005E651A" w:rsidRDefault="004D1DBF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3810" w:type="dxa"/>
            <w:shd w:val="clear" w:color="auto" w:fill="DFF7AD" w:themeFill="background2" w:themeFillTint="99"/>
          </w:tcPr>
          <w:p w:rsidR="00845003" w:rsidRDefault="00845003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  <w:tc>
          <w:tcPr>
            <w:tcW w:w="483" w:type="dxa"/>
            <w:shd w:val="clear" w:color="auto" w:fill="DFF7AD" w:themeFill="background2" w:themeFillTint="99"/>
          </w:tcPr>
          <w:p w:rsidR="00845003" w:rsidRDefault="00845003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45003" w:rsidTr="001A4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noWrap/>
          </w:tcPr>
          <w:p w:rsidR="00845003" w:rsidRPr="0088520A" w:rsidRDefault="004D1DBF" w:rsidP="001A4BC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</w:t>
            </w:r>
            <w:r w:rsidR="00845003" w:rsidRPr="0088520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2416" w:type="dxa"/>
            <w:noWrap/>
          </w:tcPr>
          <w:p w:rsidR="00845003" w:rsidRDefault="004D1DBF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845003">
              <w:rPr>
                <w:sz w:val="20"/>
                <w:szCs w:val="20"/>
              </w:rPr>
              <w:t>%</w:t>
            </w:r>
          </w:p>
        </w:tc>
        <w:tc>
          <w:tcPr>
            <w:tcW w:w="3810" w:type="dxa"/>
          </w:tcPr>
          <w:p w:rsidR="00845003" w:rsidRDefault="0088520A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845003">
              <w:rPr>
                <w:sz w:val="20"/>
                <w:szCs w:val="20"/>
              </w:rPr>
              <w:t>%</w:t>
            </w:r>
          </w:p>
        </w:tc>
        <w:tc>
          <w:tcPr>
            <w:tcW w:w="483" w:type="dxa"/>
          </w:tcPr>
          <w:p w:rsidR="00845003" w:rsidRDefault="00845003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8520A" w:rsidRPr="0088520A" w:rsidRDefault="00845003" w:rsidP="00FE2BD4">
      <w:pPr>
        <w:ind w:left="1440"/>
        <w:rPr>
          <w:sz w:val="20"/>
          <w:szCs w:val="20"/>
        </w:rPr>
      </w:pPr>
      <w:r w:rsidRPr="0088520A">
        <w:rPr>
          <w:sz w:val="20"/>
          <w:szCs w:val="20"/>
        </w:rPr>
        <w:t xml:space="preserve">Source: Community Commons Community Health Needs Assessment for TJHD localities-Clinical Care Report. </w:t>
      </w:r>
      <w:proofErr w:type="gramStart"/>
      <w:r w:rsidRPr="0088520A">
        <w:rPr>
          <w:sz w:val="20"/>
          <w:szCs w:val="20"/>
        </w:rPr>
        <w:t>Dartmouth College Institute for Health Policy &amp; Clinical Practice, Dartmouth Atlas of Health Care.</w:t>
      </w:r>
      <w:proofErr w:type="gramEnd"/>
      <w:r w:rsidRPr="0088520A">
        <w:rPr>
          <w:sz w:val="20"/>
          <w:szCs w:val="20"/>
        </w:rPr>
        <w:t xml:space="preserve"> 2008-12. Source geography: County</w:t>
      </w:r>
      <w:r w:rsidR="0088520A">
        <w:rPr>
          <w:sz w:val="20"/>
          <w:szCs w:val="20"/>
        </w:rPr>
        <w:t>.</w:t>
      </w:r>
      <w:r w:rsidRPr="0088520A">
        <w:rPr>
          <w:sz w:val="20"/>
          <w:szCs w:val="20"/>
        </w:rPr>
        <w:t xml:space="preserve"> </w:t>
      </w:r>
    </w:p>
    <w:p w:rsidR="00845003" w:rsidRPr="0088520A" w:rsidRDefault="00845003" w:rsidP="0088520A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PAP Test</w:t>
      </w:r>
      <w:r w:rsidR="00FE2BD4">
        <w:rPr>
          <w:b/>
        </w:rPr>
        <w:t xml:space="preserve"> (Cervical Cancer Screening)</w:t>
      </w:r>
    </w:p>
    <w:tbl>
      <w:tblPr>
        <w:tblStyle w:val="MediumShading1-Accent1"/>
        <w:tblW w:w="9889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16"/>
        <w:gridCol w:w="3810"/>
        <w:gridCol w:w="485"/>
      </w:tblGrid>
      <w:tr w:rsidR="00845003" w:rsidRPr="00261D37" w:rsidTr="001A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EA022" w:themeFill="accent6"/>
            <w:noWrap/>
            <w:hideMark/>
          </w:tcPr>
          <w:p w:rsidR="00845003" w:rsidRPr="00845003" w:rsidRDefault="00845003" w:rsidP="00FE2BD4">
            <w:pPr>
              <w:jc w:val="center"/>
              <w:rPr>
                <w:sz w:val="20"/>
                <w:szCs w:val="20"/>
              </w:rPr>
            </w:pPr>
            <w:r w:rsidRPr="00845003">
              <w:rPr>
                <w:sz w:val="20"/>
                <w:szCs w:val="20"/>
              </w:rPr>
              <w:t>Percent of Adult</w:t>
            </w:r>
            <w:r>
              <w:rPr>
                <w:sz w:val="20"/>
                <w:szCs w:val="20"/>
              </w:rPr>
              <w:t xml:space="preserve"> Women</w:t>
            </w:r>
            <w:r w:rsidRPr="0084500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18</w:t>
            </w:r>
            <w:r w:rsidRPr="00845003">
              <w:rPr>
                <w:sz w:val="20"/>
                <w:szCs w:val="20"/>
              </w:rPr>
              <w:t xml:space="preserve">+) Who have had a </w:t>
            </w:r>
            <w:r>
              <w:rPr>
                <w:sz w:val="20"/>
                <w:szCs w:val="20"/>
              </w:rPr>
              <w:t>PAP test in past 3 Years</w:t>
            </w:r>
            <w:r w:rsidRPr="00845003">
              <w:rPr>
                <w:sz w:val="20"/>
                <w:szCs w:val="20"/>
              </w:rPr>
              <w:t>, 2006-12</w:t>
            </w:r>
          </w:p>
        </w:tc>
      </w:tr>
      <w:tr w:rsidR="00845003" w:rsidTr="001A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shd w:val="clear" w:color="auto" w:fill="FFE0CC" w:themeFill="accent3" w:themeFillTint="33"/>
            <w:noWrap/>
            <w:vAlign w:val="bottom"/>
            <w:hideMark/>
          </w:tcPr>
          <w:p w:rsidR="00845003" w:rsidRPr="00317EDD" w:rsidRDefault="00B0359B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Fluvanna</w:t>
            </w:r>
          </w:p>
        </w:tc>
        <w:tc>
          <w:tcPr>
            <w:tcW w:w="2416" w:type="dxa"/>
            <w:shd w:val="clear" w:color="auto" w:fill="FFE0CC" w:themeFill="accent3" w:themeFillTint="33"/>
            <w:noWrap/>
            <w:vAlign w:val="bottom"/>
            <w:hideMark/>
          </w:tcPr>
          <w:p w:rsidR="00845003" w:rsidRPr="005E651A" w:rsidRDefault="00B0359B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3810" w:type="dxa"/>
            <w:shd w:val="clear" w:color="auto" w:fill="FFE0CC" w:themeFill="accent3" w:themeFillTint="33"/>
          </w:tcPr>
          <w:p w:rsidR="00845003" w:rsidRDefault="00845003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  <w:tc>
          <w:tcPr>
            <w:tcW w:w="483" w:type="dxa"/>
            <w:shd w:val="clear" w:color="auto" w:fill="FFE0CC" w:themeFill="accent3" w:themeFillTint="33"/>
          </w:tcPr>
          <w:p w:rsidR="00845003" w:rsidRDefault="00845003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45003" w:rsidTr="001A4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noWrap/>
          </w:tcPr>
          <w:p w:rsidR="00845003" w:rsidRPr="0088520A" w:rsidRDefault="00B0359B" w:rsidP="001A4BC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92</w:t>
            </w:r>
            <w:r w:rsidR="00845003" w:rsidRPr="0088520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2416" w:type="dxa"/>
            <w:noWrap/>
          </w:tcPr>
          <w:p w:rsidR="00845003" w:rsidRDefault="00B0359B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  <w:tc>
          <w:tcPr>
            <w:tcW w:w="3810" w:type="dxa"/>
          </w:tcPr>
          <w:p w:rsidR="00845003" w:rsidRDefault="00845003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  <w:tc>
          <w:tcPr>
            <w:tcW w:w="483" w:type="dxa"/>
          </w:tcPr>
          <w:p w:rsidR="00845003" w:rsidRDefault="00845003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45003" w:rsidRPr="0088520A" w:rsidRDefault="00845003" w:rsidP="0088520A">
      <w:pPr>
        <w:ind w:left="1440"/>
        <w:rPr>
          <w:sz w:val="20"/>
          <w:szCs w:val="20"/>
        </w:rPr>
      </w:pPr>
      <w:r w:rsidRPr="0088520A">
        <w:rPr>
          <w:sz w:val="20"/>
          <w:szCs w:val="20"/>
        </w:rPr>
        <w:t xml:space="preserve">Source: Community Commons Community Health Needs Assessment for TJHD localities-Clinical Care Report. </w:t>
      </w:r>
      <w:r w:rsidR="0088520A">
        <w:rPr>
          <w:sz w:val="20"/>
          <w:szCs w:val="20"/>
        </w:rPr>
        <w:t>C</w:t>
      </w:r>
      <w:r w:rsidRPr="0088520A">
        <w:rPr>
          <w:sz w:val="20"/>
          <w:szCs w:val="20"/>
        </w:rPr>
        <w:t>enters for Disease Control &amp; Prevention, Behavioral Risk Fact</w:t>
      </w:r>
      <w:r w:rsidR="005D2D00">
        <w:rPr>
          <w:sz w:val="20"/>
          <w:szCs w:val="20"/>
        </w:rPr>
        <w:t>or Surveillance System (BRFSS), 2006-12.</w:t>
      </w:r>
    </w:p>
    <w:p w:rsidR="00845003" w:rsidRDefault="00845003" w:rsidP="00845003">
      <w:pPr>
        <w:pStyle w:val="ListParagraph"/>
        <w:rPr>
          <w:b/>
        </w:rPr>
      </w:pPr>
    </w:p>
    <w:p w:rsidR="00FE2BD4" w:rsidRDefault="00FE2BD4" w:rsidP="0088520A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PSA (Prostate Cancer Screening)</w:t>
      </w:r>
    </w:p>
    <w:tbl>
      <w:tblPr>
        <w:tblStyle w:val="MediumShading1-Accent1"/>
        <w:tblW w:w="96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1080"/>
        <w:gridCol w:w="1376"/>
        <w:gridCol w:w="244"/>
      </w:tblGrid>
      <w:tr w:rsidR="00FE2BD4" w:rsidRPr="00261D37" w:rsidTr="00FE2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shd w:val="clear" w:color="auto" w:fill="FEA022" w:themeFill="accent6"/>
            <w:noWrap/>
            <w:hideMark/>
          </w:tcPr>
          <w:p w:rsidR="00FE2BD4" w:rsidRPr="00845003" w:rsidRDefault="00FE2BD4" w:rsidP="00FE2BD4">
            <w:pPr>
              <w:jc w:val="center"/>
              <w:rPr>
                <w:sz w:val="20"/>
                <w:szCs w:val="20"/>
              </w:rPr>
            </w:pPr>
            <w:r w:rsidRPr="00845003">
              <w:rPr>
                <w:sz w:val="20"/>
                <w:szCs w:val="20"/>
              </w:rPr>
              <w:t>Percent of Adult</w:t>
            </w:r>
            <w:r>
              <w:rPr>
                <w:sz w:val="20"/>
                <w:szCs w:val="20"/>
              </w:rPr>
              <w:t xml:space="preserve"> Males</w:t>
            </w:r>
            <w:r w:rsidRPr="0084500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Age 40</w:t>
            </w:r>
            <w:r w:rsidRPr="0084500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Years</w:t>
            </w:r>
            <w:r w:rsidRPr="00845003">
              <w:rPr>
                <w:sz w:val="20"/>
                <w:szCs w:val="20"/>
              </w:rPr>
              <w:t xml:space="preserve">) Who have had a </w:t>
            </w:r>
            <w:r>
              <w:rPr>
                <w:sz w:val="20"/>
                <w:szCs w:val="20"/>
              </w:rPr>
              <w:t>PSA test in past 2 Years, 20</w:t>
            </w:r>
            <w:r w:rsidRPr="00845003">
              <w:rPr>
                <w:sz w:val="20"/>
                <w:szCs w:val="20"/>
              </w:rPr>
              <w:t>12</w:t>
            </w:r>
          </w:p>
        </w:tc>
      </w:tr>
      <w:tr w:rsidR="00FE2BD4" w:rsidTr="00A9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  <w:shd w:val="clear" w:color="auto" w:fill="FFE0CC" w:themeFill="accent3" w:themeFillTint="33"/>
            <w:noWrap/>
            <w:vAlign w:val="bottom"/>
            <w:hideMark/>
          </w:tcPr>
          <w:p w:rsidR="00FE2BD4" w:rsidRPr="00317EDD" w:rsidRDefault="00FE2BD4" w:rsidP="00FE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Northwest Region of VA (includes TJHD + other health districts)</w:t>
            </w:r>
          </w:p>
        </w:tc>
        <w:tc>
          <w:tcPr>
            <w:tcW w:w="1080" w:type="dxa"/>
            <w:shd w:val="clear" w:color="auto" w:fill="FFE0CC" w:themeFill="accent3" w:themeFillTint="33"/>
            <w:noWrap/>
            <w:vAlign w:val="bottom"/>
            <w:hideMark/>
          </w:tcPr>
          <w:p w:rsidR="00FE2BD4" w:rsidRPr="005E651A" w:rsidRDefault="00FE2BD4" w:rsidP="00FE2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</w:t>
            </w:r>
          </w:p>
        </w:tc>
        <w:tc>
          <w:tcPr>
            <w:tcW w:w="1376" w:type="dxa"/>
            <w:shd w:val="clear" w:color="auto" w:fill="FFE0CC" w:themeFill="accent3" w:themeFillTint="33"/>
            <w:vAlign w:val="bottom"/>
          </w:tcPr>
          <w:p w:rsidR="00FE2BD4" w:rsidRDefault="00FE2BD4" w:rsidP="00FE2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</w:t>
            </w:r>
          </w:p>
        </w:tc>
        <w:tc>
          <w:tcPr>
            <w:tcW w:w="244" w:type="dxa"/>
            <w:shd w:val="clear" w:color="auto" w:fill="FFE0CC" w:themeFill="accent3" w:themeFillTint="33"/>
          </w:tcPr>
          <w:p w:rsidR="00FE2BD4" w:rsidRDefault="00FE2BD4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FE2BD4" w:rsidTr="00A963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  <w:noWrap/>
          </w:tcPr>
          <w:p w:rsidR="00FE2BD4" w:rsidRPr="0088520A" w:rsidRDefault="00FE2BD4" w:rsidP="00F609F8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45.3</w:t>
            </w:r>
            <w:r w:rsidRPr="0088520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080" w:type="dxa"/>
            <w:noWrap/>
          </w:tcPr>
          <w:p w:rsidR="00FE2BD4" w:rsidRDefault="00FE2BD4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46.5%</w:t>
            </w:r>
          </w:p>
        </w:tc>
        <w:tc>
          <w:tcPr>
            <w:tcW w:w="1376" w:type="dxa"/>
          </w:tcPr>
          <w:p w:rsidR="00FE2BD4" w:rsidRDefault="00FE2BD4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42.3%</w:t>
            </w:r>
          </w:p>
        </w:tc>
        <w:tc>
          <w:tcPr>
            <w:tcW w:w="244" w:type="dxa"/>
          </w:tcPr>
          <w:p w:rsidR="00FE2BD4" w:rsidRDefault="00FE2BD4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2BD4" w:rsidRPr="00FE2BD4" w:rsidRDefault="00FE2BD4" w:rsidP="00FE2BD4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FE2BD4">
        <w:rPr>
          <w:sz w:val="20"/>
          <w:szCs w:val="20"/>
        </w:rPr>
        <w:t xml:space="preserve">Source: Virginia Department of Health and Centers for Disease Control and Prevention. </w:t>
      </w:r>
      <w:proofErr w:type="gramStart"/>
      <w:r w:rsidRPr="00FE2BD4">
        <w:rPr>
          <w:sz w:val="20"/>
          <w:szCs w:val="20"/>
        </w:rPr>
        <w:t>Behavioral Risk Factor Surveillance System (BRFSS).</w:t>
      </w:r>
      <w:proofErr w:type="gramEnd"/>
    </w:p>
    <w:p w:rsidR="00FE2BD4" w:rsidRDefault="00FE2BD4" w:rsidP="00FE2BD4">
      <w:pPr>
        <w:pStyle w:val="ListParagraph"/>
        <w:spacing w:after="0" w:line="240" w:lineRule="auto"/>
        <w:rPr>
          <w:b/>
        </w:rPr>
      </w:pPr>
    </w:p>
    <w:p w:rsidR="00845003" w:rsidRPr="0088520A" w:rsidRDefault="00845003" w:rsidP="0088520A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HIV Screenings</w:t>
      </w:r>
    </w:p>
    <w:tbl>
      <w:tblPr>
        <w:tblStyle w:val="MediumShading1-Accent1"/>
        <w:tblW w:w="748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350"/>
        <w:gridCol w:w="1170"/>
        <w:gridCol w:w="1530"/>
        <w:gridCol w:w="1530"/>
      </w:tblGrid>
      <w:tr w:rsidR="0090084A" w:rsidRPr="00261D37" w:rsidTr="00AA2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8" w:type="dxa"/>
            <w:gridSpan w:val="5"/>
            <w:shd w:val="clear" w:color="auto" w:fill="FEA022" w:themeFill="accent6"/>
            <w:noWrap/>
            <w:hideMark/>
          </w:tcPr>
          <w:p w:rsidR="0090084A" w:rsidRPr="00845003" w:rsidRDefault="0090084A" w:rsidP="001621B7">
            <w:pPr>
              <w:jc w:val="center"/>
              <w:rPr>
                <w:sz w:val="20"/>
                <w:szCs w:val="20"/>
              </w:rPr>
            </w:pPr>
            <w:r w:rsidRPr="00845003">
              <w:rPr>
                <w:sz w:val="20"/>
                <w:szCs w:val="20"/>
              </w:rPr>
              <w:t>Percent of Adult</w:t>
            </w:r>
            <w:r>
              <w:rPr>
                <w:sz w:val="20"/>
                <w:szCs w:val="20"/>
              </w:rPr>
              <w:t>s (18-70) Who Have Never Been Screen for HIV, 2011-12</w:t>
            </w:r>
          </w:p>
        </w:tc>
      </w:tr>
      <w:tr w:rsidR="0090084A" w:rsidTr="0090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E0CC" w:themeFill="accent3" w:themeFillTint="33"/>
            <w:noWrap/>
            <w:vAlign w:val="bottom"/>
            <w:hideMark/>
          </w:tcPr>
          <w:p w:rsidR="0090084A" w:rsidRPr="00317EDD" w:rsidRDefault="0090084A" w:rsidP="001A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Fluvanna</w:t>
            </w:r>
          </w:p>
        </w:tc>
        <w:tc>
          <w:tcPr>
            <w:tcW w:w="1350" w:type="dxa"/>
            <w:shd w:val="clear" w:color="auto" w:fill="FFE0CC" w:themeFill="accent3" w:themeFillTint="33"/>
            <w:noWrap/>
            <w:vAlign w:val="bottom"/>
          </w:tcPr>
          <w:p w:rsidR="0090084A" w:rsidRPr="005E651A" w:rsidRDefault="0090084A" w:rsidP="001A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Louisa</w:t>
            </w:r>
          </w:p>
        </w:tc>
        <w:tc>
          <w:tcPr>
            <w:tcW w:w="1170" w:type="dxa"/>
            <w:shd w:val="clear" w:color="auto" w:fill="FFE0CC" w:themeFill="accent3" w:themeFillTint="33"/>
            <w:vAlign w:val="bottom"/>
          </w:tcPr>
          <w:p w:rsidR="0090084A" w:rsidRPr="005E651A" w:rsidRDefault="0090084A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TJHD</w:t>
            </w:r>
          </w:p>
        </w:tc>
        <w:tc>
          <w:tcPr>
            <w:tcW w:w="1530" w:type="dxa"/>
            <w:shd w:val="clear" w:color="auto" w:fill="FFE0CC" w:themeFill="accent3" w:themeFillTint="33"/>
          </w:tcPr>
          <w:p w:rsidR="0090084A" w:rsidRDefault="0090084A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Virginia</w:t>
            </w:r>
          </w:p>
        </w:tc>
        <w:tc>
          <w:tcPr>
            <w:tcW w:w="1530" w:type="dxa"/>
            <w:shd w:val="clear" w:color="auto" w:fill="FFE0CC" w:themeFill="accent3" w:themeFillTint="33"/>
          </w:tcPr>
          <w:p w:rsidR="0090084A" w:rsidRDefault="0090084A" w:rsidP="00F60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U.S.</w:t>
            </w:r>
          </w:p>
        </w:tc>
      </w:tr>
      <w:tr w:rsidR="0090084A" w:rsidTr="009008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noWrap/>
          </w:tcPr>
          <w:p w:rsidR="0090084A" w:rsidRPr="00FE2BD4" w:rsidRDefault="0090084A" w:rsidP="001A4BC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</w:t>
            </w:r>
            <w:r w:rsidRPr="00FE2BD4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350" w:type="dxa"/>
            <w:noWrap/>
          </w:tcPr>
          <w:p w:rsidR="0090084A" w:rsidRDefault="0090084A" w:rsidP="001A4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1170" w:type="dxa"/>
          </w:tcPr>
          <w:p w:rsidR="0090084A" w:rsidRDefault="0090084A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  <w:tc>
          <w:tcPr>
            <w:tcW w:w="1530" w:type="dxa"/>
          </w:tcPr>
          <w:p w:rsidR="0090084A" w:rsidRDefault="0090084A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1530" w:type="dxa"/>
          </w:tcPr>
          <w:p w:rsidR="0090084A" w:rsidRDefault="0090084A" w:rsidP="00F609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</w:tr>
    </w:tbl>
    <w:p w:rsidR="00845003" w:rsidRPr="0088520A" w:rsidRDefault="00845003" w:rsidP="0088520A">
      <w:pPr>
        <w:ind w:left="1440"/>
        <w:rPr>
          <w:sz w:val="20"/>
          <w:szCs w:val="20"/>
        </w:rPr>
      </w:pPr>
      <w:r w:rsidRPr="0088520A">
        <w:rPr>
          <w:sz w:val="20"/>
          <w:szCs w:val="20"/>
        </w:rPr>
        <w:t xml:space="preserve">Source: Community Commons Community Health Needs Assessment for TJHD localities-Clinical Care Report. </w:t>
      </w:r>
      <w:r w:rsidR="0088520A">
        <w:rPr>
          <w:sz w:val="20"/>
          <w:szCs w:val="20"/>
        </w:rPr>
        <w:t>C</w:t>
      </w:r>
      <w:r w:rsidRPr="0088520A">
        <w:rPr>
          <w:sz w:val="20"/>
          <w:szCs w:val="20"/>
        </w:rPr>
        <w:t>enters for Disease Control &amp; Prevention, Behavioral Risk Factor Surveillance System (BRFSS). Additional data analysis by CARES. 2011-12. Sou</w:t>
      </w:r>
      <w:bookmarkStart w:id="0" w:name="_GoBack"/>
      <w:bookmarkEnd w:id="0"/>
      <w:r w:rsidRPr="0088520A">
        <w:rPr>
          <w:sz w:val="20"/>
          <w:szCs w:val="20"/>
        </w:rPr>
        <w:t>rce geography: County</w:t>
      </w:r>
      <w:r w:rsidR="0088520A">
        <w:rPr>
          <w:sz w:val="20"/>
          <w:szCs w:val="20"/>
        </w:rPr>
        <w:t>.</w:t>
      </w:r>
    </w:p>
    <w:p w:rsidR="00845003" w:rsidRPr="00FF7C1F" w:rsidRDefault="00845003" w:rsidP="00FF7C1F">
      <w:pPr>
        <w:spacing w:after="0" w:line="240" w:lineRule="auto"/>
        <w:rPr>
          <w:b/>
        </w:rPr>
      </w:pPr>
    </w:p>
    <w:sectPr w:rsidR="00845003" w:rsidRPr="00FF7C1F" w:rsidSect="008E16C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BF" w:rsidRDefault="004D1DBF" w:rsidP="00E33EC1">
      <w:pPr>
        <w:spacing w:after="0" w:line="240" w:lineRule="auto"/>
      </w:pPr>
      <w:r>
        <w:separator/>
      </w:r>
    </w:p>
  </w:endnote>
  <w:endnote w:type="continuationSeparator" w:id="0">
    <w:p w:rsidR="004D1DBF" w:rsidRDefault="004D1DBF" w:rsidP="00E3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13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DBF" w:rsidRDefault="004D1D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8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D1DBF" w:rsidRDefault="004D1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BF" w:rsidRDefault="004D1DBF" w:rsidP="00E33EC1">
      <w:pPr>
        <w:spacing w:after="0" w:line="240" w:lineRule="auto"/>
      </w:pPr>
      <w:r>
        <w:separator/>
      </w:r>
    </w:p>
  </w:footnote>
  <w:footnote w:type="continuationSeparator" w:id="0">
    <w:p w:rsidR="004D1DBF" w:rsidRDefault="004D1DBF" w:rsidP="00E3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E0"/>
    <w:multiLevelType w:val="hybridMultilevel"/>
    <w:tmpl w:val="9D0C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57FD"/>
    <w:multiLevelType w:val="hybridMultilevel"/>
    <w:tmpl w:val="A0020922"/>
    <w:lvl w:ilvl="0" w:tplc="6B700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5E4"/>
    <w:multiLevelType w:val="hybridMultilevel"/>
    <w:tmpl w:val="E33AB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86F04"/>
    <w:multiLevelType w:val="hybridMultilevel"/>
    <w:tmpl w:val="4080B842"/>
    <w:lvl w:ilvl="0" w:tplc="5880AF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97F81"/>
    <w:multiLevelType w:val="hybridMultilevel"/>
    <w:tmpl w:val="7BE203AC"/>
    <w:lvl w:ilvl="0" w:tplc="BB3EB4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2397D"/>
    <w:multiLevelType w:val="hybridMultilevel"/>
    <w:tmpl w:val="2E66657A"/>
    <w:lvl w:ilvl="0" w:tplc="F544B9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1562F"/>
    <w:multiLevelType w:val="hybridMultilevel"/>
    <w:tmpl w:val="9E3AAB7A"/>
    <w:lvl w:ilvl="0" w:tplc="5880AF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C5CAD"/>
    <w:multiLevelType w:val="hybridMultilevel"/>
    <w:tmpl w:val="4B10F698"/>
    <w:lvl w:ilvl="0" w:tplc="D788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577D4"/>
    <w:multiLevelType w:val="hybridMultilevel"/>
    <w:tmpl w:val="3F30A7E2"/>
    <w:lvl w:ilvl="0" w:tplc="75A48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54C6B"/>
    <w:multiLevelType w:val="hybridMultilevel"/>
    <w:tmpl w:val="BA68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75DA5"/>
    <w:multiLevelType w:val="hybridMultilevel"/>
    <w:tmpl w:val="F614FFD6"/>
    <w:lvl w:ilvl="0" w:tplc="228E08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CA4815"/>
    <w:multiLevelType w:val="hybridMultilevel"/>
    <w:tmpl w:val="362EF4DC"/>
    <w:lvl w:ilvl="0" w:tplc="79F42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5F58DB"/>
    <w:multiLevelType w:val="hybridMultilevel"/>
    <w:tmpl w:val="6A0CDFEA"/>
    <w:lvl w:ilvl="0" w:tplc="B4C6B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F41B50"/>
    <w:multiLevelType w:val="hybridMultilevel"/>
    <w:tmpl w:val="4080B842"/>
    <w:lvl w:ilvl="0" w:tplc="5880AF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9C2CE3"/>
    <w:multiLevelType w:val="hybridMultilevel"/>
    <w:tmpl w:val="BF64F8EE"/>
    <w:lvl w:ilvl="0" w:tplc="489CE7DE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070996"/>
    <w:multiLevelType w:val="hybridMultilevel"/>
    <w:tmpl w:val="27486CDA"/>
    <w:lvl w:ilvl="0" w:tplc="EF40288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E85C43"/>
    <w:multiLevelType w:val="hybridMultilevel"/>
    <w:tmpl w:val="99C0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E6D58"/>
    <w:multiLevelType w:val="hybridMultilevel"/>
    <w:tmpl w:val="10B688A0"/>
    <w:lvl w:ilvl="0" w:tplc="8DBCC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365AB"/>
    <w:multiLevelType w:val="hybridMultilevel"/>
    <w:tmpl w:val="DD886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93BE4"/>
    <w:multiLevelType w:val="hybridMultilevel"/>
    <w:tmpl w:val="CE5C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15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12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13"/>
    <w:rsid w:val="00007DA7"/>
    <w:rsid w:val="00061959"/>
    <w:rsid w:val="000705D4"/>
    <w:rsid w:val="000722B6"/>
    <w:rsid w:val="000A0126"/>
    <w:rsid w:val="000A0128"/>
    <w:rsid w:val="000A7B4A"/>
    <w:rsid w:val="000C7749"/>
    <w:rsid w:val="000E5B56"/>
    <w:rsid w:val="000F48A4"/>
    <w:rsid w:val="001069A1"/>
    <w:rsid w:val="001412B0"/>
    <w:rsid w:val="001442AD"/>
    <w:rsid w:val="001621B7"/>
    <w:rsid w:val="00163048"/>
    <w:rsid w:val="001966A7"/>
    <w:rsid w:val="001A4BC4"/>
    <w:rsid w:val="001B13BF"/>
    <w:rsid w:val="001B39D2"/>
    <w:rsid w:val="001C58E8"/>
    <w:rsid w:val="001E5499"/>
    <w:rsid w:val="001E59A3"/>
    <w:rsid w:val="001E6B4B"/>
    <w:rsid w:val="0020432B"/>
    <w:rsid w:val="00247989"/>
    <w:rsid w:val="00261D37"/>
    <w:rsid w:val="002757FA"/>
    <w:rsid w:val="00294F27"/>
    <w:rsid w:val="002953A2"/>
    <w:rsid w:val="002D6BA7"/>
    <w:rsid w:val="00302E52"/>
    <w:rsid w:val="003051C1"/>
    <w:rsid w:val="00317EDD"/>
    <w:rsid w:val="003410C3"/>
    <w:rsid w:val="00377D1C"/>
    <w:rsid w:val="003A4CB6"/>
    <w:rsid w:val="003F0891"/>
    <w:rsid w:val="0049230F"/>
    <w:rsid w:val="004D1DBF"/>
    <w:rsid w:val="004D7960"/>
    <w:rsid w:val="0051512C"/>
    <w:rsid w:val="005571B8"/>
    <w:rsid w:val="00575BA5"/>
    <w:rsid w:val="00593B4B"/>
    <w:rsid w:val="005D2D00"/>
    <w:rsid w:val="005E651A"/>
    <w:rsid w:val="00600D37"/>
    <w:rsid w:val="006061F8"/>
    <w:rsid w:val="006118E1"/>
    <w:rsid w:val="006152B8"/>
    <w:rsid w:val="00616E78"/>
    <w:rsid w:val="006557CC"/>
    <w:rsid w:val="00664D01"/>
    <w:rsid w:val="00676300"/>
    <w:rsid w:val="006877C8"/>
    <w:rsid w:val="006C5BE1"/>
    <w:rsid w:val="006D4280"/>
    <w:rsid w:val="006F1C9C"/>
    <w:rsid w:val="0071523A"/>
    <w:rsid w:val="0075671C"/>
    <w:rsid w:val="00774846"/>
    <w:rsid w:val="00784A15"/>
    <w:rsid w:val="007C685A"/>
    <w:rsid w:val="00845003"/>
    <w:rsid w:val="00847835"/>
    <w:rsid w:val="00847E94"/>
    <w:rsid w:val="00861375"/>
    <w:rsid w:val="0088520A"/>
    <w:rsid w:val="00891D0F"/>
    <w:rsid w:val="008C51A5"/>
    <w:rsid w:val="008E16C4"/>
    <w:rsid w:val="008E44D9"/>
    <w:rsid w:val="0090084A"/>
    <w:rsid w:val="00902386"/>
    <w:rsid w:val="00905408"/>
    <w:rsid w:val="00951975"/>
    <w:rsid w:val="0095440C"/>
    <w:rsid w:val="009862A7"/>
    <w:rsid w:val="00990FB9"/>
    <w:rsid w:val="009A611C"/>
    <w:rsid w:val="009B5641"/>
    <w:rsid w:val="009B5D74"/>
    <w:rsid w:val="009C0B09"/>
    <w:rsid w:val="009D55DC"/>
    <w:rsid w:val="009F2A20"/>
    <w:rsid w:val="00A25B5B"/>
    <w:rsid w:val="00A60113"/>
    <w:rsid w:val="00A6088F"/>
    <w:rsid w:val="00A66BAB"/>
    <w:rsid w:val="00A67F0E"/>
    <w:rsid w:val="00A9637F"/>
    <w:rsid w:val="00AA60C2"/>
    <w:rsid w:val="00AF18F4"/>
    <w:rsid w:val="00AF489F"/>
    <w:rsid w:val="00B0359B"/>
    <w:rsid w:val="00B35CD5"/>
    <w:rsid w:val="00B54127"/>
    <w:rsid w:val="00B55287"/>
    <w:rsid w:val="00BC0F41"/>
    <w:rsid w:val="00BC13F1"/>
    <w:rsid w:val="00BD4C8E"/>
    <w:rsid w:val="00BF6CC3"/>
    <w:rsid w:val="00C05AD2"/>
    <w:rsid w:val="00CC4C78"/>
    <w:rsid w:val="00CD1531"/>
    <w:rsid w:val="00CD20C0"/>
    <w:rsid w:val="00D2517D"/>
    <w:rsid w:val="00D501F9"/>
    <w:rsid w:val="00D85B21"/>
    <w:rsid w:val="00D86F8E"/>
    <w:rsid w:val="00D94B34"/>
    <w:rsid w:val="00DA2624"/>
    <w:rsid w:val="00DA4F18"/>
    <w:rsid w:val="00DF345E"/>
    <w:rsid w:val="00E33EC1"/>
    <w:rsid w:val="00E71EE6"/>
    <w:rsid w:val="00EA5A2E"/>
    <w:rsid w:val="00EC3899"/>
    <w:rsid w:val="00EE5962"/>
    <w:rsid w:val="00EF4857"/>
    <w:rsid w:val="00F25213"/>
    <w:rsid w:val="00F51974"/>
    <w:rsid w:val="00F5760A"/>
    <w:rsid w:val="00F609F8"/>
    <w:rsid w:val="00FB4696"/>
    <w:rsid w:val="00FD60E2"/>
    <w:rsid w:val="00FE04E4"/>
    <w:rsid w:val="00FE2BD4"/>
    <w:rsid w:val="00FF7C1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213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213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213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5213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2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F25213"/>
    <w:pPr>
      <w:spacing w:after="0" w:line="240" w:lineRule="auto"/>
    </w:pPr>
    <w:tblPr>
      <w:tblStyleRowBandSize w:val="1"/>
      <w:tblStyleColBandSize w:val="1"/>
      <w:tblBorders>
        <w:top w:val="single" w:sz="8" w:space="0" w:color="C3FF15" w:themeColor="accent1" w:themeTint="BF"/>
        <w:left w:val="single" w:sz="8" w:space="0" w:color="C3FF15" w:themeColor="accent1" w:themeTint="BF"/>
        <w:bottom w:val="single" w:sz="8" w:space="0" w:color="C3FF15" w:themeColor="accent1" w:themeTint="BF"/>
        <w:right w:val="single" w:sz="8" w:space="0" w:color="C3FF15" w:themeColor="accent1" w:themeTint="BF"/>
        <w:insideH w:val="single" w:sz="8" w:space="0" w:color="C3FF1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FF15" w:themeColor="accent1" w:themeTint="BF"/>
          <w:left w:val="single" w:sz="8" w:space="0" w:color="C3FF15" w:themeColor="accent1" w:themeTint="BF"/>
          <w:bottom w:val="single" w:sz="8" w:space="0" w:color="C3FF15" w:themeColor="accent1" w:themeTint="BF"/>
          <w:right w:val="single" w:sz="8" w:space="0" w:color="C3FF15" w:themeColor="accent1" w:themeTint="BF"/>
          <w:insideH w:val="nil"/>
          <w:insideV w:val="nil"/>
        </w:tcBorders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FF15" w:themeColor="accent1" w:themeTint="BF"/>
          <w:left w:val="single" w:sz="8" w:space="0" w:color="C3FF15" w:themeColor="accent1" w:themeTint="BF"/>
          <w:bottom w:val="single" w:sz="8" w:space="0" w:color="C3FF15" w:themeColor="accent1" w:themeTint="BF"/>
          <w:right w:val="single" w:sz="8" w:space="0" w:color="C3FF1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B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FB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A60113"/>
    <w:pPr>
      <w:spacing w:after="0" w:line="240" w:lineRule="auto"/>
    </w:pPr>
    <w:rPr>
      <w:color w:val="BF4D00" w:themeColor="accent3" w:themeShade="BF"/>
    </w:rPr>
    <w:tblPr>
      <w:tblStyleRowBandSize w:val="1"/>
      <w:tblStyleColBandSize w:val="1"/>
      <w:tblBorders>
        <w:top w:val="single" w:sz="8" w:space="0" w:color="FF6700" w:themeColor="accent3"/>
        <w:bottom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60113"/>
    <w:pPr>
      <w:spacing w:after="0" w:line="240" w:lineRule="auto"/>
    </w:pPr>
    <w:rPr>
      <w:color w:val="6E9400" w:themeColor="accent1" w:themeShade="BF"/>
    </w:rPr>
    <w:tblPr>
      <w:tblStyleRowBandSize w:val="1"/>
      <w:tblStyleColBandSize w:val="1"/>
      <w:tblBorders>
        <w:top w:val="single" w:sz="8" w:space="0" w:color="94C600" w:themeColor="accent1"/>
        <w:bottom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  <w:style w:type="table" w:styleId="MediumShading1-Accent4">
    <w:name w:val="Medium Shading 1 Accent 4"/>
    <w:basedOn w:val="TableNormal"/>
    <w:uiPriority w:val="63"/>
    <w:rsid w:val="00BC13F1"/>
    <w:pPr>
      <w:spacing w:after="0" w:line="240" w:lineRule="auto"/>
    </w:pPr>
    <w:tblPr>
      <w:tblStyleRowBandSize w:val="1"/>
      <w:tblStyleColBandSize w:val="1"/>
      <w:tblBorders>
        <w:top w:val="single" w:sz="8" w:space="0" w:color="ACAF8A" w:themeColor="accent4" w:themeTint="BF"/>
        <w:left w:val="single" w:sz="8" w:space="0" w:color="ACAF8A" w:themeColor="accent4" w:themeTint="BF"/>
        <w:bottom w:val="single" w:sz="8" w:space="0" w:color="ACAF8A" w:themeColor="accent4" w:themeTint="BF"/>
        <w:right w:val="single" w:sz="8" w:space="0" w:color="ACAF8A" w:themeColor="accent4" w:themeTint="BF"/>
        <w:insideH w:val="single" w:sz="8" w:space="0" w:color="ACAF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F8A" w:themeColor="accent4" w:themeTint="BF"/>
          <w:left w:val="single" w:sz="8" w:space="0" w:color="ACAF8A" w:themeColor="accent4" w:themeTint="BF"/>
          <w:bottom w:val="single" w:sz="8" w:space="0" w:color="ACAF8A" w:themeColor="accent4" w:themeTint="BF"/>
          <w:right w:val="single" w:sz="8" w:space="0" w:color="ACAF8A" w:themeColor="accent4" w:themeTint="BF"/>
          <w:insideH w:val="nil"/>
          <w:insideV w:val="nil"/>
        </w:tcBorders>
        <w:shd w:val="clear" w:color="auto" w:fill="9094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F8A" w:themeColor="accent4" w:themeTint="BF"/>
          <w:left w:val="single" w:sz="8" w:space="0" w:color="ACAF8A" w:themeColor="accent4" w:themeTint="BF"/>
          <w:bottom w:val="single" w:sz="8" w:space="0" w:color="ACAF8A" w:themeColor="accent4" w:themeTint="BF"/>
          <w:right w:val="single" w:sz="8" w:space="0" w:color="ACAF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D94B34"/>
    <w:pPr>
      <w:spacing w:after="0" w:line="240" w:lineRule="auto"/>
    </w:pPr>
    <w:tblPr>
      <w:tblStyleRowBandSize w:val="1"/>
      <w:tblStyleColBandSize w:val="1"/>
      <w:tblBorders>
        <w:top w:val="single" w:sz="8" w:space="0" w:color="FF6700" w:themeColor="accent3"/>
        <w:left w:val="single" w:sz="8" w:space="0" w:color="FF6700" w:themeColor="accent3"/>
        <w:bottom w:val="single" w:sz="8" w:space="0" w:color="FF6700" w:themeColor="accent3"/>
        <w:right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  <w:tblStylePr w:type="band1Horz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D4280"/>
    <w:pPr>
      <w:spacing w:after="0" w:line="240" w:lineRule="auto"/>
    </w:pPr>
    <w:tblPr>
      <w:tblStyleRowBandSize w:val="1"/>
      <w:tblStyleColBandSize w:val="1"/>
      <w:tblBorders>
        <w:top w:val="single" w:sz="8" w:space="0" w:color="909465" w:themeColor="accent4"/>
        <w:left w:val="single" w:sz="8" w:space="0" w:color="909465" w:themeColor="accent4"/>
        <w:bottom w:val="single" w:sz="8" w:space="0" w:color="909465" w:themeColor="accent4"/>
        <w:right w:val="single" w:sz="8" w:space="0" w:color="90946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94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band1Horz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C1"/>
  </w:style>
  <w:style w:type="paragraph" w:styleId="Footer">
    <w:name w:val="footer"/>
    <w:basedOn w:val="Normal"/>
    <w:link w:val="FooterChar"/>
    <w:uiPriority w:val="99"/>
    <w:unhideWhenUsed/>
    <w:rsid w:val="00E3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C1"/>
  </w:style>
  <w:style w:type="paragraph" w:styleId="BalloonText">
    <w:name w:val="Balloon Text"/>
    <w:basedOn w:val="Normal"/>
    <w:link w:val="BalloonTextChar"/>
    <w:uiPriority w:val="99"/>
    <w:semiHidden/>
    <w:unhideWhenUsed/>
    <w:rsid w:val="000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12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E651A"/>
    <w:rPr>
      <w:i/>
      <w:iCs/>
      <w:color w:val="808080" w:themeColor="text1" w:themeTint="7F"/>
    </w:rPr>
  </w:style>
  <w:style w:type="table" w:styleId="LightList-Accent5">
    <w:name w:val="Light List Accent 5"/>
    <w:basedOn w:val="TableNormal"/>
    <w:uiPriority w:val="61"/>
    <w:rsid w:val="005E651A"/>
    <w:pPr>
      <w:spacing w:after="0" w:line="240" w:lineRule="auto"/>
    </w:pPr>
    <w:tblPr>
      <w:tblStyleRowBandSize w:val="1"/>
      <w:tblStyleColBandSize w:val="1"/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band1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E651A"/>
    <w:pPr>
      <w:spacing w:after="0" w:line="240" w:lineRule="auto"/>
    </w:pPr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table" w:styleId="LightShading-Accent2">
    <w:name w:val="Light Shading Accent 2"/>
    <w:basedOn w:val="TableNormal"/>
    <w:uiPriority w:val="60"/>
    <w:rsid w:val="003F0891"/>
    <w:pPr>
      <w:spacing w:after="0" w:line="240" w:lineRule="auto"/>
    </w:pPr>
    <w:rPr>
      <w:color w:val="544D43" w:themeColor="accent2" w:themeShade="BF"/>
    </w:rPr>
    <w:tblPr>
      <w:tblStyleRowBandSize w:val="1"/>
      <w:tblStyleColBandSize w:val="1"/>
      <w:tblBorders>
        <w:top w:val="single" w:sz="8" w:space="0" w:color="71685A" w:themeColor="accent2"/>
        <w:bottom w:val="single" w:sz="8" w:space="0" w:color="7168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3F0891"/>
    <w:pPr>
      <w:spacing w:after="0" w:line="240" w:lineRule="auto"/>
    </w:pPr>
    <w:rPr>
      <w:color w:val="6B6E4B" w:themeColor="accent4" w:themeShade="BF"/>
    </w:rPr>
    <w:tblPr>
      <w:tblStyleRowBandSize w:val="1"/>
      <w:tblStyleColBandSize w:val="1"/>
      <w:tblBorders>
        <w:top w:val="single" w:sz="8" w:space="0" w:color="909465" w:themeColor="accent4"/>
        <w:bottom w:val="single" w:sz="8" w:space="0" w:color="90946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 w:themeColor="accent4"/>
          <w:left w:val="nil"/>
          <w:bottom w:val="single" w:sz="8" w:space="0" w:color="9094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 w:themeColor="accent4"/>
          <w:left w:val="nil"/>
          <w:bottom w:val="single" w:sz="8" w:space="0" w:color="9094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0891"/>
    <w:pPr>
      <w:spacing w:after="0" w:line="240" w:lineRule="auto"/>
    </w:pPr>
    <w:rPr>
      <w:color w:val="6F4F32" w:themeColor="accent5" w:themeShade="BF"/>
    </w:rPr>
    <w:tblPr>
      <w:tblStyleRowBandSize w:val="1"/>
      <w:tblStyleColBandSize w:val="1"/>
      <w:tblBorders>
        <w:top w:val="single" w:sz="8" w:space="0" w:color="956B43" w:themeColor="accent5"/>
        <w:bottom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5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5">
    <w:name w:val="Medium Shading 1 Accent 5"/>
    <w:basedOn w:val="TableNormal"/>
    <w:uiPriority w:val="63"/>
    <w:rsid w:val="00EA5A2E"/>
    <w:pPr>
      <w:spacing w:after="0" w:line="240" w:lineRule="auto"/>
    </w:pPr>
    <w:tblPr>
      <w:tblStyleRowBandSize w:val="1"/>
      <w:tblStyleColBandSize w:val="1"/>
      <w:tblBorders>
        <w:top w:val="single" w:sz="8" w:space="0" w:color="BA8F67" w:themeColor="accent5" w:themeTint="BF"/>
        <w:left w:val="single" w:sz="8" w:space="0" w:color="BA8F67" w:themeColor="accent5" w:themeTint="BF"/>
        <w:bottom w:val="single" w:sz="8" w:space="0" w:color="BA8F67" w:themeColor="accent5" w:themeTint="BF"/>
        <w:right w:val="single" w:sz="8" w:space="0" w:color="BA8F67" w:themeColor="accent5" w:themeTint="BF"/>
        <w:insideH w:val="single" w:sz="8" w:space="0" w:color="BA8F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F67" w:themeColor="accent5" w:themeTint="BF"/>
          <w:left w:val="single" w:sz="8" w:space="0" w:color="BA8F67" w:themeColor="accent5" w:themeTint="BF"/>
          <w:bottom w:val="single" w:sz="8" w:space="0" w:color="BA8F67" w:themeColor="accent5" w:themeTint="BF"/>
          <w:right w:val="single" w:sz="8" w:space="0" w:color="BA8F67" w:themeColor="accent5" w:themeTint="BF"/>
          <w:insideH w:val="nil"/>
          <w:insideV w:val="nil"/>
        </w:tcBorders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F67" w:themeColor="accent5" w:themeTint="BF"/>
          <w:left w:val="single" w:sz="8" w:space="0" w:color="BA8F67" w:themeColor="accent5" w:themeTint="BF"/>
          <w:bottom w:val="single" w:sz="8" w:space="0" w:color="BA8F67" w:themeColor="accent5" w:themeTint="BF"/>
          <w:right w:val="single" w:sz="8" w:space="0" w:color="BA8F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213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213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213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5213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2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F25213"/>
    <w:pPr>
      <w:spacing w:after="0" w:line="240" w:lineRule="auto"/>
    </w:pPr>
    <w:tblPr>
      <w:tblStyleRowBandSize w:val="1"/>
      <w:tblStyleColBandSize w:val="1"/>
      <w:tblBorders>
        <w:top w:val="single" w:sz="8" w:space="0" w:color="C3FF15" w:themeColor="accent1" w:themeTint="BF"/>
        <w:left w:val="single" w:sz="8" w:space="0" w:color="C3FF15" w:themeColor="accent1" w:themeTint="BF"/>
        <w:bottom w:val="single" w:sz="8" w:space="0" w:color="C3FF15" w:themeColor="accent1" w:themeTint="BF"/>
        <w:right w:val="single" w:sz="8" w:space="0" w:color="C3FF15" w:themeColor="accent1" w:themeTint="BF"/>
        <w:insideH w:val="single" w:sz="8" w:space="0" w:color="C3FF1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FF15" w:themeColor="accent1" w:themeTint="BF"/>
          <w:left w:val="single" w:sz="8" w:space="0" w:color="C3FF15" w:themeColor="accent1" w:themeTint="BF"/>
          <w:bottom w:val="single" w:sz="8" w:space="0" w:color="C3FF15" w:themeColor="accent1" w:themeTint="BF"/>
          <w:right w:val="single" w:sz="8" w:space="0" w:color="C3FF15" w:themeColor="accent1" w:themeTint="BF"/>
          <w:insideH w:val="nil"/>
          <w:insideV w:val="nil"/>
        </w:tcBorders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FF15" w:themeColor="accent1" w:themeTint="BF"/>
          <w:left w:val="single" w:sz="8" w:space="0" w:color="C3FF15" w:themeColor="accent1" w:themeTint="BF"/>
          <w:bottom w:val="single" w:sz="8" w:space="0" w:color="C3FF15" w:themeColor="accent1" w:themeTint="BF"/>
          <w:right w:val="single" w:sz="8" w:space="0" w:color="C3FF1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B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FB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A60113"/>
    <w:pPr>
      <w:spacing w:after="0" w:line="240" w:lineRule="auto"/>
    </w:pPr>
    <w:rPr>
      <w:color w:val="BF4D00" w:themeColor="accent3" w:themeShade="BF"/>
    </w:rPr>
    <w:tblPr>
      <w:tblStyleRowBandSize w:val="1"/>
      <w:tblStyleColBandSize w:val="1"/>
      <w:tblBorders>
        <w:top w:val="single" w:sz="8" w:space="0" w:color="FF6700" w:themeColor="accent3"/>
        <w:bottom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60113"/>
    <w:pPr>
      <w:spacing w:after="0" w:line="240" w:lineRule="auto"/>
    </w:pPr>
    <w:rPr>
      <w:color w:val="6E9400" w:themeColor="accent1" w:themeShade="BF"/>
    </w:rPr>
    <w:tblPr>
      <w:tblStyleRowBandSize w:val="1"/>
      <w:tblStyleColBandSize w:val="1"/>
      <w:tblBorders>
        <w:top w:val="single" w:sz="8" w:space="0" w:color="94C600" w:themeColor="accent1"/>
        <w:bottom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  <w:style w:type="table" w:styleId="MediumShading1-Accent4">
    <w:name w:val="Medium Shading 1 Accent 4"/>
    <w:basedOn w:val="TableNormal"/>
    <w:uiPriority w:val="63"/>
    <w:rsid w:val="00BC13F1"/>
    <w:pPr>
      <w:spacing w:after="0" w:line="240" w:lineRule="auto"/>
    </w:pPr>
    <w:tblPr>
      <w:tblStyleRowBandSize w:val="1"/>
      <w:tblStyleColBandSize w:val="1"/>
      <w:tblBorders>
        <w:top w:val="single" w:sz="8" w:space="0" w:color="ACAF8A" w:themeColor="accent4" w:themeTint="BF"/>
        <w:left w:val="single" w:sz="8" w:space="0" w:color="ACAF8A" w:themeColor="accent4" w:themeTint="BF"/>
        <w:bottom w:val="single" w:sz="8" w:space="0" w:color="ACAF8A" w:themeColor="accent4" w:themeTint="BF"/>
        <w:right w:val="single" w:sz="8" w:space="0" w:color="ACAF8A" w:themeColor="accent4" w:themeTint="BF"/>
        <w:insideH w:val="single" w:sz="8" w:space="0" w:color="ACAF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F8A" w:themeColor="accent4" w:themeTint="BF"/>
          <w:left w:val="single" w:sz="8" w:space="0" w:color="ACAF8A" w:themeColor="accent4" w:themeTint="BF"/>
          <w:bottom w:val="single" w:sz="8" w:space="0" w:color="ACAF8A" w:themeColor="accent4" w:themeTint="BF"/>
          <w:right w:val="single" w:sz="8" w:space="0" w:color="ACAF8A" w:themeColor="accent4" w:themeTint="BF"/>
          <w:insideH w:val="nil"/>
          <w:insideV w:val="nil"/>
        </w:tcBorders>
        <w:shd w:val="clear" w:color="auto" w:fill="9094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F8A" w:themeColor="accent4" w:themeTint="BF"/>
          <w:left w:val="single" w:sz="8" w:space="0" w:color="ACAF8A" w:themeColor="accent4" w:themeTint="BF"/>
          <w:bottom w:val="single" w:sz="8" w:space="0" w:color="ACAF8A" w:themeColor="accent4" w:themeTint="BF"/>
          <w:right w:val="single" w:sz="8" w:space="0" w:color="ACAF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D94B34"/>
    <w:pPr>
      <w:spacing w:after="0" w:line="240" w:lineRule="auto"/>
    </w:pPr>
    <w:tblPr>
      <w:tblStyleRowBandSize w:val="1"/>
      <w:tblStyleColBandSize w:val="1"/>
      <w:tblBorders>
        <w:top w:val="single" w:sz="8" w:space="0" w:color="FF6700" w:themeColor="accent3"/>
        <w:left w:val="single" w:sz="8" w:space="0" w:color="FF6700" w:themeColor="accent3"/>
        <w:bottom w:val="single" w:sz="8" w:space="0" w:color="FF6700" w:themeColor="accent3"/>
        <w:right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  <w:tblStylePr w:type="band1Horz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D4280"/>
    <w:pPr>
      <w:spacing w:after="0" w:line="240" w:lineRule="auto"/>
    </w:pPr>
    <w:tblPr>
      <w:tblStyleRowBandSize w:val="1"/>
      <w:tblStyleColBandSize w:val="1"/>
      <w:tblBorders>
        <w:top w:val="single" w:sz="8" w:space="0" w:color="909465" w:themeColor="accent4"/>
        <w:left w:val="single" w:sz="8" w:space="0" w:color="909465" w:themeColor="accent4"/>
        <w:bottom w:val="single" w:sz="8" w:space="0" w:color="909465" w:themeColor="accent4"/>
        <w:right w:val="single" w:sz="8" w:space="0" w:color="90946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94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band1Horz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C1"/>
  </w:style>
  <w:style w:type="paragraph" w:styleId="Footer">
    <w:name w:val="footer"/>
    <w:basedOn w:val="Normal"/>
    <w:link w:val="FooterChar"/>
    <w:uiPriority w:val="99"/>
    <w:unhideWhenUsed/>
    <w:rsid w:val="00E3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C1"/>
  </w:style>
  <w:style w:type="paragraph" w:styleId="BalloonText">
    <w:name w:val="Balloon Text"/>
    <w:basedOn w:val="Normal"/>
    <w:link w:val="BalloonTextChar"/>
    <w:uiPriority w:val="99"/>
    <w:semiHidden/>
    <w:unhideWhenUsed/>
    <w:rsid w:val="000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12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E651A"/>
    <w:rPr>
      <w:i/>
      <w:iCs/>
      <w:color w:val="808080" w:themeColor="text1" w:themeTint="7F"/>
    </w:rPr>
  </w:style>
  <w:style w:type="table" w:styleId="LightList-Accent5">
    <w:name w:val="Light List Accent 5"/>
    <w:basedOn w:val="TableNormal"/>
    <w:uiPriority w:val="61"/>
    <w:rsid w:val="005E651A"/>
    <w:pPr>
      <w:spacing w:after="0" w:line="240" w:lineRule="auto"/>
    </w:pPr>
    <w:tblPr>
      <w:tblStyleRowBandSize w:val="1"/>
      <w:tblStyleColBandSize w:val="1"/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band1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E651A"/>
    <w:pPr>
      <w:spacing w:after="0" w:line="240" w:lineRule="auto"/>
    </w:pPr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table" w:styleId="LightShading-Accent2">
    <w:name w:val="Light Shading Accent 2"/>
    <w:basedOn w:val="TableNormal"/>
    <w:uiPriority w:val="60"/>
    <w:rsid w:val="003F0891"/>
    <w:pPr>
      <w:spacing w:after="0" w:line="240" w:lineRule="auto"/>
    </w:pPr>
    <w:rPr>
      <w:color w:val="544D43" w:themeColor="accent2" w:themeShade="BF"/>
    </w:rPr>
    <w:tblPr>
      <w:tblStyleRowBandSize w:val="1"/>
      <w:tblStyleColBandSize w:val="1"/>
      <w:tblBorders>
        <w:top w:val="single" w:sz="8" w:space="0" w:color="71685A" w:themeColor="accent2"/>
        <w:bottom w:val="single" w:sz="8" w:space="0" w:color="7168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3F0891"/>
    <w:pPr>
      <w:spacing w:after="0" w:line="240" w:lineRule="auto"/>
    </w:pPr>
    <w:rPr>
      <w:color w:val="6B6E4B" w:themeColor="accent4" w:themeShade="BF"/>
    </w:rPr>
    <w:tblPr>
      <w:tblStyleRowBandSize w:val="1"/>
      <w:tblStyleColBandSize w:val="1"/>
      <w:tblBorders>
        <w:top w:val="single" w:sz="8" w:space="0" w:color="909465" w:themeColor="accent4"/>
        <w:bottom w:val="single" w:sz="8" w:space="0" w:color="90946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 w:themeColor="accent4"/>
          <w:left w:val="nil"/>
          <w:bottom w:val="single" w:sz="8" w:space="0" w:color="9094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 w:themeColor="accent4"/>
          <w:left w:val="nil"/>
          <w:bottom w:val="single" w:sz="8" w:space="0" w:color="9094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0891"/>
    <w:pPr>
      <w:spacing w:after="0" w:line="240" w:lineRule="auto"/>
    </w:pPr>
    <w:rPr>
      <w:color w:val="6F4F32" w:themeColor="accent5" w:themeShade="BF"/>
    </w:rPr>
    <w:tblPr>
      <w:tblStyleRowBandSize w:val="1"/>
      <w:tblStyleColBandSize w:val="1"/>
      <w:tblBorders>
        <w:top w:val="single" w:sz="8" w:space="0" w:color="956B43" w:themeColor="accent5"/>
        <w:bottom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5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5">
    <w:name w:val="Medium Shading 1 Accent 5"/>
    <w:basedOn w:val="TableNormal"/>
    <w:uiPriority w:val="63"/>
    <w:rsid w:val="00EA5A2E"/>
    <w:pPr>
      <w:spacing w:after="0" w:line="240" w:lineRule="auto"/>
    </w:pPr>
    <w:tblPr>
      <w:tblStyleRowBandSize w:val="1"/>
      <w:tblStyleColBandSize w:val="1"/>
      <w:tblBorders>
        <w:top w:val="single" w:sz="8" w:space="0" w:color="BA8F67" w:themeColor="accent5" w:themeTint="BF"/>
        <w:left w:val="single" w:sz="8" w:space="0" w:color="BA8F67" w:themeColor="accent5" w:themeTint="BF"/>
        <w:bottom w:val="single" w:sz="8" w:space="0" w:color="BA8F67" w:themeColor="accent5" w:themeTint="BF"/>
        <w:right w:val="single" w:sz="8" w:space="0" w:color="BA8F67" w:themeColor="accent5" w:themeTint="BF"/>
        <w:insideH w:val="single" w:sz="8" w:space="0" w:color="BA8F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F67" w:themeColor="accent5" w:themeTint="BF"/>
          <w:left w:val="single" w:sz="8" w:space="0" w:color="BA8F67" w:themeColor="accent5" w:themeTint="BF"/>
          <w:bottom w:val="single" w:sz="8" w:space="0" w:color="BA8F67" w:themeColor="accent5" w:themeTint="BF"/>
          <w:right w:val="single" w:sz="8" w:space="0" w:color="BA8F67" w:themeColor="accent5" w:themeTint="BF"/>
          <w:insideH w:val="nil"/>
          <w:insideV w:val="nil"/>
        </w:tcBorders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F67" w:themeColor="accent5" w:themeTint="BF"/>
          <w:left w:val="single" w:sz="8" w:space="0" w:color="BA8F67" w:themeColor="accent5" w:themeTint="BF"/>
          <w:bottom w:val="single" w:sz="8" w:space="0" w:color="BA8F67" w:themeColor="accent5" w:themeTint="BF"/>
          <w:right w:val="single" w:sz="8" w:space="0" w:color="BA8F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C220-5F4C-478F-8813-967B5896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dxk85763</dc:creator>
  <cp:lastModifiedBy>Jillian Regan</cp:lastModifiedBy>
  <cp:revision>3</cp:revision>
  <cp:lastPrinted>2016-03-01T17:43:00Z</cp:lastPrinted>
  <dcterms:created xsi:type="dcterms:W3CDTF">2016-03-23T13:21:00Z</dcterms:created>
  <dcterms:modified xsi:type="dcterms:W3CDTF">2016-03-23T13:46:00Z</dcterms:modified>
</cp:coreProperties>
</file>