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A5" w:rsidRPr="003028A5" w:rsidRDefault="003028A5" w:rsidP="003028A5">
      <w:pPr>
        <w:autoSpaceDE w:val="0"/>
        <w:autoSpaceDN w:val="0"/>
        <w:adjustRightInd w:val="0"/>
        <w:spacing w:after="0" w:line="240" w:lineRule="auto"/>
        <w:rPr>
          <w:rFonts w:ascii="Arial" w:hAnsi="Arial" w:cs="Arial"/>
          <w:color w:val="000000"/>
          <w:sz w:val="24"/>
          <w:szCs w:val="24"/>
        </w:rPr>
      </w:pPr>
      <w:bookmarkStart w:id="0" w:name="_GoBack"/>
      <w:bookmarkEnd w:id="0"/>
    </w:p>
    <w:p w:rsidR="003028A5" w:rsidRPr="00454AC9" w:rsidRDefault="003028A5" w:rsidP="00A72729">
      <w:pPr>
        <w:autoSpaceDE w:val="0"/>
        <w:autoSpaceDN w:val="0"/>
        <w:adjustRightInd w:val="0"/>
        <w:spacing w:after="0"/>
        <w:jc w:val="center"/>
        <w:rPr>
          <w:rFonts w:ascii="Arial" w:hAnsi="Arial" w:cs="Arial"/>
          <w:b/>
          <w:bCs/>
          <w:color w:val="000000"/>
          <w:u w:val="single"/>
        </w:rPr>
      </w:pPr>
      <w:r w:rsidRPr="00454AC9">
        <w:rPr>
          <w:rFonts w:ascii="Arial" w:hAnsi="Arial" w:cs="Arial"/>
          <w:sz w:val="24"/>
          <w:szCs w:val="24"/>
        </w:rPr>
        <w:t xml:space="preserve"> </w:t>
      </w:r>
      <w:r w:rsidRPr="00454AC9">
        <w:rPr>
          <w:rFonts w:ascii="Arial" w:hAnsi="Arial" w:cs="Arial"/>
          <w:b/>
          <w:bCs/>
          <w:color w:val="000000"/>
          <w:u w:val="single"/>
        </w:rPr>
        <w:t>Requesting an 1135 Waiver</w:t>
      </w:r>
    </w:p>
    <w:p w:rsidR="00DB0872" w:rsidRPr="00454AC9" w:rsidRDefault="00DB0872" w:rsidP="00A72729">
      <w:pPr>
        <w:autoSpaceDE w:val="0"/>
        <w:autoSpaceDN w:val="0"/>
        <w:adjustRightInd w:val="0"/>
        <w:spacing w:after="0"/>
        <w:jc w:val="center"/>
        <w:rPr>
          <w:rFonts w:ascii="Arial" w:hAnsi="Arial" w:cs="Arial"/>
          <w:color w:val="000000"/>
        </w:rPr>
      </w:pPr>
    </w:p>
    <w:p w:rsidR="003028A5" w:rsidRPr="00454AC9" w:rsidRDefault="003028A5" w:rsidP="00A72729">
      <w:pPr>
        <w:autoSpaceDE w:val="0"/>
        <w:autoSpaceDN w:val="0"/>
        <w:adjustRightInd w:val="0"/>
        <w:spacing w:after="0"/>
        <w:rPr>
          <w:rFonts w:ascii="Arial" w:hAnsi="Arial" w:cs="Arial"/>
          <w:color w:val="000000"/>
        </w:rPr>
      </w:pPr>
      <w:r w:rsidRPr="00454AC9">
        <w:rPr>
          <w:rFonts w:ascii="Arial" w:hAnsi="Arial" w:cs="Arial"/>
          <w:b/>
          <w:bCs/>
          <w:color w:val="000000"/>
          <w:u w:val="single"/>
        </w:rPr>
        <w:t xml:space="preserve">Definition of an 1135 Waiver </w:t>
      </w:r>
    </w:p>
    <w:p w:rsidR="003028A5" w:rsidRPr="00454AC9" w:rsidRDefault="003028A5" w:rsidP="00A72729">
      <w:pPr>
        <w:autoSpaceDE w:val="0"/>
        <w:autoSpaceDN w:val="0"/>
        <w:adjustRightInd w:val="0"/>
        <w:spacing w:after="0"/>
        <w:rPr>
          <w:rFonts w:ascii="Arial" w:hAnsi="Arial" w:cs="Arial"/>
          <w:color w:val="000000"/>
        </w:rPr>
      </w:pPr>
      <w:r w:rsidRPr="00454AC9">
        <w:rPr>
          <w:rFonts w:ascii="Arial" w:hAnsi="Arial" w:cs="Arial"/>
          <w:color w:val="000000"/>
        </w:rPr>
        <w:t xml:space="preserve">When the President declares a disaster or emergency under the Stafford Act or National Emergencies Act and the HHS Secretary declares a public health emergency under Section 319 of the Public Health Service Act, the Secretary is authorized to take certain actions in addition to her regular authorities. For example, under section 1135 of the Social Security Act, she may temporarily waive or modify certain Medicare, Medicaid, and Children’s Health Insurance Program (CHIP) requirements to ensure that sufficient health care items and services are available to meet the needs of individuals enrolled in Social Security Act programs in the emergency area and time periods and that providers who provide such services in good faith can be reimbursed and exempted from sanctions (absent any determination of fraud or abuse). Examples of these 1135 waivers or modifications include: </w:t>
      </w:r>
    </w:p>
    <w:p w:rsidR="003028A5" w:rsidRPr="00454AC9" w:rsidRDefault="003028A5" w:rsidP="004419D9">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Conditions of participation or other certification requirements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Program participation and similar requirements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Preapproval requirements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Requirements that physicians and other health care profe</w:t>
      </w:r>
      <w:r w:rsidR="00BD5B64" w:rsidRPr="00454AC9">
        <w:rPr>
          <w:rFonts w:ascii="Arial" w:hAnsi="Arial" w:cs="Arial"/>
          <w:color w:val="000000"/>
        </w:rPr>
        <w:t xml:space="preserve">ssionals be licensed in the </w:t>
      </w:r>
      <w:r w:rsidRPr="00454AC9">
        <w:rPr>
          <w:rFonts w:ascii="Arial" w:hAnsi="Arial" w:cs="Arial"/>
          <w:color w:val="000000"/>
        </w:rPr>
        <w:t xml:space="preserve">State in which they are providing services, so long as they have equivalent licensing in another State (this waiver is for purposes of Medicare, Medicaid, and CHIP reimbursement only – state law governs whether a non-Federal provider is authorized to provide services in the state without state licensure)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Emergency Medical Treatment and Labor Act (EMTALA) sanctions for direction or relocation of an individual to receive a medical screening examination in an alternative location pursuant to an appropriate state emergency preparedness plan (or in the case of a public health emergency involving pandemic infectious disease, a state pandemic preparedness plan) or transfer of an individual who has not been stabilized if the transfer is necessitated by the circumstances of the declared emergency. A waiver of EMTALA requirements is effective only if actions under the waiver do not discriminate on the basis of a patient’s source of payment or ability to pay.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Stark self-referral sanctions </w:t>
      </w:r>
    </w:p>
    <w:p w:rsidR="003028A5" w:rsidRPr="00454AC9" w:rsidRDefault="003028A5" w:rsidP="00BD5B64">
      <w:pPr>
        <w:pStyle w:val="ListParagraph"/>
        <w:numPr>
          <w:ilvl w:val="0"/>
          <w:numId w:val="1"/>
        </w:numPr>
        <w:autoSpaceDE w:val="0"/>
        <w:autoSpaceDN w:val="0"/>
        <w:adjustRightInd w:val="0"/>
        <w:spacing w:after="0"/>
        <w:rPr>
          <w:rFonts w:ascii="Arial" w:hAnsi="Arial" w:cs="Arial"/>
          <w:color w:val="000000"/>
        </w:rPr>
      </w:pPr>
      <w:r w:rsidRPr="00454AC9">
        <w:rPr>
          <w:rFonts w:ascii="Arial" w:hAnsi="Arial" w:cs="Arial"/>
          <w:color w:val="000000"/>
        </w:rPr>
        <w:t xml:space="preserve">Performance deadlines and timetables may be adjusted (but not waived). </w:t>
      </w:r>
    </w:p>
    <w:p w:rsidR="003028A5" w:rsidRPr="00454AC9" w:rsidRDefault="003028A5" w:rsidP="004419D9">
      <w:pPr>
        <w:pStyle w:val="ListParagraph"/>
        <w:numPr>
          <w:ilvl w:val="0"/>
          <w:numId w:val="1"/>
        </w:numPr>
        <w:tabs>
          <w:tab w:val="left" w:pos="1440"/>
        </w:tabs>
        <w:autoSpaceDE w:val="0"/>
        <w:autoSpaceDN w:val="0"/>
        <w:adjustRightInd w:val="0"/>
        <w:spacing w:after="0"/>
        <w:rPr>
          <w:rFonts w:ascii="Arial" w:hAnsi="Arial" w:cs="Arial"/>
          <w:color w:val="000000"/>
        </w:rPr>
      </w:pPr>
      <w:r w:rsidRPr="00454AC9">
        <w:rPr>
          <w:rFonts w:ascii="Arial" w:hAnsi="Arial" w:cs="Arial"/>
          <w:color w:val="000000"/>
        </w:rPr>
        <w:t xml:space="preserve">Limitations on payment for health care items and services furnished to Medicare </w:t>
      </w:r>
      <w:r w:rsidR="00BD5B64" w:rsidRPr="00454AC9">
        <w:rPr>
          <w:rFonts w:ascii="Arial" w:hAnsi="Arial" w:cs="Arial"/>
          <w:color w:val="000000"/>
        </w:rPr>
        <w:t xml:space="preserve">       </w:t>
      </w:r>
      <w:r w:rsidRPr="00454AC9">
        <w:rPr>
          <w:rFonts w:ascii="Arial" w:hAnsi="Arial" w:cs="Arial"/>
          <w:color w:val="000000"/>
        </w:rPr>
        <w:t xml:space="preserve">Advantage enrollees by non-network providers </w:t>
      </w:r>
    </w:p>
    <w:p w:rsidR="00402683" w:rsidRPr="00454AC9" w:rsidRDefault="00402683" w:rsidP="004419D9">
      <w:pPr>
        <w:pStyle w:val="ListParagraph"/>
        <w:numPr>
          <w:ilvl w:val="0"/>
          <w:numId w:val="1"/>
        </w:numPr>
        <w:tabs>
          <w:tab w:val="left" w:pos="1440"/>
        </w:tabs>
        <w:autoSpaceDE w:val="0"/>
        <w:autoSpaceDN w:val="0"/>
        <w:adjustRightInd w:val="0"/>
        <w:spacing w:after="0"/>
        <w:rPr>
          <w:rFonts w:ascii="Arial" w:hAnsi="Arial" w:cs="Arial"/>
          <w:color w:val="000000"/>
        </w:rPr>
      </w:pPr>
      <w:r w:rsidRPr="00454AC9">
        <w:rPr>
          <w:rFonts w:ascii="Arial" w:hAnsi="Arial" w:cs="Arial"/>
          <w:color w:val="000000"/>
        </w:rPr>
        <w:t>Advanced and Accelerated Payment (Medicare Division of Financial Management)</w:t>
      </w:r>
    </w:p>
    <w:p w:rsidR="003028A5" w:rsidRPr="00454AC9" w:rsidRDefault="003028A5" w:rsidP="00A72729">
      <w:pPr>
        <w:autoSpaceDE w:val="0"/>
        <w:autoSpaceDN w:val="0"/>
        <w:adjustRightInd w:val="0"/>
        <w:spacing w:after="0"/>
        <w:rPr>
          <w:rFonts w:ascii="Arial" w:hAnsi="Arial" w:cs="Arial"/>
          <w:color w:val="000000"/>
        </w:rPr>
      </w:pPr>
    </w:p>
    <w:p w:rsidR="003028A5" w:rsidRPr="00454AC9" w:rsidRDefault="003028A5" w:rsidP="004419D9">
      <w:pPr>
        <w:autoSpaceDE w:val="0"/>
        <w:autoSpaceDN w:val="0"/>
        <w:adjustRightInd w:val="0"/>
        <w:spacing w:after="0"/>
        <w:rPr>
          <w:rFonts w:ascii="Arial" w:hAnsi="Arial" w:cs="Arial"/>
        </w:rPr>
      </w:pPr>
      <w:r w:rsidRPr="00454AC9">
        <w:rPr>
          <w:rFonts w:ascii="Arial" w:hAnsi="Arial" w:cs="Arial"/>
          <w:color w:val="000000"/>
        </w:rPr>
        <w:t xml:space="preserve">These waivers under section 1135 of the Social Security Act typically end no later than the termination of the emergency period, or 60 days from the date the waiver or modification is first published unless the Secretary of HHS extends the waiver by notice for additional periods of up to 60 days, up to the end of the emergency period. Waivers </w:t>
      </w:r>
      <w:r w:rsidR="004419D9" w:rsidRPr="00454AC9">
        <w:rPr>
          <w:rFonts w:ascii="Arial" w:hAnsi="Arial" w:cs="Arial"/>
          <w:color w:val="000000"/>
        </w:rPr>
        <w:t>f</w:t>
      </w:r>
      <w:r w:rsidRPr="00454AC9">
        <w:rPr>
          <w:rFonts w:ascii="Arial" w:hAnsi="Arial" w:cs="Arial"/>
        </w:rPr>
        <w:t xml:space="preserve">or EMTALA (for public health emergencies that do not involve a pandemic disease) and HIPAA requirements are limited to a 72-hour period beginning upon implementation of a hospital disaster protocol. Waiver of EMTALA requirements for emergencies that involve a pandemic disease last until the </w:t>
      </w:r>
      <w:r w:rsidRPr="00454AC9">
        <w:rPr>
          <w:rFonts w:ascii="Arial" w:hAnsi="Arial" w:cs="Arial"/>
        </w:rPr>
        <w:lastRenderedPageBreak/>
        <w:t xml:space="preserve">termination of the pandemic-related public health emergency. The 1135 waiver authority applies only to Federal requirements and does not apply to State requirements for licensure or conditions of participation. </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Other Flexibilities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In addition to the 1135 waiver authority, Section 1812(f) of the Social Security Act (the Act) authorizes the Secretary to provide for skilled nursing facility (SNF) coverage in the absence of a qualifying hospital stay, as long as this action does not increase overall program payments and does not alter the SNF benefit’s “acute care nature” (that is, its orientation toward relatively short-term and intensive care). </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F95BB4" w:rsidP="00A72729">
      <w:pPr>
        <w:autoSpaceDE w:val="0"/>
        <w:autoSpaceDN w:val="0"/>
        <w:adjustRightInd w:val="0"/>
        <w:spacing w:after="0"/>
        <w:rPr>
          <w:rFonts w:ascii="Arial" w:hAnsi="Arial" w:cs="Arial"/>
        </w:rPr>
      </w:pPr>
      <w:r w:rsidRPr="00454AC9">
        <w:rPr>
          <w:rFonts w:ascii="Arial" w:hAnsi="Arial" w:cs="Arial"/>
          <w:b/>
          <w:bCs/>
          <w:u w:val="single"/>
        </w:rPr>
        <w:t>Determining if 1135 Waiver Authority Is</w:t>
      </w:r>
      <w:r w:rsidR="003028A5" w:rsidRPr="00454AC9">
        <w:rPr>
          <w:rFonts w:ascii="Arial" w:hAnsi="Arial" w:cs="Arial"/>
          <w:b/>
          <w:bCs/>
          <w:u w:val="single"/>
        </w:rPr>
        <w:t xml:space="preserve"> Necessary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In determining whether to invoke an 1135 waiver (once the conditions precedent to the authority’s exercise have been met), the Assistant Secretary for Preparedness and Response (ASPR) with input from relevant OPDIVS determine the need and scope for such modifications. Information considered includes requests from Governor’s offices, feedback from individual healthcare providers and associations, and requests to regional or field offices for assistance. </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How States or Individual Healthcare Providers Can Ask for Assistance or a Waiver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Once an 1135 Waiver is authorized, health care providers can submit requests to operate under that authority or for other relief that may be possible outside the </w:t>
      </w:r>
      <w:r w:rsidR="00700750" w:rsidRPr="00454AC9">
        <w:rPr>
          <w:rFonts w:ascii="Arial" w:hAnsi="Arial" w:cs="Arial"/>
        </w:rPr>
        <w:t xml:space="preserve">existing </w:t>
      </w:r>
      <w:r w:rsidRPr="00454AC9">
        <w:rPr>
          <w:rFonts w:ascii="Arial" w:hAnsi="Arial" w:cs="Arial"/>
        </w:rPr>
        <w:t xml:space="preserve">authority to the </w:t>
      </w:r>
      <w:r w:rsidR="00966F98" w:rsidRPr="00454AC9">
        <w:rPr>
          <w:rFonts w:ascii="Arial" w:hAnsi="Arial" w:cs="Arial"/>
        </w:rPr>
        <w:t xml:space="preserve">State Survey Agency </w:t>
      </w:r>
      <w:r w:rsidRPr="00454AC9">
        <w:rPr>
          <w:rFonts w:ascii="Arial" w:hAnsi="Arial" w:cs="Arial"/>
        </w:rPr>
        <w:t>with a copy to the</w:t>
      </w:r>
      <w:r w:rsidR="00966F98" w:rsidRPr="00454AC9">
        <w:rPr>
          <w:rFonts w:ascii="Arial" w:hAnsi="Arial" w:cs="Arial"/>
        </w:rPr>
        <w:t xml:space="preserve"> CMS Regional Office.  </w:t>
      </w:r>
      <w:r w:rsidRPr="00454AC9">
        <w:rPr>
          <w:rFonts w:ascii="Arial" w:hAnsi="Arial" w:cs="Arial"/>
        </w:rPr>
        <w:t xml:space="preserve">Email addresses </w:t>
      </w:r>
      <w:r w:rsidR="00966F98" w:rsidRPr="00454AC9">
        <w:rPr>
          <w:rFonts w:ascii="Arial" w:hAnsi="Arial" w:cs="Arial"/>
        </w:rPr>
        <w:t xml:space="preserve">for the CMS Regional Office in their service area </w:t>
      </w:r>
      <w:r w:rsidRPr="00454AC9">
        <w:rPr>
          <w:rFonts w:ascii="Arial" w:hAnsi="Arial" w:cs="Arial"/>
        </w:rPr>
        <w:t>are listed below. Information on your facility and justification for request</w:t>
      </w:r>
      <w:r w:rsidR="00CB3AAF" w:rsidRPr="00454AC9">
        <w:rPr>
          <w:rFonts w:ascii="Arial" w:hAnsi="Arial" w:cs="Arial"/>
        </w:rPr>
        <w:t xml:space="preserve">ing the waiver will be needed.  The waiver process may also be initiated through telephone contacts and fax.  </w:t>
      </w:r>
      <w:r w:rsidRPr="00454AC9">
        <w:rPr>
          <w:rFonts w:ascii="Arial" w:hAnsi="Arial" w:cs="Arial"/>
        </w:rPr>
        <w:t xml:space="preserve"> </w:t>
      </w:r>
      <w:r w:rsidR="00CB3AAF" w:rsidRPr="00454AC9">
        <w:rPr>
          <w:rFonts w:ascii="Arial" w:hAnsi="Arial" w:cs="Arial"/>
        </w:rPr>
        <w:t>There is not standard format for waiver submittal.</w:t>
      </w:r>
    </w:p>
    <w:p w:rsidR="004419D9" w:rsidRPr="00454AC9" w:rsidRDefault="004419D9" w:rsidP="00A72729">
      <w:pPr>
        <w:autoSpaceDE w:val="0"/>
        <w:autoSpaceDN w:val="0"/>
        <w:adjustRightInd w:val="0"/>
        <w:spacing w:after="0"/>
        <w:rPr>
          <w:rFonts w:ascii="Arial" w:hAnsi="Arial" w:cs="Arial"/>
          <w:b/>
          <w:bCs/>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Review of 1135 Waiver requests </w:t>
      </w:r>
    </w:p>
    <w:p w:rsidR="00CB3AAF" w:rsidRPr="00454AC9" w:rsidRDefault="00F13331" w:rsidP="00F13331">
      <w:pPr>
        <w:rPr>
          <w:rFonts w:ascii="Arial" w:hAnsi="Arial" w:cs="Arial"/>
        </w:rPr>
      </w:pPr>
      <w:r w:rsidRPr="00F13331">
        <w:rPr>
          <w:rFonts w:ascii="Arial" w:hAnsi="Arial" w:cs="Arial"/>
        </w:rPr>
        <w:t xml:space="preserve">Any </w:t>
      </w:r>
      <w:r>
        <w:rPr>
          <w:rFonts w:ascii="Arial" w:hAnsi="Arial" w:cs="Arial"/>
        </w:rPr>
        <w:t xml:space="preserve">1135 waiver </w:t>
      </w:r>
      <w:r w:rsidRPr="00F13331">
        <w:rPr>
          <w:rFonts w:ascii="Arial" w:hAnsi="Arial" w:cs="Arial"/>
        </w:rPr>
        <w:t xml:space="preserve">requests are </w:t>
      </w:r>
      <w:r>
        <w:rPr>
          <w:rFonts w:ascii="Arial" w:hAnsi="Arial" w:cs="Arial"/>
        </w:rPr>
        <w:t xml:space="preserve">reviewed and </w:t>
      </w:r>
      <w:r w:rsidRPr="00F13331">
        <w:rPr>
          <w:rFonts w:ascii="Arial" w:hAnsi="Arial" w:cs="Arial"/>
        </w:rPr>
        <w:t>vetted by the appropriate geographic regional office or division</w:t>
      </w:r>
      <w:r>
        <w:rPr>
          <w:rFonts w:ascii="Arial" w:hAnsi="Arial" w:cs="Arial"/>
        </w:rPr>
        <w:t xml:space="preserve"> to ensure </w:t>
      </w:r>
      <w:r w:rsidR="003028A5" w:rsidRPr="00454AC9">
        <w:rPr>
          <w:rFonts w:ascii="Arial" w:hAnsi="Arial" w:cs="Arial"/>
        </w:rPr>
        <w:t xml:space="preserve">they are justified and supportable. </w:t>
      </w:r>
      <w:r w:rsidR="00CB3AAF" w:rsidRPr="00454AC9">
        <w:rPr>
          <w:rFonts w:ascii="Arial" w:hAnsi="Arial" w:cs="Arial"/>
        </w:rPr>
        <w:t xml:space="preserve"> Anticipatory waivers cannot be granted.  </w:t>
      </w:r>
      <w:r w:rsidR="00726871" w:rsidRPr="00454AC9">
        <w:rPr>
          <w:rFonts w:ascii="Arial" w:hAnsi="Arial" w:cs="Arial"/>
        </w:rPr>
        <w:t xml:space="preserve">Note: </w:t>
      </w:r>
      <w:r w:rsidR="00CB3AAF" w:rsidRPr="00454AC9">
        <w:rPr>
          <w:rFonts w:ascii="Arial" w:hAnsi="Arial" w:cs="Arial"/>
        </w:rPr>
        <w:t xml:space="preserve">At no time should patient safety be comprised while </w:t>
      </w:r>
      <w:r w:rsidR="00726871" w:rsidRPr="00454AC9">
        <w:rPr>
          <w:rFonts w:ascii="Arial" w:hAnsi="Arial" w:cs="Arial"/>
        </w:rPr>
        <w:t xml:space="preserve">awaiting </w:t>
      </w:r>
      <w:r w:rsidR="00CB3AAF" w:rsidRPr="00454AC9">
        <w:rPr>
          <w:rFonts w:ascii="Arial" w:hAnsi="Arial" w:cs="Arial"/>
        </w:rPr>
        <w:t>the processing of an 1135 waiver.</w:t>
      </w:r>
    </w:p>
    <w:p w:rsidR="004419D9" w:rsidRPr="00454AC9" w:rsidRDefault="004419D9" w:rsidP="004419D9">
      <w:pPr>
        <w:autoSpaceDE w:val="0"/>
        <w:autoSpaceDN w:val="0"/>
        <w:adjustRightInd w:val="0"/>
        <w:spacing w:after="0"/>
        <w:rPr>
          <w:rFonts w:ascii="Arial" w:hAnsi="Arial" w:cs="Arial"/>
          <w:b/>
          <w:bCs/>
          <w:u w:val="single"/>
        </w:rPr>
      </w:pPr>
    </w:p>
    <w:p w:rsidR="003028A5" w:rsidRPr="00454AC9" w:rsidRDefault="003028A5" w:rsidP="004419D9">
      <w:pPr>
        <w:autoSpaceDE w:val="0"/>
        <w:autoSpaceDN w:val="0"/>
        <w:adjustRightInd w:val="0"/>
        <w:spacing w:after="0"/>
        <w:rPr>
          <w:rFonts w:ascii="Arial" w:hAnsi="Arial" w:cs="Arial"/>
        </w:rPr>
      </w:pPr>
      <w:r w:rsidRPr="00454AC9">
        <w:rPr>
          <w:rFonts w:ascii="Arial" w:hAnsi="Arial" w:cs="Arial"/>
          <w:b/>
          <w:bCs/>
          <w:u w:val="single"/>
        </w:rPr>
        <w:t xml:space="preserve">Implementation of 1135 Waiver Authority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rPr>
        <w:t xml:space="preserve">Providers must resume compliance with normal rules and regulations as soon as they are able to do so, and in any event the waivers or modifications a provider was operating under are no longer available after the termination of the emergency period. Federally certified/approved providers must operate under normal rules and regulations, unless they have sought and have been granted modifications under the waiver authority from specific requirements. </w:t>
      </w: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726871" w:rsidRPr="00454AC9" w:rsidRDefault="00726871" w:rsidP="00A72729">
      <w:pPr>
        <w:autoSpaceDE w:val="0"/>
        <w:autoSpaceDN w:val="0"/>
        <w:adjustRightInd w:val="0"/>
        <w:spacing w:after="0"/>
        <w:rPr>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lastRenderedPageBreak/>
        <w:t xml:space="preserve">Frequently Asked Questions </w:t>
      </w:r>
    </w:p>
    <w:p w:rsidR="007849CB" w:rsidRDefault="003028A5" w:rsidP="00A72729">
      <w:pPr>
        <w:autoSpaceDE w:val="0"/>
        <w:autoSpaceDN w:val="0"/>
        <w:adjustRightInd w:val="0"/>
        <w:spacing w:after="0"/>
        <w:rPr>
          <w:rFonts w:ascii="Arial" w:hAnsi="Arial" w:cs="Arial"/>
        </w:rPr>
      </w:pPr>
      <w:r w:rsidRPr="00454AC9">
        <w:rPr>
          <w:rFonts w:ascii="Arial" w:hAnsi="Arial" w:cs="Arial"/>
        </w:rPr>
        <w:t>Further information on the 1135 Waiver process can be found at:</w:t>
      </w:r>
    </w:p>
    <w:p w:rsidR="007849CB" w:rsidRDefault="00B93987" w:rsidP="00A72729">
      <w:pPr>
        <w:autoSpaceDE w:val="0"/>
        <w:autoSpaceDN w:val="0"/>
        <w:adjustRightInd w:val="0"/>
        <w:spacing w:after="0"/>
        <w:rPr>
          <w:rFonts w:ascii="Arial" w:hAnsi="Arial" w:cs="Arial"/>
        </w:rPr>
      </w:pPr>
      <w:hyperlink r:id="rId8" w:history="1">
        <w:r w:rsidR="007849CB" w:rsidRPr="009C18F8">
          <w:rPr>
            <w:rStyle w:val="Hyperlink"/>
            <w:rFonts w:ascii="Arial" w:hAnsi="Arial" w:cs="Arial"/>
          </w:rPr>
          <w:t>https://www.cms.gov/Medicare/Provider-Enrollment-and-Certification/SurveyCertEmergPrep/1135-Waivers.html</w:t>
        </w:r>
      </w:hyperlink>
    </w:p>
    <w:p w:rsidR="007849CB" w:rsidRDefault="007849CB" w:rsidP="00A72729">
      <w:pPr>
        <w:autoSpaceDE w:val="0"/>
        <w:autoSpaceDN w:val="0"/>
        <w:adjustRightInd w:val="0"/>
        <w:spacing w:after="0"/>
        <w:rPr>
          <w:rFonts w:ascii="Arial" w:hAnsi="Arial" w:cs="Arial"/>
        </w:rPr>
      </w:pPr>
    </w:p>
    <w:p w:rsidR="00700750" w:rsidRPr="00454AC9" w:rsidRDefault="00700750" w:rsidP="00A72729">
      <w:pPr>
        <w:autoSpaceDE w:val="0"/>
        <w:autoSpaceDN w:val="0"/>
        <w:adjustRightInd w:val="0"/>
        <w:spacing w:after="0"/>
        <w:rPr>
          <w:rFonts w:ascii="Arial" w:hAnsi="Arial" w:cs="Arial"/>
          <w:b/>
          <w:u w:val="single"/>
        </w:rPr>
      </w:pPr>
      <w:r w:rsidRPr="00454AC9">
        <w:rPr>
          <w:rFonts w:ascii="Arial" w:hAnsi="Arial" w:cs="Arial"/>
          <w:b/>
          <w:u w:val="single"/>
        </w:rPr>
        <w:t>CMS Survey &amp; Certification Emergency Preparedness Website</w:t>
      </w:r>
    </w:p>
    <w:p w:rsidR="0002018E" w:rsidRPr="00454AC9" w:rsidRDefault="00B93987" w:rsidP="00A72729">
      <w:pPr>
        <w:autoSpaceDE w:val="0"/>
        <w:autoSpaceDN w:val="0"/>
        <w:adjustRightInd w:val="0"/>
        <w:spacing w:after="0"/>
        <w:rPr>
          <w:rStyle w:val="Hyperlink"/>
          <w:rFonts w:ascii="Arial" w:hAnsi="Arial" w:cs="Arial"/>
        </w:rPr>
      </w:pPr>
      <w:hyperlink r:id="rId9" w:history="1">
        <w:r w:rsidR="00700750" w:rsidRPr="00454AC9">
          <w:rPr>
            <w:rStyle w:val="Hyperlink"/>
            <w:rFonts w:ascii="Arial" w:hAnsi="Arial" w:cs="Arial"/>
          </w:rPr>
          <w:t>https://www.cms.gov/SurveyCertEmergPrep/</w:t>
        </w:r>
      </w:hyperlink>
    </w:p>
    <w:p w:rsidR="00294E76" w:rsidRPr="00454AC9" w:rsidRDefault="00294E76" w:rsidP="00A72729">
      <w:pPr>
        <w:autoSpaceDE w:val="0"/>
        <w:autoSpaceDN w:val="0"/>
        <w:adjustRightInd w:val="0"/>
        <w:spacing w:after="0"/>
        <w:rPr>
          <w:rStyle w:val="Hyperlink"/>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b/>
          <w:bCs/>
          <w:u w:val="single"/>
        </w:rPr>
        <w:t xml:space="preserve">Email Addresses for CMS Regional Offices </w:t>
      </w: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ROATLHSQ@cms.hhs.gov </w:t>
      </w:r>
      <w:r w:rsidRPr="00454AC9">
        <w:rPr>
          <w:rFonts w:ascii="Arial" w:hAnsi="Arial" w:cs="Arial"/>
        </w:rPr>
        <w:t xml:space="preserve">(Atlanta RO): Alabama, Florida, Georgia, Kentucky, Mississippi, </w:t>
      </w:r>
      <w:r w:rsidR="00285300" w:rsidRPr="00454AC9">
        <w:rPr>
          <w:rFonts w:ascii="Arial" w:hAnsi="Arial" w:cs="Arial"/>
        </w:rPr>
        <w:t xml:space="preserve">North Carolina, South Carolina, </w:t>
      </w:r>
      <w:proofErr w:type="gramStart"/>
      <w:r w:rsidRPr="00454AC9">
        <w:rPr>
          <w:rFonts w:ascii="Arial" w:hAnsi="Arial" w:cs="Arial"/>
        </w:rPr>
        <w:t>Tennessee</w:t>
      </w:r>
      <w:proofErr w:type="gramEnd"/>
      <w:r w:rsidRPr="00454AC9">
        <w:rPr>
          <w:rFonts w:ascii="Arial" w:hAnsi="Arial" w:cs="Arial"/>
        </w:rPr>
        <w:t xml:space="preserve"> </w:t>
      </w:r>
    </w:p>
    <w:p w:rsidR="0002018E" w:rsidRPr="00454AC9" w:rsidRDefault="0002018E" w:rsidP="00A72729">
      <w:pPr>
        <w:autoSpaceDE w:val="0"/>
        <w:autoSpaceDN w:val="0"/>
        <w:adjustRightInd w:val="0"/>
        <w:spacing w:after="0"/>
        <w:rPr>
          <w:rFonts w:ascii="Arial" w:hAnsi="Arial" w:cs="Arial"/>
          <w:u w:val="single"/>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RODALDSC@cms.hhs.gov </w:t>
      </w:r>
      <w:r w:rsidRPr="00454AC9">
        <w:rPr>
          <w:rFonts w:ascii="Arial" w:hAnsi="Arial" w:cs="Arial"/>
        </w:rPr>
        <w:t xml:space="preserve">(Dallas RO): Arkansas, Louisiana, New Mexico, Oklahoma, </w:t>
      </w:r>
      <w:proofErr w:type="gramStart"/>
      <w:r w:rsidRPr="00454AC9">
        <w:rPr>
          <w:rFonts w:ascii="Arial" w:hAnsi="Arial" w:cs="Arial"/>
        </w:rPr>
        <w:t>Texas</w:t>
      </w:r>
      <w:proofErr w:type="gramEnd"/>
      <w:r w:rsidRPr="00454AC9">
        <w:rPr>
          <w:rFonts w:ascii="Arial" w:hAnsi="Arial" w:cs="Arial"/>
        </w:rPr>
        <w:t xml:space="preserve"> </w:t>
      </w:r>
    </w:p>
    <w:p w:rsidR="0002018E" w:rsidRPr="00454AC9" w:rsidRDefault="0002018E" w:rsidP="00A72729">
      <w:pPr>
        <w:autoSpaceDE w:val="0"/>
        <w:autoSpaceDN w:val="0"/>
        <w:adjustRightInd w:val="0"/>
        <w:spacing w:after="0"/>
        <w:rPr>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ROPHIDSC@cms.hhs.gov </w:t>
      </w:r>
      <w:r w:rsidRPr="00454AC9">
        <w:rPr>
          <w:rFonts w:ascii="Arial" w:hAnsi="Arial" w:cs="Arial"/>
        </w:rPr>
        <w:t xml:space="preserve">(Northeast Consortium): Delaware, District of Columbia, Maryland, Pennsylvania, Virginia, West Virginia, New York, New Jersey, Puerto Rico, Virgin Islands, Connecticut, Maine, Massachusetts, New Hampshire, Rhode Island, Vermont </w:t>
      </w:r>
    </w:p>
    <w:p w:rsidR="0002018E" w:rsidRPr="00454AC9" w:rsidRDefault="0002018E" w:rsidP="00A72729">
      <w:pPr>
        <w:autoSpaceDE w:val="0"/>
        <w:autoSpaceDN w:val="0"/>
        <w:adjustRightInd w:val="0"/>
        <w:spacing w:after="0"/>
        <w:rPr>
          <w:rFonts w:ascii="Arial" w:hAnsi="Arial" w:cs="Arial"/>
        </w:rPr>
      </w:pPr>
    </w:p>
    <w:p w:rsidR="003028A5" w:rsidRPr="00454AC9" w:rsidRDefault="003028A5" w:rsidP="00A72729">
      <w:pPr>
        <w:autoSpaceDE w:val="0"/>
        <w:autoSpaceDN w:val="0"/>
        <w:adjustRightInd w:val="0"/>
        <w:spacing w:after="0"/>
        <w:rPr>
          <w:rFonts w:ascii="Arial" w:hAnsi="Arial" w:cs="Arial"/>
        </w:rPr>
      </w:pPr>
      <w:r w:rsidRPr="00454AC9">
        <w:rPr>
          <w:rFonts w:ascii="Arial" w:hAnsi="Arial" w:cs="Arial"/>
          <w:u w:val="single"/>
        </w:rPr>
        <w:t xml:space="preserve">ROCHISC@cms.hhs.gov </w:t>
      </w:r>
      <w:r w:rsidRPr="00454AC9">
        <w:rPr>
          <w:rFonts w:ascii="Arial" w:hAnsi="Arial" w:cs="Arial"/>
        </w:rPr>
        <w:t xml:space="preserve">(Midwest Consortium): Illinois, Indiana, Michigan, Minnesota, Ohio, Wisconsin, Iowa, Kansas, Missouri, Nebraska </w:t>
      </w:r>
    </w:p>
    <w:p w:rsidR="0002018E" w:rsidRPr="00454AC9" w:rsidRDefault="0002018E" w:rsidP="00A72729">
      <w:pPr>
        <w:autoSpaceDE w:val="0"/>
        <w:autoSpaceDN w:val="0"/>
        <w:adjustRightInd w:val="0"/>
        <w:spacing w:after="0"/>
        <w:rPr>
          <w:rFonts w:ascii="Arial" w:hAnsi="Arial" w:cs="Arial"/>
        </w:rPr>
      </w:pPr>
    </w:p>
    <w:p w:rsidR="00965EC4" w:rsidRPr="00454AC9" w:rsidRDefault="003028A5" w:rsidP="00A72729">
      <w:pPr>
        <w:rPr>
          <w:rFonts w:ascii="Arial" w:hAnsi="Arial" w:cs="Arial"/>
        </w:rPr>
      </w:pPr>
      <w:r w:rsidRPr="00454AC9">
        <w:rPr>
          <w:rFonts w:ascii="Arial" w:hAnsi="Arial" w:cs="Arial"/>
          <w:u w:val="single"/>
        </w:rPr>
        <w:t xml:space="preserve">ROSFOSO@cms.hhs.gov </w:t>
      </w:r>
      <w:r w:rsidRPr="00454AC9">
        <w:rPr>
          <w:rFonts w:ascii="Arial" w:hAnsi="Arial" w:cs="Arial"/>
        </w:rPr>
        <w:t>(Western Consortium): Colorado, Montana, North Dakota, South Dakota, Utah, Wyoming, Alaska, Idaho, Oregon, Washington, Arizona, California, Hawa</w:t>
      </w:r>
      <w:r w:rsidR="00A34252" w:rsidRPr="00454AC9">
        <w:rPr>
          <w:rFonts w:ascii="Arial" w:hAnsi="Arial" w:cs="Arial"/>
        </w:rPr>
        <w:t>ii, Nevada, Outer Pacific</w:t>
      </w:r>
    </w:p>
    <w:p w:rsidR="00965EC4" w:rsidRPr="00454AC9" w:rsidRDefault="00965EC4" w:rsidP="00A72729">
      <w:pPr>
        <w:rPr>
          <w:rFonts w:ascii="Arial" w:hAnsi="Arial" w:cs="Arial"/>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p w:rsidR="00771C92" w:rsidRDefault="00771C92" w:rsidP="00454AC9">
      <w:pPr>
        <w:autoSpaceDE w:val="0"/>
        <w:autoSpaceDN w:val="0"/>
        <w:adjustRightInd w:val="0"/>
        <w:spacing w:after="0"/>
        <w:rPr>
          <w:rFonts w:ascii="Arial" w:hAnsi="Arial" w:cs="Arial"/>
          <w:b/>
          <w:bCs/>
          <w:u w:val="single"/>
        </w:rPr>
      </w:pPr>
    </w:p>
    <w:sectPr w:rsidR="00771C92" w:rsidSect="009F64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CD" w:rsidRDefault="00BE6ACD" w:rsidP="00F400B7">
      <w:pPr>
        <w:spacing w:after="0" w:line="240" w:lineRule="auto"/>
      </w:pPr>
      <w:r>
        <w:separator/>
      </w:r>
    </w:p>
  </w:endnote>
  <w:endnote w:type="continuationSeparator" w:id="0">
    <w:p w:rsidR="00BE6ACD" w:rsidRDefault="00BE6ACD" w:rsidP="00F4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AF" w:rsidRPr="00F400B7" w:rsidRDefault="00CB3AAF" w:rsidP="00F400B7">
    <w:pPr>
      <w:pStyle w:val="Footer"/>
      <w:rPr>
        <w:b/>
        <w:i/>
      </w:rPr>
    </w:pPr>
  </w:p>
  <w:p w:rsidR="00CB3AAF" w:rsidRDefault="00CB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CD" w:rsidRDefault="00BE6ACD" w:rsidP="00F400B7">
      <w:pPr>
        <w:spacing w:after="0" w:line="240" w:lineRule="auto"/>
      </w:pPr>
      <w:r>
        <w:separator/>
      </w:r>
    </w:p>
  </w:footnote>
  <w:footnote w:type="continuationSeparator" w:id="0">
    <w:p w:rsidR="00BE6ACD" w:rsidRDefault="00BE6ACD" w:rsidP="00F40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17938"/>
    <w:multiLevelType w:val="hybridMultilevel"/>
    <w:tmpl w:val="142AFE38"/>
    <w:lvl w:ilvl="0" w:tplc="39F82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8D7D"/>
    <w:multiLevelType w:val="hybridMultilevel"/>
    <w:tmpl w:val="D2826D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rPr>
        <w:rFonts w:ascii="Symbol" w:hAnsi="Symbol" w:hint="default"/>
      </w:rPr>
    </w:lvl>
  </w:abstractNum>
  <w:abstractNum w:abstractNumId="2" w15:restartNumberingAfterBreak="0">
    <w:nsid w:val="43223726"/>
    <w:multiLevelType w:val="hybridMultilevel"/>
    <w:tmpl w:val="248EB1E0"/>
    <w:lvl w:ilvl="0" w:tplc="E6A0488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555E1E"/>
    <w:multiLevelType w:val="hybridMultilevel"/>
    <w:tmpl w:val="2A68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A5"/>
    <w:rsid w:val="0002018E"/>
    <w:rsid w:val="000402AD"/>
    <w:rsid w:val="000C2E24"/>
    <w:rsid w:val="001B4E2C"/>
    <w:rsid w:val="0026621C"/>
    <w:rsid w:val="00281F9C"/>
    <w:rsid w:val="00282506"/>
    <w:rsid w:val="00285300"/>
    <w:rsid w:val="00294E76"/>
    <w:rsid w:val="003028A5"/>
    <w:rsid w:val="0031677C"/>
    <w:rsid w:val="003C4FA7"/>
    <w:rsid w:val="00402683"/>
    <w:rsid w:val="004419D9"/>
    <w:rsid w:val="00454AC9"/>
    <w:rsid w:val="004B0DD9"/>
    <w:rsid w:val="005861DC"/>
    <w:rsid w:val="00612FEA"/>
    <w:rsid w:val="006B61CD"/>
    <w:rsid w:val="00700750"/>
    <w:rsid w:val="00726871"/>
    <w:rsid w:val="00771C92"/>
    <w:rsid w:val="007849CB"/>
    <w:rsid w:val="008143A3"/>
    <w:rsid w:val="008C5919"/>
    <w:rsid w:val="00965EC4"/>
    <w:rsid w:val="00966F98"/>
    <w:rsid w:val="009C375F"/>
    <w:rsid w:val="009C519A"/>
    <w:rsid w:val="009F64DD"/>
    <w:rsid w:val="00A34252"/>
    <w:rsid w:val="00A72729"/>
    <w:rsid w:val="00A876B9"/>
    <w:rsid w:val="00AC1ED7"/>
    <w:rsid w:val="00AF0B1E"/>
    <w:rsid w:val="00B017AD"/>
    <w:rsid w:val="00B41D4E"/>
    <w:rsid w:val="00B456E8"/>
    <w:rsid w:val="00B93987"/>
    <w:rsid w:val="00BD5B64"/>
    <w:rsid w:val="00BE6ACD"/>
    <w:rsid w:val="00CB315C"/>
    <w:rsid w:val="00CB3AAF"/>
    <w:rsid w:val="00D33872"/>
    <w:rsid w:val="00DB0872"/>
    <w:rsid w:val="00DD1487"/>
    <w:rsid w:val="00E21296"/>
    <w:rsid w:val="00E45654"/>
    <w:rsid w:val="00ED389E"/>
    <w:rsid w:val="00F13331"/>
    <w:rsid w:val="00F400B7"/>
    <w:rsid w:val="00F454EB"/>
    <w:rsid w:val="00F77051"/>
    <w:rsid w:val="00F803D0"/>
    <w:rsid w:val="00F95BB4"/>
    <w:rsid w:val="00FE0C75"/>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5F46-3C7A-47DD-86B5-59FD26F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8A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Default"/>
    <w:next w:val="Default"/>
    <w:link w:val="PlainTextChar"/>
    <w:uiPriority w:val="99"/>
    <w:rsid w:val="003028A5"/>
    <w:rPr>
      <w:color w:val="auto"/>
    </w:rPr>
  </w:style>
  <w:style w:type="character" w:customStyle="1" w:styleId="PlainTextChar">
    <w:name w:val="Plain Text Char"/>
    <w:basedOn w:val="DefaultParagraphFont"/>
    <w:link w:val="PlainText"/>
    <w:uiPriority w:val="99"/>
    <w:rsid w:val="003028A5"/>
    <w:rPr>
      <w:rFonts w:ascii="Arial" w:hAnsi="Arial" w:cs="Arial"/>
      <w:sz w:val="24"/>
      <w:szCs w:val="24"/>
    </w:rPr>
  </w:style>
  <w:style w:type="paragraph" w:styleId="ListParagraph">
    <w:name w:val="List Paragraph"/>
    <w:basedOn w:val="Normal"/>
    <w:uiPriority w:val="34"/>
    <w:qFormat/>
    <w:rsid w:val="00BD5B64"/>
    <w:pPr>
      <w:ind w:left="720"/>
      <w:contextualSpacing/>
    </w:pPr>
  </w:style>
  <w:style w:type="character" w:styleId="Hyperlink">
    <w:name w:val="Hyperlink"/>
    <w:basedOn w:val="DefaultParagraphFont"/>
    <w:uiPriority w:val="99"/>
    <w:unhideWhenUsed/>
    <w:rsid w:val="0002018E"/>
    <w:rPr>
      <w:color w:val="0000FF" w:themeColor="hyperlink"/>
      <w:u w:val="single"/>
    </w:rPr>
  </w:style>
  <w:style w:type="paragraph" w:styleId="FootnoteText">
    <w:name w:val="footnote text"/>
    <w:basedOn w:val="Normal"/>
    <w:link w:val="FootnoteTextChar"/>
    <w:uiPriority w:val="99"/>
    <w:semiHidden/>
    <w:unhideWhenUsed/>
    <w:rsid w:val="00F40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0B7"/>
    <w:rPr>
      <w:sz w:val="20"/>
      <w:szCs w:val="20"/>
    </w:rPr>
  </w:style>
  <w:style w:type="character" w:styleId="FootnoteReference">
    <w:name w:val="footnote reference"/>
    <w:basedOn w:val="DefaultParagraphFont"/>
    <w:uiPriority w:val="99"/>
    <w:semiHidden/>
    <w:unhideWhenUsed/>
    <w:rsid w:val="00F400B7"/>
    <w:rPr>
      <w:vertAlign w:val="superscript"/>
    </w:rPr>
  </w:style>
  <w:style w:type="paragraph" w:styleId="Header">
    <w:name w:val="header"/>
    <w:basedOn w:val="Normal"/>
    <w:link w:val="HeaderChar"/>
    <w:uiPriority w:val="99"/>
    <w:unhideWhenUsed/>
    <w:rsid w:val="00F4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B7"/>
  </w:style>
  <w:style w:type="paragraph" w:styleId="Footer">
    <w:name w:val="footer"/>
    <w:basedOn w:val="Normal"/>
    <w:link w:val="FooterChar"/>
    <w:uiPriority w:val="99"/>
    <w:unhideWhenUsed/>
    <w:rsid w:val="00F4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B7"/>
  </w:style>
  <w:style w:type="paragraph" w:styleId="BalloonText">
    <w:name w:val="Balloon Text"/>
    <w:basedOn w:val="Normal"/>
    <w:link w:val="BalloonTextChar"/>
    <w:uiPriority w:val="99"/>
    <w:semiHidden/>
    <w:unhideWhenUsed/>
    <w:rsid w:val="00F4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B7"/>
    <w:rPr>
      <w:rFonts w:ascii="Tahoma" w:hAnsi="Tahoma" w:cs="Tahoma"/>
      <w:sz w:val="16"/>
      <w:szCs w:val="16"/>
    </w:rPr>
  </w:style>
  <w:style w:type="character" w:styleId="FollowedHyperlink">
    <w:name w:val="FollowedHyperlink"/>
    <w:basedOn w:val="DefaultParagraphFont"/>
    <w:uiPriority w:val="99"/>
    <w:semiHidden/>
    <w:unhideWhenUsed/>
    <w:rsid w:val="00454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5193">
      <w:bodyDiv w:val="1"/>
      <w:marLeft w:val="0"/>
      <w:marRight w:val="0"/>
      <w:marTop w:val="0"/>
      <w:marBottom w:val="0"/>
      <w:divBdr>
        <w:top w:val="none" w:sz="0" w:space="0" w:color="auto"/>
        <w:left w:val="none" w:sz="0" w:space="0" w:color="auto"/>
        <w:bottom w:val="none" w:sz="0" w:space="0" w:color="auto"/>
        <w:right w:val="none" w:sz="0" w:space="0" w:color="auto"/>
      </w:divBdr>
      <w:divsChild>
        <w:div w:id="132018921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1135-Waiv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SurveyCertEmerg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401B-4F05-4B58-B48D-4DEA5220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Rucker, Elliot (VDH)</cp:lastModifiedBy>
  <cp:revision>2</cp:revision>
  <cp:lastPrinted>2016-05-19T21:35:00Z</cp:lastPrinted>
  <dcterms:created xsi:type="dcterms:W3CDTF">2018-09-13T14:54:00Z</dcterms:created>
  <dcterms:modified xsi:type="dcterms:W3CDTF">2018-09-13T14:54:00Z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-336136821</vt:i4>
  </property>
  <property fmtid="{D5CDD505-2E9C-101B-9397-08002B2CF9AE}" pid="3" name="_NewReviewCycle">
    <vt:lpwstr/>
  </property>
  <property fmtid="{D5CDD505-2E9C-101B-9397-08002B2CF9AE}" pid="4" name="_EmailSubject">
    <vt:lpwstr>Hurricane Florence</vt:lpwstr>
  </property>
  <property fmtid="{D5CDD505-2E9C-101B-9397-08002B2CF9AE}" pid="5" name="_AuthorEmail">
    <vt:lpwstr>Lauren.Reinertsen@cms.hhs.gov</vt:lpwstr>
  </property>
  <property fmtid="{D5CDD505-2E9C-101B-9397-08002B2CF9AE}" pid="6" name="_AuthorEmailDisplayName">
    <vt:lpwstr>Reinertsen, Lauren (CMS/CQISCO)</vt:lpwstr>
  </property>
  <property fmtid="{D5CDD505-2E9C-101B-9397-08002B2CF9AE}" pid="7" name="_PreviousAdHocReviewCycleID">
    <vt:i4>1151518677</vt:i4>
  </property>
  <property fmtid="{D5CDD505-2E9C-101B-9397-08002B2CF9AE}" pid="8" name="_ReviewingToolsShownOnce">
    <vt:lpwstr/>
  </property>
</Properties>
</file>