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B950" w14:textId="77777777" w:rsidR="00706971" w:rsidRPr="00F94FE8" w:rsidRDefault="00706971" w:rsidP="00706971">
      <w:pPr>
        <w:spacing w:after="0" w:line="240" w:lineRule="auto"/>
        <w:jc w:val="center"/>
        <w:rPr>
          <w:rFonts w:cstheme="minorHAnsi"/>
          <w:b/>
          <w:sz w:val="24"/>
          <w:szCs w:val="24"/>
        </w:rPr>
      </w:pPr>
      <w:bookmarkStart w:id="0" w:name="_GoBack"/>
      <w:bookmarkEnd w:id="0"/>
      <w:r w:rsidRPr="00F94FE8">
        <w:rPr>
          <w:rFonts w:cstheme="minorHAnsi"/>
          <w:b/>
          <w:sz w:val="24"/>
          <w:szCs w:val="24"/>
        </w:rPr>
        <w:t xml:space="preserve">REQUIREMENTS </w:t>
      </w:r>
    </w:p>
    <w:p w14:paraId="2DA51FFC" w14:textId="77777777" w:rsidR="00706971" w:rsidRPr="00F94FE8" w:rsidRDefault="00706971" w:rsidP="00706971">
      <w:pPr>
        <w:spacing w:after="0" w:line="240" w:lineRule="auto"/>
        <w:jc w:val="center"/>
        <w:rPr>
          <w:rFonts w:cstheme="minorHAnsi"/>
          <w:b/>
          <w:sz w:val="24"/>
          <w:szCs w:val="24"/>
        </w:rPr>
      </w:pPr>
      <w:r w:rsidRPr="00F94FE8">
        <w:rPr>
          <w:rFonts w:cstheme="minorHAnsi"/>
          <w:b/>
          <w:sz w:val="24"/>
          <w:szCs w:val="24"/>
        </w:rPr>
        <w:t xml:space="preserve">FOR AUTHORIZATION, IMPLEMENTATION AND REPORTING FOR COMPREHENSIVE HARM REDUCTION PROGRAMS IN VIRGINIA  </w:t>
      </w:r>
    </w:p>
    <w:p w14:paraId="32C8CBEE" w14:textId="77777777" w:rsidR="00E679D3" w:rsidRPr="00F94FE8" w:rsidRDefault="00E679D3" w:rsidP="00706971">
      <w:pPr>
        <w:spacing w:after="0" w:line="240" w:lineRule="auto"/>
        <w:jc w:val="center"/>
        <w:rPr>
          <w:rFonts w:cstheme="minorHAnsi"/>
          <w:b/>
          <w:sz w:val="24"/>
          <w:szCs w:val="24"/>
        </w:rPr>
      </w:pPr>
      <w:r w:rsidRPr="00F94FE8">
        <w:rPr>
          <w:rFonts w:cstheme="minorHAnsi"/>
          <w:b/>
          <w:sz w:val="24"/>
          <w:szCs w:val="24"/>
        </w:rPr>
        <w:t>July 1, 2020</w:t>
      </w:r>
    </w:p>
    <w:p w14:paraId="5C444AF1" w14:textId="77777777" w:rsidR="00CC5364" w:rsidRPr="00F94FE8" w:rsidRDefault="00CC5364" w:rsidP="00CC5364">
      <w:pPr>
        <w:spacing w:after="120" w:line="240" w:lineRule="auto"/>
        <w:jc w:val="center"/>
        <w:rPr>
          <w:rFonts w:cstheme="minorHAnsi"/>
          <w:b/>
          <w:sz w:val="24"/>
          <w:szCs w:val="24"/>
        </w:rPr>
      </w:pPr>
    </w:p>
    <w:p w14:paraId="4DF2E9AC" w14:textId="7FE668DA" w:rsidR="00FC24FC" w:rsidRDefault="00706971" w:rsidP="00CD7AA1">
      <w:pPr>
        <w:spacing w:line="240" w:lineRule="auto"/>
        <w:rPr>
          <w:rFonts w:cstheme="minorHAnsi"/>
          <w:sz w:val="24"/>
          <w:szCs w:val="24"/>
        </w:rPr>
      </w:pPr>
      <w:r w:rsidRPr="00F94FE8">
        <w:rPr>
          <w:rFonts w:cstheme="minorHAnsi"/>
          <w:sz w:val="24"/>
          <w:szCs w:val="24"/>
        </w:rPr>
        <w:t>T</w:t>
      </w:r>
      <w:r w:rsidR="00CC5364" w:rsidRPr="00F94FE8">
        <w:rPr>
          <w:rFonts w:cstheme="minorHAnsi"/>
          <w:sz w:val="24"/>
          <w:szCs w:val="24"/>
        </w:rPr>
        <w:t xml:space="preserve">his document </w:t>
      </w:r>
      <w:r w:rsidRPr="00F94FE8">
        <w:rPr>
          <w:rFonts w:cstheme="minorHAnsi"/>
          <w:sz w:val="24"/>
          <w:szCs w:val="24"/>
        </w:rPr>
        <w:t xml:space="preserve">describes the process for agencies seeking Virginia Department of Health </w:t>
      </w:r>
      <w:r w:rsidR="00436447">
        <w:rPr>
          <w:rFonts w:cstheme="minorHAnsi"/>
          <w:sz w:val="24"/>
          <w:szCs w:val="24"/>
        </w:rPr>
        <w:t xml:space="preserve">(VDH) </w:t>
      </w:r>
      <w:r w:rsidRPr="00F94FE8">
        <w:rPr>
          <w:rFonts w:cstheme="minorHAnsi"/>
          <w:sz w:val="24"/>
          <w:szCs w:val="24"/>
        </w:rPr>
        <w:t xml:space="preserve">authorization to establish Comprehensive Harm Reduction (CHR) programs, including syringe services, in Virginia; minimum requirements for the operation of such programs; and reporting elements and deadlines as set forth in the </w:t>
      </w:r>
      <w:hyperlink r:id="rId8" w:history="1">
        <w:r w:rsidR="00CC5364" w:rsidRPr="00F94FE8">
          <w:rPr>
            <w:rStyle w:val="Hyperlink"/>
            <w:rFonts w:cstheme="minorHAnsi"/>
            <w:sz w:val="24"/>
            <w:szCs w:val="24"/>
          </w:rPr>
          <w:t>Code of Virginia Section 32.1-45.4</w:t>
        </w:r>
      </w:hyperlink>
      <w:r w:rsidR="00334111">
        <w:rPr>
          <w:rStyle w:val="Hyperlink"/>
          <w:rFonts w:cstheme="minorHAnsi"/>
          <w:sz w:val="24"/>
          <w:szCs w:val="24"/>
        </w:rPr>
        <w:t xml:space="preserve">.  </w:t>
      </w:r>
      <w:r w:rsidR="00CC5364" w:rsidRPr="00F94FE8">
        <w:rPr>
          <w:rFonts w:cstheme="minorHAnsi"/>
          <w:sz w:val="24"/>
          <w:szCs w:val="24"/>
        </w:rPr>
        <w:t xml:space="preserve"> </w:t>
      </w:r>
      <w:r w:rsidRPr="00F94FE8">
        <w:rPr>
          <w:rFonts w:cstheme="minorHAnsi"/>
          <w:sz w:val="24"/>
          <w:szCs w:val="24"/>
        </w:rPr>
        <w:t>It also describes best practices for CHR programs and additional programmatic and reporting requirements for those agencies seeking CHR funding support from the Virginia Department of Health.</w:t>
      </w:r>
    </w:p>
    <w:p w14:paraId="77652962" w14:textId="3EA5924A" w:rsidR="00FC24FC" w:rsidRPr="00FC24FC" w:rsidRDefault="00FC24FC">
      <w:pPr>
        <w:rPr>
          <w:rFonts w:cstheme="minorHAnsi"/>
          <w:b/>
          <w:sz w:val="24"/>
          <w:szCs w:val="24"/>
          <w:u w:val="single"/>
        </w:rPr>
      </w:pPr>
      <w:r w:rsidRPr="00FC24FC">
        <w:rPr>
          <w:rFonts w:cstheme="minorHAnsi"/>
          <w:b/>
          <w:sz w:val="24"/>
          <w:szCs w:val="24"/>
          <w:u w:val="single"/>
        </w:rPr>
        <w:t>Definition</w:t>
      </w:r>
    </w:p>
    <w:p w14:paraId="30559ED0" w14:textId="329DA363" w:rsidR="00277999" w:rsidRDefault="00FC24FC">
      <w:pPr>
        <w:rPr>
          <w:rFonts w:cstheme="minorHAnsi"/>
          <w:sz w:val="24"/>
          <w:szCs w:val="24"/>
        </w:rPr>
      </w:pPr>
      <w:r>
        <w:rPr>
          <w:rFonts w:cstheme="minorHAnsi"/>
          <w:sz w:val="24"/>
          <w:szCs w:val="24"/>
        </w:rPr>
        <w:t>CHR programs</w:t>
      </w:r>
      <w:r w:rsidR="00F94FE8">
        <w:rPr>
          <w:rFonts w:cstheme="minorHAnsi"/>
          <w:sz w:val="24"/>
          <w:szCs w:val="24"/>
        </w:rPr>
        <w:t xml:space="preserve"> are defined as </w:t>
      </w:r>
      <w:r w:rsidR="00DF6138">
        <w:rPr>
          <w:rFonts w:cstheme="minorHAnsi"/>
          <w:sz w:val="24"/>
          <w:szCs w:val="24"/>
        </w:rPr>
        <w:t xml:space="preserve">organizations or local health departments </w:t>
      </w:r>
      <w:r w:rsidR="00F94FE8">
        <w:rPr>
          <w:rFonts w:cstheme="minorHAnsi"/>
          <w:sz w:val="24"/>
          <w:szCs w:val="24"/>
        </w:rPr>
        <w:t>that provide, at a minimum, harm reduction education and counseling, distribute sterile syringes/needles, offer disposal of used syringes/needles, provide</w:t>
      </w:r>
      <w:r>
        <w:rPr>
          <w:rFonts w:cstheme="minorHAnsi"/>
          <w:sz w:val="24"/>
          <w:szCs w:val="24"/>
        </w:rPr>
        <w:t xml:space="preserve"> education and linkage for</w:t>
      </w:r>
      <w:r w:rsidR="00F94FE8">
        <w:rPr>
          <w:rFonts w:cstheme="minorHAnsi"/>
          <w:sz w:val="24"/>
          <w:szCs w:val="24"/>
        </w:rPr>
        <w:t xml:space="preserve"> naloxone</w:t>
      </w:r>
      <w:r>
        <w:rPr>
          <w:rFonts w:cstheme="minorHAnsi"/>
          <w:sz w:val="24"/>
          <w:szCs w:val="24"/>
        </w:rPr>
        <w:t xml:space="preserve"> (Narcan)</w:t>
      </w:r>
      <w:r w:rsidR="00F94FE8">
        <w:rPr>
          <w:rFonts w:cstheme="minorHAnsi"/>
          <w:sz w:val="24"/>
          <w:szCs w:val="24"/>
        </w:rPr>
        <w:t xml:space="preserve"> or similar </w:t>
      </w:r>
      <w:r w:rsidR="00DF6138">
        <w:rPr>
          <w:rFonts w:cstheme="minorHAnsi"/>
          <w:sz w:val="24"/>
          <w:szCs w:val="24"/>
        </w:rPr>
        <w:t>Food and Drug Administration (</w:t>
      </w:r>
      <w:r>
        <w:rPr>
          <w:rFonts w:cstheme="minorHAnsi"/>
          <w:sz w:val="24"/>
          <w:szCs w:val="24"/>
        </w:rPr>
        <w:t>FDA</w:t>
      </w:r>
      <w:r w:rsidR="00DF6138">
        <w:rPr>
          <w:rFonts w:cstheme="minorHAnsi"/>
          <w:sz w:val="24"/>
          <w:szCs w:val="24"/>
        </w:rPr>
        <w:t>)</w:t>
      </w:r>
      <w:r>
        <w:rPr>
          <w:rFonts w:cstheme="minorHAnsi"/>
          <w:sz w:val="24"/>
          <w:szCs w:val="24"/>
        </w:rPr>
        <w:t xml:space="preserve"> approved </w:t>
      </w:r>
      <w:r w:rsidR="00DF6138">
        <w:rPr>
          <w:rFonts w:cstheme="minorHAnsi"/>
          <w:sz w:val="24"/>
          <w:szCs w:val="24"/>
        </w:rPr>
        <w:t>medications</w:t>
      </w:r>
      <w:r w:rsidR="00F94FE8">
        <w:rPr>
          <w:rFonts w:cstheme="minorHAnsi"/>
          <w:sz w:val="24"/>
          <w:szCs w:val="24"/>
        </w:rPr>
        <w:t xml:space="preserve"> for opioid overdose reversals</w:t>
      </w:r>
      <w:r w:rsidR="00F4005B">
        <w:rPr>
          <w:rFonts w:cstheme="minorHAnsi"/>
          <w:sz w:val="24"/>
          <w:szCs w:val="24"/>
        </w:rPr>
        <w:t>,</w:t>
      </w:r>
      <w:r w:rsidR="00F94FE8">
        <w:rPr>
          <w:rFonts w:cstheme="minorHAnsi"/>
          <w:sz w:val="24"/>
          <w:szCs w:val="24"/>
        </w:rPr>
        <w:t xml:space="preserve"> and offer referrals and linkages to mental health and substance use disorder treatment.</w:t>
      </w:r>
    </w:p>
    <w:p w14:paraId="2B01E961" w14:textId="6E7F990F" w:rsidR="00277999" w:rsidRPr="00F94FE8" w:rsidRDefault="00277999">
      <w:pPr>
        <w:rPr>
          <w:rFonts w:cstheme="minorHAnsi"/>
          <w:b/>
          <w:sz w:val="24"/>
          <w:szCs w:val="24"/>
          <w:u w:val="single"/>
        </w:rPr>
      </w:pPr>
      <w:r w:rsidRPr="00F94FE8">
        <w:rPr>
          <w:rFonts w:cstheme="minorHAnsi"/>
          <w:b/>
          <w:sz w:val="24"/>
          <w:szCs w:val="24"/>
          <w:u w:val="single"/>
        </w:rPr>
        <w:t>CHR Sites</w:t>
      </w:r>
    </w:p>
    <w:p w14:paraId="5BB6C921" w14:textId="063C154D" w:rsidR="00277999" w:rsidRDefault="00277999" w:rsidP="00277999">
      <w:pPr>
        <w:rPr>
          <w:rFonts w:cstheme="minorHAnsi"/>
          <w:sz w:val="24"/>
          <w:szCs w:val="24"/>
        </w:rPr>
      </w:pPr>
      <w:r w:rsidRPr="00F94FE8">
        <w:rPr>
          <w:rFonts w:cstheme="minorHAnsi"/>
          <w:sz w:val="24"/>
          <w:szCs w:val="24"/>
        </w:rPr>
        <w:t xml:space="preserve">CHR sites must be </w:t>
      </w:r>
      <w:r w:rsidR="00AA282B">
        <w:rPr>
          <w:rFonts w:cstheme="minorHAnsi"/>
          <w:sz w:val="24"/>
          <w:szCs w:val="24"/>
        </w:rPr>
        <w:t xml:space="preserve">operated by </w:t>
      </w:r>
      <w:r w:rsidRPr="00F94FE8">
        <w:rPr>
          <w:rFonts w:cstheme="minorHAnsi"/>
          <w:sz w:val="24"/>
          <w:szCs w:val="24"/>
        </w:rPr>
        <w:t>a</w:t>
      </w:r>
      <w:r w:rsidR="00AA282B">
        <w:rPr>
          <w:rFonts w:cstheme="minorHAnsi"/>
          <w:sz w:val="24"/>
          <w:szCs w:val="24"/>
        </w:rPr>
        <w:t xml:space="preserve">n organization or local health department that promotes scientifically proven methods of mitigating the health risks associated with drug use and other high-risk behaviors.  Examples of organizations may include </w:t>
      </w:r>
      <w:r w:rsidRPr="00F94FE8">
        <w:rPr>
          <w:rFonts w:cstheme="minorHAnsi"/>
          <w:sz w:val="24"/>
          <w:szCs w:val="24"/>
        </w:rPr>
        <w:t>business entit</w:t>
      </w:r>
      <w:r w:rsidR="00AA282B">
        <w:rPr>
          <w:rFonts w:cstheme="minorHAnsi"/>
          <w:sz w:val="24"/>
          <w:szCs w:val="24"/>
        </w:rPr>
        <w:t>ies including but not limited to</w:t>
      </w:r>
      <w:r w:rsidRPr="00F94FE8">
        <w:rPr>
          <w:rFonts w:cstheme="minorHAnsi"/>
          <w:sz w:val="24"/>
          <w:szCs w:val="24"/>
        </w:rPr>
        <w:t xml:space="preserve"> </w:t>
      </w:r>
      <w:r w:rsidR="00390C22">
        <w:rPr>
          <w:rFonts w:cstheme="minorHAnsi"/>
          <w:sz w:val="24"/>
          <w:szCs w:val="24"/>
        </w:rPr>
        <w:t>s</w:t>
      </w:r>
      <w:r w:rsidRPr="00F94FE8">
        <w:rPr>
          <w:rFonts w:cstheme="minorHAnsi"/>
          <w:sz w:val="24"/>
          <w:szCs w:val="24"/>
        </w:rPr>
        <w:t>mall business</w:t>
      </w:r>
      <w:r w:rsidR="00AA282B">
        <w:rPr>
          <w:rFonts w:cstheme="minorHAnsi"/>
          <w:sz w:val="24"/>
          <w:szCs w:val="24"/>
        </w:rPr>
        <w:t>es</w:t>
      </w:r>
      <w:r w:rsidRPr="00F94FE8">
        <w:rPr>
          <w:rFonts w:cstheme="minorHAnsi"/>
          <w:sz w:val="24"/>
          <w:szCs w:val="24"/>
        </w:rPr>
        <w:t>, non-profit</w:t>
      </w:r>
      <w:r w:rsidR="00AA282B">
        <w:rPr>
          <w:rFonts w:cstheme="minorHAnsi"/>
          <w:sz w:val="24"/>
          <w:szCs w:val="24"/>
        </w:rPr>
        <w:t>s</w:t>
      </w:r>
      <w:r w:rsidRPr="00F94FE8">
        <w:rPr>
          <w:rFonts w:cstheme="minorHAnsi"/>
          <w:sz w:val="24"/>
          <w:szCs w:val="24"/>
        </w:rPr>
        <w:t xml:space="preserve">, </w:t>
      </w:r>
      <w:r w:rsidR="00AA282B">
        <w:rPr>
          <w:rFonts w:cstheme="minorHAnsi"/>
          <w:sz w:val="24"/>
          <w:szCs w:val="24"/>
        </w:rPr>
        <w:t xml:space="preserve">and </w:t>
      </w:r>
      <w:r w:rsidRPr="00F94FE8">
        <w:rPr>
          <w:rFonts w:cstheme="minorHAnsi"/>
          <w:sz w:val="24"/>
          <w:szCs w:val="24"/>
        </w:rPr>
        <w:t>L</w:t>
      </w:r>
      <w:r w:rsidR="00C85501">
        <w:rPr>
          <w:rFonts w:cstheme="minorHAnsi"/>
          <w:sz w:val="24"/>
          <w:szCs w:val="24"/>
        </w:rPr>
        <w:t xml:space="preserve">imited Liability </w:t>
      </w:r>
      <w:r w:rsidR="00686773">
        <w:rPr>
          <w:rFonts w:cstheme="minorHAnsi"/>
          <w:sz w:val="24"/>
          <w:szCs w:val="24"/>
        </w:rPr>
        <w:t>Corporations</w:t>
      </w:r>
      <w:r w:rsidR="00C85501">
        <w:rPr>
          <w:rFonts w:cstheme="minorHAnsi"/>
          <w:sz w:val="24"/>
          <w:szCs w:val="24"/>
        </w:rPr>
        <w:t xml:space="preserve"> (LLC)</w:t>
      </w:r>
      <w:r w:rsidR="00AA282B">
        <w:rPr>
          <w:rFonts w:cstheme="minorHAnsi"/>
          <w:sz w:val="24"/>
          <w:szCs w:val="24"/>
        </w:rPr>
        <w:t>.</w:t>
      </w:r>
      <w:r w:rsidR="00334111">
        <w:rPr>
          <w:rFonts w:cstheme="minorHAnsi"/>
          <w:sz w:val="24"/>
          <w:szCs w:val="24"/>
        </w:rPr>
        <w:t xml:space="preserve">  </w:t>
      </w:r>
      <w:r w:rsidR="00AA282B">
        <w:rPr>
          <w:rFonts w:cstheme="minorHAnsi"/>
          <w:sz w:val="24"/>
          <w:szCs w:val="24"/>
        </w:rPr>
        <w:t>VDH will not authorize i</w:t>
      </w:r>
      <w:r w:rsidRPr="00F94FE8">
        <w:rPr>
          <w:rFonts w:cstheme="minorHAnsi"/>
          <w:sz w:val="24"/>
          <w:szCs w:val="24"/>
        </w:rPr>
        <w:t>ndividuals</w:t>
      </w:r>
      <w:r w:rsidR="00AA282B">
        <w:rPr>
          <w:rFonts w:cstheme="minorHAnsi"/>
          <w:sz w:val="24"/>
          <w:szCs w:val="24"/>
        </w:rPr>
        <w:t xml:space="preserve"> to operate CHR sites</w:t>
      </w:r>
      <w:r w:rsidR="00334111">
        <w:rPr>
          <w:rFonts w:cstheme="minorHAnsi"/>
          <w:sz w:val="24"/>
          <w:szCs w:val="24"/>
        </w:rPr>
        <w:t xml:space="preserve">. </w:t>
      </w:r>
      <w:r w:rsidRPr="00F94FE8">
        <w:rPr>
          <w:rFonts w:cstheme="minorHAnsi"/>
          <w:sz w:val="24"/>
          <w:szCs w:val="24"/>
        </w:rPr>
        <w:t xml:space="preserve"> Individual</w:t>
      </w:r>
      <w:r w:rsidR="00F4005B">
        <w:rPr>
          <w:rFonts w:cstheme="minorHAnsi"/>
          <w:sz w:val="24"/>
          <w:szCs w:val="24"/>
        </w:rPr>
        <w:t>s</w:t>
      </w:r>
      <w:r w:rsidRPr="00F94FE8">
        <w:rPr>
          <w:rFonts w:cstheme="minorHAnsi"/>
          <w:sz w:val="24"/>
          <w:szCs w:val="24"/>
        </w:rPr>
        <w:t xml:space="preserve"> interested</w:t>
      </w:r>
      <w:r w:rsidR="00AA282B">
        <w:rPr>
          <w:rFonts w:cstheme="minorHAnsi"/>
          <w:sz w:val="24"/>
          <w:szCs w:val="24"/>
        </w:rPr>
        <w:t xml:space="preserve"> in providing CHR services</w:t>
      </w:r>
      <w:r w:rsidRPr="00F94FE8">
        <w:rPr>
          <w:rFonts w:cstheme="minorHAnsi"/>
          <w:sz w:val="24"/>
          <w:szCs w:val="24"/>
        </w:rPr>
        <w:t xml:space="preserve"> may team with an established business entity or form a</w:t>
      </w:r>
      <w:r w:rsidR="00AA282B">
        <w:rPr>
          <w:rFonts w:cstheme="minorHAnsi"/>
          <w:sz w:val="24"/>
          <w:szCs w:val="24"/>
        </w:rPr>
        <w:t xml:space="preserve">n organization or </w:t>
      </w:r>
      <w:r w:rsidR="00AA282B" w:rsidRPr="00F94FE8">
        <w:rPr>
          <w:rFonts w:cstheme="minorHAnsi"/>
          <w:sz w:val="24"/>
          <w:szCs w:val="24"/>
        </w:rPr>
        <w:t>business</w:t>
      </w:r>
      <w:r w:rsidRPr="00F94FE8">
        <w:rPr>
          <w:rFonts w:cstheme="minorHAnsi"/>
          <w:sz w:val="24"/>
          <w:szCs w:val="24"/>
        </w:rPr>
        <w:t xml:space="preserve"> of their own</w:t>
      </w:r>
      <w:r w:rsidR="00334111">
        <w:rPr>
          <w:rFonts w:cstheme="minorHAnsi"/>
          <w:sz w:val="24"/>
          <w:szCs w:val="24"/>
        </w:rPr>
        <w:t xml:space="preserve">. </w:t>
      </w:r>
      <w:r w:rsidRPr="00F94FE8">
        <w:rPr>
          <w:rFonts w:cstheme="minorHAnsi"/>
          <w:sz w:val="24"/>
          <w:szCs w:val="24"/>
        </w:rPr>
        <w:t xml:space="preserve"> More information on starting a business in Virginia can be found here: </w:t>
      </w:r>
      <w:hyperlink r:id="rId9" w:history="1">
        <w:r w:rsidRPr="00F94FE8">
          <w:rPr>
            <w:rStyle w:val="Hyperlink"/>
            <w:rFonts w:cstheme="minorHAnsi"/>
            <w:sz w:val="24"/>
            <w:szCs w:val="24"/>
          </w:rPr>
          <w:t>http://www.bos.virginia.gov/starting.shtml</w:t>
        </w:r>
      </w:hyperlink>
      <w:r w:rsidR="00334111">
        <w:rPr>
          <w:rStyle w:val="Hyperlink"/>
          <w:rFonts w:cstheme="minorHAnsi"/>
          <w:sz w:val="24"/>
          <w:szCs w:val="24"/>
        </w:rPr>
        <w:t xml:space="preserve">.  </w:t>
      </w:r>
    </w:p>
    <w:p w14:paraId="131807A7" w14:textId="1CDAAF37" w:rsidR="00706147" w:rsidRPr="00F94FE8" w:rsidRDefault="00706147" w:rsidP="00706147">
      <w:pPr>
        <w:rPr>
          <w:rFonts w:cstheme="minorHAnsi"/>
          <w:sz w:val="24"/>
          <w:szCs w:val="24"/>
        </w:rPr>
      </w:pPr>
      <w:r>
        <w:rPr>
          <w:rFonts w:cstheme="minorHAnsi"/>
          <w:sz w:val="24"/>
          <w:szCs w:val="24"/>
        </w:rPr>
        <w:t xml:space="preserve">CHR sites will be categorized as VDH-funded sites </w:t>
      </w:r>
      <w:r w:rsidR="00F4005B">
        <w:rPr>
          <w:rFonts w:cstheme="minorHAnsi"/>
          <w:sz w:val="24"/>
          <w:szCs w:val="24"/>
        </w:rPr>
        <w:t xml:space="preserve">or </w:t>
      </w:r>
      <w:r>
        <w:rPr>
          <w:rFonts w:cstheme="minorHAnsi"/>
          <w:sz w:val="24"/>
          <w:szCs w:val="24"/>
        </w:rPr>
        <w:t>sites not funded by VDH</w:t>
      </w:r>
      <w:r w:rsidR="00334111">
        <w:rPr>
          <w:rFonts w:cstheme="minorHAnsi"/>
          <w:sz w:val="24"/>
          <w:szCs w:val="24"/>
        </w:rPr>
        <w:t xml:space="preserve">. </w:t>
      </w:r>
      <w:r w:rsidR="00F4005B">
        <w:rPr>
          <w:rFonts w:cstheme="minorHAnsi"/>
          <w:sz w:val="24"/>
          <w:szCs w:val="24"/>
        </w:rPr>
        <w:t xml:space="preserve"> </w:t>
      </w:r>
      <w:r w:rsidRPr="00F94FE8">
        <w:rPr>
          <w:rFonts w:cstheme="minorHAnsi"/>
          <w:sz w:val="24"/>
          <w:szCs w:val="24"/>
        </w:rPr>
        <w:t xml:space="preserve">Sites funded by VDH will have </w:t>
      </w:r>
      <w:r w:rsidR="00686773">
        <w:rPr>
          <w:rFonts w:cstheme="minorHAnsi"/>
          <w:sz w:val="24"/>
          <w:szCs w:val="24"/>
        </w:rPr>
        <w:t>additional implementation,</w:t>
      </w:r>
      <w:r w:rsidR="00686773" w:rsidRPr="00F94FE8">
        <w:rPr>
          <w:rFonts w:cstheme="minorHAnsi"/>
          <w:sz w:val="24"/>
          <w:szCs w:val="24"/>
        </w:rPr>
        <w:t xml:space="preserve"> </w:t>
      </w:r>
      <w:r w:rsidRPr="00F94FE8">
        <w:rPr>
          <w:rFonts w:cstheme="minorHAnsi"/>
          <w:sz w:val="24"/>
          <w:szCs w:val="24"/>
        </w:rPr>
        <w:t>data collection and reporting requirements than unfunded sites</w:t>
      </w:r>
      <w:r w:rsidR="00D62EF6">
        <w:rPr>
          <w:rFonts w:cstheme="minorHAnsi"/>
          <w:sz w:val="24"/>
          <w:szCs w:val="24"/>
        </w:rPr>
        <w:t>.</w:t>
      </w:r>
    </w:p>
    <w:p w14:paraId="192ABE37" w14:textId="36BFA1B0" w:rsidR="00706147" w:rsidRPr="00F94FE8" w:rsidRDefault="00706147" w:rsidP="00706147">
      <w:pPr>
        <w:rPr>
          <w:rFonts w:cstheme="minorHAnsi"/>
          <w:sz w:val="24"/>
          <w:szCs w:val="24"/>
        </w:rPr>
      </w:pPr>
      <w:r w:rsidRPr="00F94FE8">
        <w:rPr>
          <w:rFonts w:cstheme="minorHAnsi"/>
          <w:sz w:val="24"/>
          <w:szCs w:val="24"/>
        </w:rPr>
        <w:t xml:space="preserve">A Memorandum of Agreement </w:t>
      </w:r>
      <w:r w:rsidR="00686773">
        <w:rPr>
          <w:rFonts w:cstheme="minorHAnsi"/>
          <w:sz w:val="24"/>
          <w:szCs w:val="24"/>
        </w:rPr>
        <w:t>will</w:t>
      </w:r>
      <w:r w:rsidRPr="00F94FE8">
        <w:rPr>
          <w:rFonts w:cstheme="minorHAnsi"/>
          <w:sz w:val="24"/>
          <w:szCs w:val="24"/>
        </w:rPr>
        <w:t xml:space="preserve"> be established between VDH and the </w:t>
      </w:r>
      <w:r w:rsidR="00C85501">
        <w:rPr>
          <w:rFonts w:cstheme="minorHAnsi"/>
          <w:sz w:val="24"/>
          <w:szCs w:val="24"/>
        </w:rPr>
        <w:t>CHR site</w:t>
      </w:r>
      <w:r w:rsidRPr="00F94FE8">
        <w:rPr>
          <w:rFonts w:cstheme="minorHAnsi"/>
          <w:sz w:val="24"/>
          <w:szCs w:val="24"/>
        </w:rPr>
        <w:t xml:space="preserve"> and funded sites must register as a vendor in </w:t>
      </w:r>
      <w:hyperlink r:id="rId10" w:history="1">
        <w:r w:rsidRPr="000C49B0">
          <w:rPr>
            <w:rStyle w:val="Hyperlink"/>
            <w:rFonts w:cstheme="minorHAnsi"/>
            <w:sz w:val="24"/>
            <w:szCs w:val="24"/>
          </w:rPr>
          <w:t>eVA</w:t>
        </w:r>
      </w:hyperlink>
      <w:r w:rsidRPr="00F94FE8">
        <w:rPr>
          <w:rFonts w:cstheme="minorHAnsi"/>
          <w:sz w:val="24"/>
          <w:szCs w:val="24"/>
        </w:rPr>
        <w:t>- Virginia’s eProcurement Marketplace</w:t>
      </w:r>
      <w:r w:rsidR="00334111">
        <w:rPr>
          <w:rFonts w:cstheme="minorHAnsi"/>
          <w:sz w:val="24"/>
          <w:szCs w:val="24"/>
        </w:rPr>
        <w:t xml:space="preserve">.  </w:t>
      </w:r>
    </w:p>
    <w:p w14:paraId="724FF160" w14:textId="65E24CD2" w:rsidR="00706147" w:rsidRDefault="00706147" w:rsidP="00277999">
      <w:pPr>
        <w:rPr>
          <w:rFonts w:cstheme="minorHAnsi"/>
          <w:sz w:val="24"/>
          <w:szCs w:val="24"/>
        </w:rPr>
      </w:pPr>
    </w:p>
    <w:p w14:paraId="35A9FADE" w14:textId="2E0E0DAD" w:rsidR="00910AAC" w:rsidRDefault="00910AAC" w:rsidP="00277999">
      <w:pPr>
        <w:rPr>
          <w:rFonts w:cstheme="minorHAnsi"/>
          <w:sz w:val="24"/>
          <w:szCs w:val="24"/>
        </w:rPr>
      </w:pPr>
    </w:p>
    <w:p w14:paraId="6C2F5FFD" w14:textId="257E6032" w:rsidR="006677F0" w:rsidRDefault="006677F0" w:rsidP="00277999">
      <w:pPr>
        <w:rPr>
          <w:rFonts w:cstheme="minorHAnsi"/>
          <w:sz w:val="24"/>
          <w:szCs w:val="24"/>
        </w:rPr>
      </w:pPr>
    </w:p>
    <w:p w14:paraId="7C3D11F0" w14:textId="77777777" w:rsidR="006677F0" w:rsidRPr="00F94FE8" w:rsidRDefault="006677F0" w:rsidP="00277999">
      <w:pPr>
        <w:rPr>
          <w:rFonts w:cstheme="minorHAnsi"/>
          <w:sz w:val="24"/>
          <w:szCs w:val="24"/>
        </w:rPr>
      </w:pPr>
    </w:p>
    <w:p w14:paraId="7B65529E" w14:textId="77777777" w:rsidR="000867B0" w:rsidRPr="00F94FE8" w:rsidRDefault="000867B0" w:rsidP="000867B0">
      <w:pPr>
        <w:pStyle w:val="ListParagraph"/>
        <w:spacing w:after="200" w:line="240" w:lineRule="auto"/>
        <w:ind w:left="0"/>
        <w:rPr>
          <w:rFonts w:cstheme="minorHAnsi"/>
          <w:b/>
          <w:sz w:val="24"/>
          <w:szCs w:val="24"/>
          <w:u w:val="single"/>
        </w:rPr>
      </w:pPr>
      <w:r w:rsidRPr="00F94FE8">
        <w:rPr>
          <w:rFonts w:cstheme="minorHAnsi"/>
          <w:b/>
          <w:sz w:val="24"/>
          <w:szCs w:val="24"/>
          <w:u w:val="single"/>
        </w:rPr>
        <w:lastRenderedPageBreak/>
        <w:t>CHR Program Objectives:</w:t>
      </w:r>
      <w:r w:rsidRPr="00F94FE8">
        <w:rPr>
          <w:rFonts w:cstheme="minorHAnsi"/>
          <w:b/>
          <w:i/>
          <w:sz w:val="24"/>
          <w:szCs w:val="24"/>
          <w:u w:val="single"/>
        </w:rPr>
        <w:t xml:space="preserve"> </w:t>
      </w:r>
    </w:p>
    <w:p w14:paraId="791F6670" w14:textId="2482AF6E" w:rsidR="000867B0" w:rsidRPr="00F94FE8" w:rsidRDefault="000867B0" w:rsidP="000867B0">
      <w:pPr>
        <w:spacing w:line="240" w:lineRule="auto"/>
        <w:rPr>
          <w:rFonts w:cstheme="minorHAnsi"/>
          <w:sz w:val="24"/>
          <w:szCs w:val="24"/>
        </w:rPr>
      </w:pPr>
      <w:r w:rsidRPr="00F94FE8">
        <w:rPr>
          <w:rFonts w:cstheme="minorHAnsi"/>
          <w:sz w:val="24"/>
          <w:szCs w:val="24"/>
        </w:rPr>
        <w:t>CHR programs</w:t>
      </w:r>
      <w:r w:rsidR="00FD33D2" w:rsidRPr="00F94FE8">
        <w:rPr>
          <w:rFonts w:cstheme="minorHAnsi"/>
          <w:sz w:val="24"/>
          <w:szCs w:val="24"/>
        </w:rPr>
        <w:t xml:space="preserve"> in Virginia</w:t>
      </w:r>
      <w:r w:rsidRPr="00F94FE8">
        <w:rPr>
          <w:rFonts w:cstheme="minorHAnsi"/>
          <w:sz w:val="24"/>
          <w:szCs w:val="24"/>
        </w:rPr>
        <w:t xml:space="preserve"> seek to:</w:t>
      </w:r>
    </w:p>
    <w:p w14:paraId="44A9DE62" w14:textId="38641B1A" w:rsidR="000867B0" w:rsidRPr="00C61D72" w:rsidRDefault="001D7988">
      <w:pPr>
        <w:pStyle w:val="ListParagraph"/>
        <w:numPr>
          <w:ilvl w:val="0"/>
          <w:numId w:val="13"/>
        </w:numPr>
        <w:spacing w:after="200" w:line="240" w:lineRule="auto"/>
        <w:rPr>
          <w:rFonts w:cstheme="minorHAnsi"/>
          <w:sz w:val="24"/>
          <w:szCs w:val="24"/>
        </w:rPr>
      </w:pPr>
      <w:r w:rsidRPr="00C61D72">
        <w:rPr>
          <w:rFonts w:cstheme="minorHAnsi"/>
          <w:sz w:val="24"/>
          <w:szCs w:val="24"/>
        </w:rPr>
        <w:t>R</w:t>
      </w:r>
      <w:r w:rsidR="000867B0" w:rsidRPr="00C61D72">
        <w:rPr>
          <w:rFonts w:cstheme="minorHAnsi"/>
          <w:sz w:val="24"/>
          <w:szCs w:val="24"/>
        </w:rPr>
        <w:t xml:space="preserve">educe the spread of human immunodeficiency virus (HIV), hepatitis B virus (HBV), hepatitis C virus (HCV), and other </w:t>
      </w:r>
      <w:r w:rsidR="00FC24FC" w:rsidRPr="00C61D72">
        <w:rPr>
          <w:rFonts w:cstheme="minorHAnsi"/>
          <w:sz w:val="24"/>
          <w:szCs w:val="24"/>
        </w:rPr>
        <w:t>blood-borne</w:t>
      </w:r>
      <w:r w:rsidR="000867B0" w:rsidRPr="00C61D72">
        <w:rPr>
          <w:rFonts w:cstheme="minorHAnsi"/>
          <w:sz w:val="24"/>
          <w:szCs w:val="24"/>
        </w:rPr>
        <w:t xml:space="preserve"> diseases;</w:t>
      </w:r>
    </w:p>
    <w:p w14:paraId="43C52DA4" w14:textId="7370916E" w:rsidR="000867B0" w:rsidRPr="00F94FE8" w:rsidRDefault="001D7988" w:rsidP="000867B0">
      <w:pPr>
        <w:pStyle w:val="ListParagraph"/>
        <w:numPr>
          <w:ilvl w:val="0"/>
          <w:numId w:val="13"/>
        </w:numPr>
        <w:spacing w:after="200" w:line="240" w:lineRule="auto"/>
        <w:rPr>
          <w:rFonts w:cstheme="minorHAnsi"/>
          <w:sz w:val="24"/>
          <w:szCs w:val="24"/>
        </w:rPr>
      </w:pPr>
      <w:r>
        <w:rPr>
          <w:rFonts w:cstheme="minorHAnsi"/>
          <w:sz w:val="24"/>
          <w:szCs w:val="24"/>
        </w:rPr>
        <w:t>R</w:t>
      </w:r>
      <w:r w:rsidR="000867B0" w:rsidRPr="00F94FE8">
        <w:rPr>
          <w:rFonts w:cstheme="minorHAnsi"/>
          <w:sz w:val="24"/>
          <w:szCs w:val="24"/>
        </w:rPr>
        <w:t xml:space="preserve">educe the transmission of </w:t>
      </w:r>
      <w:r w:rsidR="00FC24FC">
        <w:rPr>
          <w:rFonts w:cstheme="minorHAnsi"/>
          <w:sz w:val="24"/>
          <w:szCs w:val="24"/>
        </w:rPr>
        <w:t>blood-</w:t>
      </w:r>
      <w:r w:rsidR="00FC24FC" w:rsidRPr="00F94FE8">
        <w:rPr>
          <w:rFonts w:cstheme="minorHAnsi"/>
          <w:sz w:val="24"/>
          <w:szCs w:val="24"/>
        </w:rPr>
        <w:t>borne</w:t>
      </w:r>
      <w:r w:rsidR="000867B0" w:rsidRPr="00F94FE8">
        <w:rPr>
          <w:rFonts w:cstheme="minorHAnsi"/>
          <w:sz w:val="24"/>
          <w:szCs w:val="24"/>
        </w:rPr>
        <w:t xml:space="preserve"> diseases through needle stick injuries to law-enforcement and other emergency personnel, as well as the general public;  </w:t>
      </w:r>
    </w:p>
    <w:p w14:paraId="7E74D6D3" w14:textId="408812C3" w:rsidR="000867B0" w:rsidRDefault="001D7988" w:rsidP="000867B0">
      <w:pPr>
        <w:pStyle w:val="ListParagraph"/>
        <w:numPr>
          <w:ilvl w:val="0"/>
          <w:numId w:val="13"/>
        </w:numPr>
        <w:spacing w:after="200" w:line="240" w:lineRule="auto"/>
        <w:rPr>
          <w:rFonts w:cstheme="minorHAnsi"/>
          <w:sz w:val="24"/>
          <w:szCs w:val="24"/>
        </w:rPr>
      </w:pPr>
      <w:r>
        <w:rPr>
          <w:rFonts w:cstheme="minorHAnsi"/>
          <w:sz w:val="24"/>
          <w:szCs w:val="24"/>
        </w:rPr>
        <w:t>P</w:t>
      </w:r>
      <w:r w:rsidR="000867B0" w:rsidRPr="00F94FE8">
        <w:rPr>
          <w:rFonts w:cstheme="minorHAnsi"/>
          <w:sz w:val="24"/>
          <w:szCs w:val="24"/>
        </w:rPr>
        <w:t xml:space="preserve">rovide information regarding and referral to </w:t>
      </w:r>
      <w:r w:rsidR="00154905">
        <w:rPr>
          <w:rFonts w:cstheme="minorHAnsi"/>
          <w:sz w:val="24"/>
          <w:szCs w:val="24"/>
        </w:rPr>
        <w:t xml:space="preserve">substance use </w:t>
      </w:r>
      <w:r w:rsidR="000867B0" w:rsidRPr="00F94FE8">
        <w:rPr>
          <w:rFonts w:cstheme="minorHAnsi"/>
          <w:sz w:val="24"/>
          <w:szCs w:val="24"/>
        </w:rPr>
        <w:t>treatment services to individuals who use drugs</w:t>
      </w:r>
      <w:r w:rsidR="00334111">
        <w:rPr>
          <w:rFonts w:cstheme="minorHAnsi"/>
          <w:sz w:val="24"/>
          <w:szCs w:val="24"/>
        </w:rPr>
        <w:t>;</w:t>
      </w:r>
    </w:p>
    <w:p w14:paraId="1A9DF7F8" w14:textId="68EBE5E4" w:rsidR="00C85501" w:rsidRPr="00F94FE8" w:rsidRDefault="00910AAC" w:rsidP="000867B0">
      <w:pPr>
        <w:pStyle w:val="ListParagraph"/>
        <w:numPr>
          <w:ilvl w:val="0"/>
          <w:numId w:val="13"/>
        </w:numPr>
        <w:spacing w:after="200" w:line="240" w:lineRule="auto"/>
        <w:rPr>
          <w:rFonts w:cstheme="minorHAnsi"/>
          <w:sz w:val="24"/>
          <w:szCs w:val="24"/>
        </w:rPr>
      </w:pPr>
      <w:r>
        <w:rPr>
          <w:rFonts w:cstheme="minorHAnsi"/>
          <w:sz w:val="24"/>
          <w:szCs w:val="24"/>
        </w:rPr>
        <w:t xml:space="preserve">Facilitate </w:t>
      </w:r>
      <w:r w:rsidR="00C85501">
        <w:rPr>
          <w:rFonts w:cstheme="minorHAnsi"/>
          <w:sz w:val="24"/>
          <w:szCs w:val="24"/>
        </w:rPr>
        <w:t>the safe return and disposal of hypodermic needles and syringes</w:t>
      </w:r>
    </w:p>
    <w:p w14:paraId="63624C38" w14:textId="2581C917" w:rsidR="000867B0" w:rsidRPr="00F94FE8" w:rsidRDefault="000867B0" w:rsidP="000867B0">
      <w:pPr>
        <w:pStyle w:val="ListParagraph"/>
        <w:numPr>
          <w:ilvl w:val="0"/>
          <w:numId w:val="13"/>
        </w:numPr>
        <w:spacing w:after="200" w:line="240" w:lineRule="auto"/>
        <w:rPr>
          <w:rFonts w:cstheme="minorHAnsi"/>
          <w:sz w:val="24"/>
          <w:szCs w:val="24"/>
        </w:rPr>
      </w:pPr>
      <w:r w:rsidRPr="00F94FE8">
        <w:rPr>
          <w:rFonts w:cstheme="minorHAnsi"/>
          <w:sz w:val="24"/>
          <w:szCs w:val="24"/>
        </w:rPr>
        <w:t>Reduce overdose</w:t>
      </w:r>
      <w:r w:rsidR="00627FF6">
        <w:rPr>
          <w:rFonts w:cstheme="minorHAnsi"/>
          <w:sz w:val="24"/>
          <w:szCs w:val="24"/>
        </w:rPr>
        <w:t>s and resulting</w:t>
      </w:r>
      <w:r w:rsidRPr="00F94FE8">
        <w:rPr>
          <w:rFonts w:cstheme="minorHAnsi"/>
          <w:sz w:val="24"/>
          <w:szCs w:val="24"/>
        </w:rPr>
        <w:t xml:space="preserve"> deaths in the Commonwealth</w:t>
      </w:r>
      <w:r w:rsidR="00334111">
        <w:rPr>
          <w:rFonts w:cstheme="minorHAnsi"/>
          <w:sz w:val="24"/>
          <w:szCs w:val="24"/>
        </w:rPr>
        <w:t>;</w:t>
      </w:r>
      <w:r w:rsidR="00105F27">
        <w:rPr>
          <w:rFonts w:cstheme="minorHAnsi"/>
          <w:sz w:val="24"/>
          <w:szCs w:val="24"/>
        </w:rPr>
        <w:t xml:space="preserve"> and</w:t>
      </w:r>
    </w:p>
    <w:p w14:paraId="4D12EC04" w14:textId="6E1B4876" w:rsidR="000867B0" w:rsidRDefault="000867B0" w:rsidP="000867B0">
      <w:pPr>
        <w:pStyle w:val="ListParagraph"/>
        <w:numPr>
          <w:ilvl w:val="0"/>
          <w:numId w:val="13"/>
        </w:numPr>
        <w:spacing w:after="200" w:line="240" w:lineRule="auto"/>
        <w:rPr>
          <w:rFonts w:cstheme="minorHAnsi"/>
          <w:sz w:val="24"/>
          <w:szCs w:val="24"/>
        </w:rPr>
      </w:pPr>
      <w:r w:rsidRPr="00F94FE8">
        <w:rPr>
          <w:rFonts w:cstheme="minorHAnsi"/>
          <w:sz w:val="24"/>
          <w:szCs w:val="24"/>
        </w:rPr>
        <w:t>Improve the overall health of people who use drugs in Virginia.</w:t>
      </w:r>
      <w:r w:rsidRPr="00F94FE8">
        <w:rPr>
          <w:rFonts w:cstheme="minorHAnsi"/>
          <w:sz w:val="24"/>
          <w:szCs w:val="24"/>
        </w:rPr>
        <w:tab/>
      </w:r>
    </w:p>
    <w:p w14:paraId="27B7B9ED" w14:textId="77777777" w:rsidR="00154905" w:rsidRPr="00F94FE8" w:rsidRDefault="00154905" w:rsidP="00154905">
      <w:pPr>
        <w:pStyle w:val="ListParagraph"/>
        <w:spacing w:after="200" w:line="240" w:lineRule="auto"/>
        <w:rPr>
          <w:rFonts w:cstheme="minorHAnsi"/>
          <w:sz w:val="24"/>
          <w:szCs w:val="24"/>
        </w:rPr>
      </w:pPr>
    </w:p>
    <w:p w14:paraId="449FE4D3" w14:textId="18F4CE04" w:rsidR="00463ADE" w:rsidRPr="00F94FE8" w:rsidRDefault="00463ADE" w:rsidP="00463ADE">
      <w:pPr>
        <w:spacing w:line="240" w:lineRule="auto"/>
        <w:rPr>
          <w:rFonts w:cstheme="minorHAnsi"/>
          <w:b/>
          <w:sz w:val="24"/>
          <w:szCs w:val="24"/>
          <w:u w:val="single"/>
        </w:rPr>
      </w:pPr>
      <w:r w:rsidRPr="00F94FE8">
        <w:rPr>
          <w:rFonts w:cstheme="minorHAnsi"/>
          <w:b/>
          <w:sz w:val="24"/>
          <w:szCs w:val="24"/>
          <w:u w:val="single"/>
        </w:rPr>
        <w:t>CHR S</w:t>
      </w:r>
      <w:r w:rsidR="00706147">
        <w:rPr>
          <w:rFonts w:cstheme="minorHAnsi"/>
          <w:b/>
          <w:sz w:val="24"/>
          <w:szCs w:val="24"/>
          <w:u w:val="single"/>
        </w:rPr>
        <w:t>ervices</w:t>
      </w:r>
    </w:p>
    <w:p w14:paraId="7A2FF36E" w14:textId="2D23240F" w:rsidR="00463ADE" w:rsidRDefault="00463ADE" w:rsidP="00463ADE">
      <w:pPr>
        <w:spacing w:line="240" w:lineRule="auto"/>
        <w:rPr>
          <w:rFonts w:cstheme="minorHAnsi"/>
          <w:sz w:val="24"/>
          <w:szCs w:val="24"/>
        </w:rPr>
      </w:pPr>
      <w:r w:rsidRPr="00F94FE8">
        <w:rPr>
          <w:rFonts w:cstheme="minorHAnsi"/>
          <w:sz w:val="24"/>
          <w:szCs w:val="24"/>
        </w:rPr>
        <w:t xml:space="preserve">ALL CHR programs must provide the following services, either directly or through a documented referral process, with a verification feedback mechanism: </w:t>
      </w:r>
    </w:p>
    <w:p w14:paraId="382B13BD" w14:textId="64EA1FA0" w:rsidR="00D201BF" w:rsidRPr="008769E3" w:rsidRDefault="00D201BF" w:rsidP="00463ADE">
      <w:pPr>
        <w:spacing w:line="240" w:lineRule="auto"/>
        <w:rPr>
          <w:rFonts w:cstheme="minorHAnsi"/>
          <w:sz w:val="20"/>
          <w:szCs w:val="20"/>
        </w:rPr>
      </w:pPr>
      <w:r w:rsidRPr="008769E3">
        <w:rPr>
          <w:rFonts w:cstheme="minorHAnsi"/>
          <w:sz w:val="20"/>
          <w:szCs w:val="20"/>
        </w:rPr>
        <w:t>Table 1</w:t>
      </w:r>
    </w:p>
    <w:tbl>
      <w:tblPr>
        <w:tblStyle w:val="TableGrid0"/>
        <w:tblW w:w="10097" w:type="dxa"/>
        <w:tblInd w:w="-202" w:type="dxa"/>
        <w:tblCellMar>
          <w:top w:w="79" w:type="dxa"/>
          <w:left w:w="104" w:type="dxa"/>
          <w:right w:w="101" w:type="dxa"/>
        </w:tblCellMar>
        <w:tblLook w:val="04A0" w:firstRow="1" w:lastRow="0" w:firstColumn="1" w:lastColumn="0" w:noHBand="0" w:noVBand="1"/>
      </w:tblPr>
      <w:tblGrid>
        <w:gridCol w:w="5463"/>
        <w:gridCol w:w="1143"/>
        <w:gridCol w:w="1613"/>
        <w:gridCol w:w="1878"/>
      </w:tblGrid>
      <w:tr w:rsidR="004F0634" w:rsidRPr="0000384C" w14:paraId="5F187F2B" w14:textId="77777777" w:rsidTr="004F0634">
        <w:trPr>
          <w:trHeight w:val="800"/>
        </w:trPr>
        <w:tc>
          <w:tcPr>
            <w:tcW w:w="5463" w:type="dxa"/>
            <w:tcBorders>
              <w:top w:val="single" w:sz="4" w:space="0" w:color="000000"/>
              <w:left w:val="single" w:sz="4" w:space="0" w:color="000000"/>
              <w:bottom w:val="single" w:sz="4" w:space="0" w:color="000000"/>
              <w:right w:val="single" w:sz="4" w:space="0" w:color="000000"/>
            </w:tcBorders>
          </w:tcPr>
          <w:p w14:paraId="3DF205B5" w14:textId="77777777" w:rsidR="004F0634" w:rsidRPr="0000384C" w:rsidRDefault="004F0634" w:rsidP="00987D44">
            <w:pPr>
              <w:ind w:left="4"/>
              <w:rPr>
                <w:rFonts w:ascii="Calibri" w:eastAsia="Calibri" w:hAnsi="Calibri" w:cs="Calibri"/>
                <w:color w:val="000000"/>
              </w:rPr>
            </w:pPr>
            <w:r w:rsidRPr="0000384C">
              <w:rPr>
                <w:rFonts w:ascii="Calibri" w:eastAsia="Calibri" w:hAnsi="Calibri" w:cs="Calibri"/>
                <w:color w:val="000000"/>
              </w:rPr>
              <w:t xml:space="preserve">Service  </w:t>
            </w:r>
          </w:p>
        </w:tc>
        <w:tc>
          <w:tcPr>
            <w:tcW w:w="1143" w:type="dxa"/>
            <w:tcBorders>
              <w:top w:val="single" w:sz="4" w:space="0" w:color="000000"/>
              <w:left w:val="single" w:sz="4" w:space="0" w:color="000000"/>
              <w:bottom w:val="single" w:sz="4" w:space="0" w:color="000000"/>
              <w:right w:val="single" w:sz="4" w:space="0" w:color="000000"/>
            </w:tcBorders>
          </w:tcPr>
          <w:p w14:paraId="08D1B850" w14:textId="505B322A" w:rsidR="004F0634" w:rsidRPr="0000384C" w:rsidRDefault="004F0634" w:rsidP="00987D44">
            <w:pPr>
              <w:ind w:left="4"/>
              <w:rPr>
                <w:rFonts w:ascii="Calibri" w:eastAsia="Calibri" w:hAnsi="Calibri" w:cs="Calibri"/>
                <w:color w:val="000000"/>
              </w:rPr>
            </w:pPr>
            <w:r>
              <w:rPr>
                <w:rFonts w:ascii="Calibri" w:eastAsia="Calibri" w:hAnsi="Calibri" w:cs="Calibri"/>
                <w:color w:val="000000"/>
              </w:rPr>
              <w:t>All Applicants Must</w:t>
            </w:r>
            <w:r w:rsidR="000159A5">
              <w:rPr>
                <w:rFonts w:ascii="Calibri" w:eastAsia="Calibri" w:hAnsi="Calibri" w:cs="Calibri"/>
                <w:color w:val="000000"/>
              </w:rPr>
              <w:t>*</w:t>
            </w:r>
            <w:r w:rsidRPr="0000384C">
              <w:rPr>
                <w:rFonts w:ascii="Calibri" w:eastAsia="Calibri" w:hAnsi="Calibri" w:cs="Calibri"/>
                <w:color w:val="000000"/>
              </w:rPr>
              <w:t xml:space="preserve"> Provide Directly  </w:t>
            </w:r>
          </w:p>
        </w:tc>
        <w:tc>
          <w:tcPr>
            <w:tcW w:w="1613" w:type="dxa"/>
            <w:tcBorders>
              <w:top w:val="single" w:sz="4" w:space="0" w:color="000000"/>
              <w:left w:val="single" w:sz="4" w:space="0" w:color="000000"/>
              <w:bottom w:val="single" w:sz="4" w:space="0" w:color="000000"/>
              <w:right w:val="single" w:sz="4" w:space="0" w:color="000000"/>
            </w:tcBorders>
          </w:tcPr>
          <w:p w14:paraId="70989A72" w14:textId="5CB594CA" w:rsidR="004F0634" w:rsidRDefault="004F0634" w:rsidP="00987D44">
            <w:pPr>
              <w:ind w:left="4"/>
              <w:rPr>
                <w:rFonts w:ascii="Calibri" w:eastAsia="Calibri" w:hAnsi="Calibri" w:cs="Calibri"/>
                <w:color w:val="000000"/>
              </w:rPr>
            </w:pPr>
            <w:r>
              <w:rPr>
                <w:rFonts w:ascii="Calibri" w:eastAsia="Calibri" w:hAnsi="Calibri" w:cs="Calibri"/>
                <w:color w:val="000000"/>
              </w:rPr>
              <w:t xml:space="preserve">All Applicants </w:t>
            </w:r>
            <w:r w:rsidR="00063D8F">
              <w:rPr>
                <w:rFonts w:ascii="Calibri" w:eastAsia="Calibri" w:hAnsi="Calibri" w:cs="Calibri"/>
                <w:color w:val="000000"/>
              </w:rPr>
              <w:t>M</w:t>
            </w:r>
            <w:r>
              <w:rPr>
                <w:rFonts w:ascii="Calibri" w:eastAsia="Calibri" w:hAnsi="Calibri" w:cs="Calibri"/>
                <w:color w:val="000000"/>
              </w:rPr>
              <w:t xml:space="preserve">ust Provide Directly or </w:t>
            </w:r>
            <w:r w:rsidR="00063D8F">
              <w:rPr>
                <w:rFonts w:ascii="Calibri" w:eastAsia="Calibri" w:hAnsi="Calibri" w:cs="Calibri"/>
                <w:color w:val="000000"/>
              </w:rPr>
              <w:t>T</w:t>
            </w:r>
            <w:r>
              <w:rPr>
                <w:rFonts w:ascii="Calibri" w:eastAsia="Calibri" w:hAnsi="Calibri" w:cs="Calibri"/>
                <w:color w:val="000000"/>
              </w:rPr>
              <w:t>hrough Referral</w:t>
            </w:r>
          </w:p>
        </w:tc>
        <w:tc>
          <w:tcPr>
            <w:tcW w:w="1878" w:type="dxa"/>
            <w:tcBorders>
              <w:top w:val="single" w:sz="4" w:space="0" w:color="000000"/>
              <w:left w:val="single" w:sz="4" w:space="0" w:color="000000"/>
              <w:bottom w:val="single" w:sz="4" w:space="0" w:color="000000"/>
              <w:right w:val="single" w:sz="4" w:space="0" w:color="000000"/>
            </w:tcBorders>
          </w:tcPr>
          <w:p w14:paraId="2969E8E6" w14:textId="25908EFC" w:rsidR="004F0634" w:rsidRDefault="004F0634" w:rsidP="00987D44">
            <w:pPr>
              <w:ind w:left="4"/>
              <w:rPr>
                <w:rFonts w:ascii="Calibri" w:eastAsia="Calibri" w:hAnsi="Calibri" w:cs="Calibri"/>
                <w:color w:val="000000"/>
              </w:rPr>
            </w:pPr>
            <w:r>
              <w:rPr>
                <w:rFonts w:ascii="Calibri" w:eastAsia="Calibri" w:hAnsi="Calibri" w:cs="Calibri"/>
                <w:color w:val="000000"/>
              </w:rPr>
              <w:t xml:space="preserve">VDH Funded CHR Sites </w:t>
            </w:r>
            <w:r w:rsidR="00063D8F">
              <w:rPr>
                <w:rFonts w:ascii="Calibri" w:eastAsia="Calibri" w:hAnsi="Calibri" w:cs="Calibri"/>
                <w:color w:val="000000"/>
              </w:rPr>
              <w:t>M</w:t>
            </w:r>
            <w:r>
              <w:rPr>
                <w:rFonts w:ascii="Calibri" w:eastAsia="Calibri" w:hAnsi="Calibri" w:cs="Calibri"/>
                <w:color w:val="000000"/>
              </w:rPr>
              <w:t xml:space="preserve">ust Provide Directly or </w:t>
            </w:r>
            <w:r w:rsidR="00063D8F">
              <w:rPr>
                <w:rFonts w:ascii="Calibri" w:eastAsia="Calibri" w:hAnsi="Calibri" w:cs="Calibri"/>
                <w:color w:val="000000"/>
              </w:rPr>
              <w:t>T</w:t>
            </w:r>
            <w:r>
              <w:rPr>
                <w:rFonts w:ascii="Calibri" w:eastAsia="Calibri" w:hAnsi="Calibri" w:cs="Calibri"/>
                <w:color w:val="000000"/>
              </w:rPr>
              <w:t>hrough Referral</w:t>
            </w:r>
          </w:p>
        </w:tc>
      </w:tr>
      <w:tr w:rsidR="004F0634" w:rsidRPr="0000384C" w14:paraId="661C43FB" w14:textId="77777777" w:rsidTr="004F0634">
        <w:trPr>
          <w:trHeight w:val="626"/>
        </w:trPr>
        <w:tc>
          <w:tcPr>
            <w:tcW w:w="5463" w:type="dxa"/>
            <w:tcBorders>
              <w:top w:val="single" w:sz="4" w:space="0" w:color="000000"/>
              <w:left w:val="single" w:sz="4" w:space="0" w:color="000000"/>
              <w:bottom w:val="single" w:sz="4" w:space="0" w:color="000000"/>
              <w:right w:val="single" w:sz="4" w:space="0" w:color="000000"/>
            </w:tcBorders>
          </w:tcPr>
          <w:p w14:paraId="58F65D0C" w14:textId="77777777" w:rsidR="004F0634" w:rsidRPr="0000384C" w:rsidRDefault="004F0634" w:rsidP="00987D44">
            <w:pPr>
              <w:ind w:left="4"/>
              <w:rPr>
                <w:rFonts w:ascii="Calibri" w:eastAsia="Calibri" w:hAnsi="Calibri" w:cs="Calibri"/>
                <w:color w:val="000000"/>
              </w:rPr>
            </w:pPr>
            <w:r w:rsidRPr="0000384C">
              <w:rPr>
                <w:rFonts w:ascii="Calibri" w:eastAsia="Calibri" w:hAnsi="Calibri" w:cs="Calibri"/>
                <w:color w:val="000000"/>
              </w:rPr>
              <w:t xml:space="preserve">Provision of sterile needles and syringes and other injection supplies </w:t>
            </w:r>
          </w:p>
        </w:tc>
        <w:tc>
          <w:tcPr>
            <w:tcW w:w="1143" w:type="dxa"/>
            <w:tcBorders>
              <w:top w:val="single" w:sz="4" w:space="0" w:color="000000"/>
              <w:left w:val="single" w:sz="4" w:space="0" w:color="000000"/>
              <w:bottom w:val="single" w:sz="4" w:space="0" w:color="000000"/>
              <w:right w:val="single" w:sz="4" w:space="0" w:color="000000"/>
            </w:tcBorders>
          </w:tcPr>
          <w:p w14:paraId="7E5C829A" w14:textId="77777777" w:rsidR="004F0634" w:rsidRPr="0000384C" w:rsidRDefault="004F0634" w:rsidP="00987D44">
            <w:pPr>
              <w:ind w:right="7"/>
              <w:jc w:val="center"/>
              <w:rPr>
                <w:rFonts w:ascii="Calibri" w:eastAsia="Calibri" w:hAnsi="Calibri" w:cs="Calibri"/>
                <w:color w:val="000000"/>
              </w:rPr>
            </w:pPr>
            <w:r>
              <w:rPr>
                <w:rFonts w:ascii="Calibri" w:eastAsia="Calibri" w:hAnsi="Calibri" w:cs="Calibri"/>
                <w:color w:val="000000"/>
              </w:rPr>
              <w:t>x</w:t>
            </w:r>
          </w:p>
        </w:tc>
        <w:tc>
          <w:tcPr>
            <w:tcW w:w="1613" w:type="dxa"/>
            <w:tcBorders>
              <w:top w:val="single" w:sz="4" w:space="0" w:color="000000"/>
              <w:left w:val="single" w:sz="4" w:space="0" w:color="000000"/>
              <w:bottom w:val="single" w:sz="4" w:space="0" w:color="000000"/>
              <w:right w:val="single" w:sz="4" w:space="0" w:color="000000"/>
            </w:tcBorders>
          </w:tcPr>
          <w:p w14:paraId="3E0B47B4" w14:textId="77777777" w:rsidR="004F0634" w:rsidRPr="0000384C" w:rsidRDefault="004F0634" w:rsidP="00987D44">
            <w:pPr>
              <w:ind w:right="7"/>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51CAA4AC" w14:textId="77777777" w:rsidR="004F0634" w:rsidRPr="0000384C" w:rsidRDefault="004F0634" w:rsidP="00987D44">
            <w:pPr>
              <w:ind w:right="7"/>
              <w:jc w:val="center"/>
              <w:rPr>
                <w:rFonts w:ascii="MS Gothic" w:eastAsia="MS Gothic" w:hAnsi="MS Gothic" w:cs="MS Gothic"/>
                <w:color w:val="000000"/>
              </w:rPr>
            </w:pPr>
          </w:p>
        </w:tc>
      </w:tr>
      <w:tr w:rsidR="004F0634" w:rsidRPr="0000384C" w14:paraId="5ACBF94A" w14:textId="77777777" w:rsidTr="004F0634">
        <w:trPr>
          <w:trHeight w:val="355"/>
        </w:trPr>
        <w:tc>
          <w:tcPr>
            <w:tcW w:w="5463" w:type="dxa"/>
            <w:tcBorders>
              <w:top w:val="single" w:sz="4" w:space="0" w:color="000000"/>
              <w:left w:val="single" w:sz="4" w:space="0" w:color="000000"/>
              <w:bottom w:val="single" w:sz="4" w:space="0" w:color="000000"/>
              <w:right w:val="single" w:sz="4" w:space="0" w:color="000000"/>
            </w:tcBorders>
          </w:tcPr>
          <w:p w14:paraId="6568EACB" w14:textId="6B8A872B" w:rsidR="004F0634" w:rsidRPr="0000384C" w:rsidRDefault="00154905" w:rsidP="00987D44">
            <w:pPr>
              <w:ind w:left="4"/>
              <w:rPr>
                <w:rFonts w:ascii="Calibri" w:eastAsia="Calibri" w:hAnsi="Calibri" w:cs="Calibri"/>
                <w:color w:val="000000"/>
              </w:rPr>
            </w:pPr>
            <w:r>
              <w:rPr>
                <w:rFonts w:ascii="Calibri" w:eastAsia="Calibri" w:hAnsi="Calibri" w:cs="Calibri"/>
                <w:color w:val="000000"/>
              </w:rPr>
              <w:t xml:space="preserve">Substance </w:t>
            </w:r>
            <w:r w:rsidR="004F0634" w:rsidRPr="0000384C">
              <w:rPr>
                <w:rFonts w:ascii="Calibri" w:eastAsia="Calibri" w:hAnsi="Calibri" w:cs="Calibri"/>
                <w:color w:val="000000"/>
              </w:rPr>
              <w:t xml:space="preserve">use disorder educational materials  </w:t>
            </w:r>
          </w:p>
        </w:tc>
        <w:tc>
          <w:tcPr>
            <w:tcW w:w="1143" w:type="dxa"/>
            <w:tcBorders>
              <w:top w:val="single" w:sz="4" w:space="0" w:color="000000"/>
              <w:left w:val="single" w:sz="4" w:space="0" w:color="000000"/>
              <w:bottom w:val="single" w:sz="4" w:space="0" w:color="000000"/>
              <w:right w:val="single" w:sz="4" w:space="0" w:color="000000"/>
            </w:tcBorders>
          </w:tcPr>
          <w:p w14:paraId="05045C32" w14:textId="77777777" w:rsidR="004F0634" w:rsidRPr="0000384C" w:rsidRDefault="004F0634" w:rsidP="00987D44">
            <w:pPr>
              <w:ind w:right="7"/>
              <w:jc w:val="center"/>
              <w:rPr>
                <w:rFonts w:ascii="Calibri" w:eastAsia="Calibri" w:hAnsi="Calibri" w:cs="Calibri"/>
                <w:color w:val="000000"/>
              </w:rPr>
            </w:pPr>
            <w:r>
              <w:rPr>
                <w:rFonts w:ascii="Calibri" w:eastAsia="Calibri" w:hAnsi="Calibri" w:cs="Calibri"/>
                <w:color w:val="000000"/>
              </w:rPr>
              <w:t>x</w:t>
            </w:r>
          </w:p>
        </w:tc>
        <w:tc>
          <w:tcPr>
            <w:tcW w:w="1613" w:type="dxa"/>
            <w:tcBorders>
              <w:top w:val="single" w:sz="4" w:space="0" w:color="000000"/>
              <w:left w:val="single" w:sz="4" w:space="0" w:color="000000"/>
              <w:bottom w:val="single" w:sz="4" w:space="0" w:color="000000"/>
              <w:right w:val="single" w:sz="4" w:space="0" w:color="000000"/>
            </w:tcBorders>
          </w:tcPr>
          <w:p w14:paraId="1351939A" w14:textId="77777777" w:rsidR="004F0634" w:rsidRPr="0000384C" w:rsidRDefault="004F0634" w:rsidP="00987D44">
            <w:pPr>
              <w:ind w:right="7"/>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3B983F95" w14:textId="77777777" w:rsidR="004F0634" w:rsidRPr="0000384C" w:rsidRDefault="004F0634" w:rsidP="00987D44">
            <w:pPr>
              <w:ind w:right="7"/>
              <w:jc w:val="center"/>
              <w:rPr>
                <w:rFonts w:ascii="MS Gothic" w:eastAsia="MS Gothic" w:hAnsi="MS Gothic" w:cs="MS Gothic"/>
                <w:color w:val="000000"/>
              </w:rPr>
            </w:pPr>
          </w:p>
        </w:tc>
      </w:tr>
      <w:tr w:rsidR="004F0634" w:rsidRPr="0000384C" w14:paraId="6B133429" w14:textId="77777777" w:rsidTr="004F0634">
        <w:trPr>
          <w:trHeight w:val="358"/>
        </w:trPr>
        <w:tc>
          <w:tcPr>
            <w:tcW w:w="5463" w:type="dxa"/>
            <w:tcBorders>
              <w:top w:val="single" w:sz="4" w:space="0" w:color="000000"/>
              <w:left w:val="single" w:sz="4" w:space="0" w:color="000000"/>
              <w:bottom w:val="single" w:sz="4" w:space="0" w:color="000000"/>
              <w:right w:val="single" w:sz="4" w:space="0" w:color="000000"/>
            </w:tcBorders>
          </w:tcPr>
          <w:p w14:paraId="5E2774A2" w14:textId="312A755A" w:rsidR="004F0634" w:rsidRPr="0000384C" w:rsidRDefault="00BC5FF6" w:rsidP="00987D44">
            <w:pPr>
              <w:ind w:left="4"/>
              <w:rPr>
                <w:rFonts w:ascii="Calibri" w:eastAsia="Calibri" w:hAnsi="Calibri" w:cs="Calibri"/>
                <w:color w:val="000000"/>
              </w:rPr>
            </w:pPr>
            <w:r>
              <w:rPr>
                <w:rFonts w:ascii="Calibri" w:eastAsia="Calibri" w:hAnsi="Calibri" w:cs="Calibri"/>
                <w:color w:val="000000"/>
              </w:rPr>
              <w:t>E</w:t>
            </w:r>
            <w:r w:rsidR="004F0634" w:rsidRPr="0000384C">
              <w:rPr>
                <w:rFonts w:ascii="Calibri" w:eastAsia="Calibri" w:hAnsi="Calibri" w:cs="Calibri"/>
                <w:color w:val="000000"/>
              </w:rPr>
              <w:t xml:space="preserve">ducational materials regarding overdose prevention  </w:t>
            </w:r>
          </w:p>
        </w:tc>
        <w:tc>
          <w:tcPr>
            <w:tcW w:w="1143" w:type="dxa"/>
            <w:tcBorders>
              <w:top w:val="single" w:sz="4" w:space="0" w:color="000000"/>
              <w:left w:val="single" w:sz="4" w:space="0" w:color="000000"/>
              <w:bottom w:val="single" w:sz="4" w:space="0" w:color="000000"/>
              <w:right w:val="single" w:sz="4" w:space="0" w:color="000000"/>
            </w:tcBorders>
          </w:tcPr>
          <w:p w14:paraId="2AB24225" w14:textId="77777777" w:rsidR="004F0634" w:rsidRPr="0000384C" w:rsidRDefault="004F0634" w:rsidP="00987D44">
            <w:pPr>
              <w:ind w:right="7"/>
              <w:jc w:val="center"/>
              <w:rPr>
                <w:rFonts w:ascii="Calibri" w:eastAsia="Calibri" w:hAnsi="Calibri" w:cs="Calibri"/>
                <w:color w:val="000000"/>
              </w:rPr>
            </w:pPr>
            <w:r>
              <w:rPr>
                <w:rFonts w:ascii="Calibri" w:eastAsia="Calibri" w:hAnsi="Calibri" w:cs="Calibri"/>
                <w:color w:val="000000"/>
              </w:rPr>
              <w:t>x</w:t>
            </w:r>
          </w:p>
        </w:tc>
        <w:tc>
          <w:tcPr>
            <w:tcW w:w="1613" w:type="dxa"/>
            <w:tcBorders>
              <w:top w:val="single" w:sz="4" w:space="0" w:color="000000"/>
              <w:left w:val="single" w:sz="4" w:space="0" w:color="000000"/>
              <w:bottom w:val="single" w:sz="4" w:space="0" w:color="000000"/>
              <w:right w:val="single" w:sz="4" w:space="0" w:color="000000"/>
            </w:tcBorders>
          </w:tcPr>
          <w:p w14:paraId="13A0505F" w14:textId="77777777" w:rsidR="004F0634" w:rsidRPr="0000384C" w:rsidRDefault="004F0634" w:rsidP="00987D44">
            <w:pPr>
              <w:ind w:right="7"/>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08381891" w14:textId="77777777" w:rsidR="004F0634" w:rsidRPr="0000384C" w:rsidRDefault="004F0634" w:rsidP="00987D44">
            <w:pPr>
              <w:ind w:right="7"/>
              <w:jc w:val="center"/>
              <w:rPr>
                <w:rFonts w:ascii="MS Gothic" w:eastAsia="MS Gothic" w:hAnsi="MS Gothic" w:cs="MS Gothic"/>
                <w:color w:val="000000"/>
              </w:rPr>
            </w:pPr>
          </w:p>
        </w:tc>
      </w:tr>
      <w:tr w:rsidR="004F0634" w:rsidRPr="0000384C" w14:paraId="499C1AD1" w14:textId="77777777" w:rsidTr="004F0634">
        <w:trPr>
          <w:trHeight w:val="355"/>
        </w:trPr>
        <w:tc>
          <w:tcPr>
            <w:tcW w:w="5463" w:type="dxa"/>
            <w:tcBorders>
              <w:top w:val="single" w:sz="4" w:space="0" w:color="000000"/>
              <w:left w:val="single" w:sz="4" w:space="0" w:color="000000"/>
              <w:bottom w:val="single" w:sz="4" w:space="0" w:color="000000"/>
              <w:right w:val="single" w:sz="4" w:space="0" w:color="000000"/>
            </w:tcBorders>
          </w:tcPr>
          <w:p w14:paraId="5AC4FFA8" w14:textId="3E68B9F9" w:rsidR="004F0634" w:rsidRPr="0000384C" w:rsidRDefault="00BC5FF6" w:rsidP="00987D44">
            <w:pPr>
              <w:ind w:left="4"/>
              <w:rPr>
                <w:rFonts w:ascii="Calibri" w:eastAsia="Calibri" w:hAnsi="Calibri" w:cs="Calibri"/>
                <w:color w:val="000000"/>
              </w:rPr>
            </w:pPr>
            <w:r>
              <w:rPr>
                <w:rFonts w:ascii="Calibri" w:eastAsia="Calibri" w:hAnsi="Calibri" w:cs="Calibri"/>
                <w:color w:val="000000"/>
              </w:rPr>
              <w:t>E</w:t>
            </w:r>
            <w:r w:rsidR="004F0634" w:rsidRPr="0000384C">
              <w:rPr>
                <w:rFonts w:ascii="Calibri" w:eastAsia="Calibri" w:hAnsi="Calibri" w:cs="Calibri"/>
                <w:color w:val="000000"/>
              </w:rPr>
              <w:t>ducational materials regarding the prevention of HIV,</w:t>
            </w:r>
            <w:r w:rsidR="004F0634">
              <w:rPr>
                <w:rFonts w:ascii="Calibri" w:eastAsia="Calibri" w:hAnsi="Calibri" w:cs="Calibri"/>
                <w:color w:val="000000"/>
              </w:rPr>
              <w:t xml:space="preserve"> hepatitis and other blood-borne</w:t>
            </w:r>
            <w:r w:rsidR="004F0634" w:rsidRPr="0000384C">
              <w:rPr>
                <w:rFonts w:ascii="Calibri" w:eastAsia="Calibri" w:hAnsi="Calibri" w:cs="Calibri"/>
                <w:color w:val="000000"/>
              </w:rPr>
              <w:t xml:space="preserve"> diseases  </w:t>
            </w:r>
          </w:p>
        </w:tc>
        <w:tc>
          <w:tcPr>
            <w:tcW w:w="1143" w:type="dxa"/>
            <w:tcBorders>
              <w:top w:val="single" w:sz="4" w:space="0" w:color="000000"/>
              <w:left w:val="single" w:sz="4" w:space="0" w:color="000000"/>
              <w:bottom w:val="single" w:sz="4" w:space="0" w:color="000000"/>
              <w:right w:val="single" w:sz="4" w:space="0" w:color="000000"/>
            </w:tcBorders>
          </w:tcPr>
          <w:p w14:paraId="5290A620" w14:textId="77777777" w:rsidR="004F0634" w:rsidRPr="0000384C" w:rsidRDefault="004F0634" w:rsidP="00987D44">
            <w:pPr>
              <w:ind w:right="7"/>
              <w:jc w:val="center"/>
              <w:rPr>
                <w:rFonts w:ascii="Calibri" w:eastAsia="Calibri" w:hAnsi="Calibri" w:cs="Calibri"/>
                <w:color w:val="000000"/>
              </w:rPr>
            </w:pPr>
            <w:r>
              <w:rPr>
                <w:rFonts w:ascii="Calibri" w:eastAsia="Calibri" w:hAnsi="Calibri" w:cs="Calibri"/>
                <w:color w:val="000000"/>
              </w:rPr>
              <w:t>x</w:t>
            </w:r>
          </w:p>
        </w:tc>
        <w:tc>
          <w:tcPr>
            <w:tcW w:w="1613" w:type="dxa"/>
            <w:tcBorders>
              <w:top w:val="single" w:sz="4" w:space="0" w:color="000000"/>
              <w:left w:val="single" w:sz="4" w:space="0" w:color="000000"/>
              <w:bottom w:val="single" w:sz="4" w:space="0" w:color="000000"/>
              <w:right w:val="single" w:sz="4" w:space="0" w:color="000000"/>
            </w:tcBorders>
          </w:tcPr>
          <w:p w14:paraId="1241E827" w14:textId="77777777" w:rsidR="004F0634" w:rsidRPr="0000384C" w:rsidRDefault="004F0634" w:rsidP="00987D44">
            <w:pPr>
              <w:ind w:right="7"/>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0573E16F" w14:textId="77777777" w:rsidR="004F0634" w:rsidRPr="0000384C" w:rsidRDefault="004F0634" w:rsidP="00987D44">
            <w:pPr>
              <w:ind w:right="7"/>
              <w:jc w:val="center"/>
              <w:rPr>
                <w:rFonts w:ascii="MS Gothic" w:eastAsia="MS Gothic" w:hAnsi="MS Gothic" w:cs="MS Gothic"/>
                <w:color w:val="000000"/>
              </w:rPr>
            </w:pPr>
          </w:p>
        </w:tc>
      </w:tr>
      <w:tr w:rsidR="004F0634" w:rsidRPr="0000384C" w14:paraId="37BEBFA7" w14:textId="77777777" w:rsidTr="004F0634">
        <w:trPr>
          <w:trHeight w:val="355"/>
        </w:trPr>
        <w:tc>
          <w:tcPr>
            <w:tcW w:w="5463" w:type="dxa"/>
            <w:tcBorders>
              <w:top w:val="single" w:sz="4" w:space="0" w:color="000000"/>
              <w:left w:val="single" w:sz="4" w:space="0" w:color="000000"/>
              <w:bottom w:val="single" w:sz="4" w:space="0" w:color="000000"/>
              <w:right w:val="single" w:sz="4" w:space="0" w:color="000000"/>
            </w:tcBorders>
          </w:tcPr>
          <w:p w14:paraId="04BDA650" w14:textId="2550DA9C" w:rsidR="004F0634" w:rsidRPr="0000384C" w:rsidDel="00222BB4" w:rsidRDefault="004F0634" w:rsidP="00627FF6">
            <w:pPr>
              <w:ind w:left="4"/>
              <w:rPr>
                <w:rFonts w:ascii="Calibri" w:eastAsia="Calibri" w:hAnsi="Calibri" w:cs="Calibri"/>
                <w:color w:val="000000"/>
              </w:rPr>
            </w:pPr>
            <w:r w:rsidRPr="0000384C">
              <w:rPr>
                <w:rFonts w:ascii="Calibri" w:eastAsia="Calibri" w:hAnsi="Calibri" w:cs="Calibri"/>
                <w:color w:val="000000"/>
              </w:rPr>
              <w:t>A listing of the available substance use disorder and mental health treatment facilities in the jurisdictions you serve.</w:t>
            </w:r>
          </w:p>
        </w:tc>
        <w:tc>
          <w:tcPr>
            <w:tcW w:w="1143" w:type="dxa"/>
            <w:tcBorders>
              <w:top w:val="single" w:sz="4" w:space="0" w:color="000000"/>
              <w:left w:val="single" w:sz="4" w:space="0" w:color="000000"/>
              <w:bottom w:val="single" w:sz="4" w:space="0" w:color="000000"/>
              <w:right w:val="single" w:sz="4" w:space="0" w:color="000000"/>
            </w:tcBorders>
          </w:tcPr>
          <w:p w14:paraId="7AA1EB21" w14:textId="77777777" w:rsidR="004F0634" w:rsidRPr="00601813" w:rsidRDefault="004F0634" w:rsidP="00987D44">
            <w:pPr>
              <w:ind w:right="7"/>
              <w:jc w:val="center"/>
              <w:rPr>
                <w:rFonts w:ascii="MS Gothic" w:eastAsia="MS Gothic" w:hAnsi="MS Gothic" w:cs="MS Gothic"/>
                <w:b/>
                <w:color w:val="000000"/>
              </w:rPr>
            </w:pPr>
            <w:r w:rsidRPr="00601813">
              <w:rPr>
                <w:rFonts w:ascii="MS Gothic" w:eastAsia="MS Gothic" w:hAnsi="MS Gothic" w:cs="MS Gothic"/>
                <w:b/>
                <w:color w:val="000000"/>
              </w:rPr>
              <w:t>x</w:t>
            </w:r>
          </w:p>
        </w:tc>
        <w:tc>
          <w:tcPr>
            <w:tcW w:w="1613" w:type="dxa"/>
            <w:tcBorders>
              <w:top w:val="single" w:sz="4" w:space="0" w:color="000000"/>
              <w:left w:val="single" w:sz="4" w:space="0" w:color="000000"/>
              <w:bottom w:val="single" w:sz="4" w:space="0" w:color="000000"/>
              <w:right w:val="single" w:sz="4" w:space="0" w:color="000000"/>
            </w:tcBorders>
          </w:tcPr>
          <w:p w14:paraId="30C6474D" w14:textId="77777777" w:rsidR="004F0634" w:rsidRPr="0000384C" w:rsidRDefault="004F0634" w:rsidP="00987D44">
            <w:pPr>
              <w:ind w:right="7"/>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41AA279E" w14:textId="77777777" w:rsidR="004F0634" w:rsidRPr="0000384C" w:rsidRDefault="004F0634" w:rsidP="00987D44">
            <w:pPr>
              <w:ind w:right="7"/>
              <w:jc w:val="center"/>
              <w:rPr>
                <w:rFonts w:ascii="MS Gothic" w:eastAsia="MS Gothic" w:hAnsi="MS Gothic" w:cs="MS Gothic"/>
                <w:color w:val="000000"/>
              </w:rPr>
            </w:pPr>
          </w:p>
        </w:tc>
      </w:tr>
      <w:tr w:rsidR="00CA1E09" w:rsidRPr="0000384C" w14:paraId="5473B7C4" w14:textId="77777777" w:rsidTr="004F0634">
        <w:trPr>
          <w:trHeight w:val="355"/>
        </w:trPr>
        <w:tc>
          <w:tcPr>
            <w:tcW w:w="5463" w:type="dxa"/>
            <w:tcBorders>
              <w:top w:val="single" w:sz="4" w:space="0" w:color="000000"/>
              <w:left w:val="single" w:sz="4" w:space="0" w:color="000000"/>
              <w:bottom w:val="single" w:sz="4" w:space="0" w:color="000000"/>
              <w:right w:val="single" w:sz="4" w:space="0" w:color="000000"/>
            </w:tcBorders>
          </w:tcPr>
          <w:p w14:paraId="31B5752C" w14:textId="67A73FF8" w:rsidR="00CA1E09" w:rsidRPr="0000384C" w:rsidRDefault="00BC5FF6" w:rsidP="00987D44">
            <w:pPr>
              <w:ind w:left="4"/>
              <w:rPr>
                <w:rFonts w:ascii="Calibri" w:eastAsia="Calibri" w:hAnsi="Calibri" w:cs="Calibri"/>
                <w:color w:val="000000"/>
              </w:rPr>
            </w:pPr>
            <w:r>
              <w:rPr>
                <w:rFonts w:ascii="Calibri" w:eastAsia="Calibri" w:hAnsi="Calibri" w:cs="Calibri"/>
                <w:color w:val="000000"/>
              </w:rPr>
              <w:t>Safe return and disposal of used syringes/needles</w:t>
            </w:r>
          </w:p>
        </w:tc>
        <w:tc>
          <w:tcPr>
            <w:tcW w:w="1143" w:type="dxa"/>
            <w:tcBorders>
              <w:top w:val="single" w:sz="4" w:space="0" w:color="000000"/>
              <w:left w:val="single" w:sz="4" w:space="0" w:color="000000"/>
              <w:bottom w:val="single" w:sz="4" w:space="0" w:color="000000"/>
              <w:right w:val="single" w:sz="4" w:space="0" w:color="000000"/>
            </w:tcBorders>
          </w:tcPr>
          <w:p w14:paraId="195CE93C" w14:textId="39106E30" w:rsidR="00CA1E09" w:rsidRPr="00601813" w:rsidRDefault="00BC5FF6" w:rsidP="00987D44">
            <w:pPr>
              <w:ind w:right="7"/>
              <w:jc w:val="center"/>
              <w:rPr>
                <w:rFonts w:ascii="MS Gothic" w:eastAsia="MS Gothic" w:hAnsi="MS Gothic" w:cs="MS Gothic"/>
                <w:b/>
                <w:color w:val="000000"/>
              </w:rPr>
            </w:pPr>
            <w:r w:rsidRPr="00601813">
              <w:rPr>
                <w:rFonts w:ascii="MS Gothic" w:eastAsia="MS Gothic" w:hAnsi="MS Gothic" w:cs="MS Gothic"/>
                <w:b/>
                <w:color w:val="000000"/>
              </w:rPr>
              <w:t>x</w:t>
            </w:r>
          </w:p>
        </w:tc>
        <w:tc>
          <w:tcPr>
            <w:tcW w:w="1613" w:type="dxa"/>
            <w:tcBorders>
              <w:top w:val="single" w:sz="4" w:space="0" w:color="000000"/>
              <w:left w:val="single" w:sz="4" w:space="0" w:color="000000"/>
              <w:bottom w:val="single" w:sz="4" w:space="0" w:color="000000"/>
              <w:right w:val="single" w:sz="4" w:space="0" w:color="000000"/>
            </w:tcBorders>
          </w:tcPr>
          <w:p w14:paraId="1C6C6AE1" w14:textId="77777777" w:rsidR="00CA1E09" w:rsidRPr="0000384C" w:rsidRDefault="00CA1E09" w:rsidP="00987D44">
            <w:pPr>
              <w:ind w:right="7"/>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064D098A" w14:textId="77777777" w:rsidR="00CA1E09" w:rsidRPr="0000384C" w:rsidRDefault="00CA1E09" w:rsidP="00987D44">
            <w:pPr>
              <w:ind w:right="7"/>
              <w:jc w:val="center"/>
              <w:rPr>
                <w:rFonts w:ascii="MS Gothic" w:eastAsia="MS Gothic" w:hAnsi="MS Gothic" w:cs="MS Gothic"/>
                <w:color w:val="000000"/>
              </w:rPr>
            </w:pPr>
          </w:p>
        </w:tc>
      </w:tr>
      <w:tr w:rsidR="004F0634" w:rsidRPr="0000384C" w14:paraId="45C28BE1" w14:textId="77777777" w:rsidTr="004F0634">
        <w:trPr>
          <w:trHeight w:val="355"/>
        </w:trPr>
        <w:tc>
          <w:tcPr>
            <w:tcW w:w="5463" w:type="dxa"/>
            <w:tcBorders>
              <w:top w:val="single" w:sz="4" w:space="0" w:color="000000"/>
              <w:left w:val="single" w:sz="4" w:space="0" w:color="000000"/>
              <w:bottom w:val="single" w:sz="4" w:space="0" w:color="000000"/>
              <w:right w:val="single" w:sz="4" w:space="0" w:color="000000"/>
            </w:tcBorders>
          </w:tcPr>
          <w:p w14:paraId="2BCB28AF" w14:textId="77777777" w:rsidR="004F0634" w:rsidRPr="0000384C" w:rsidRDefault="004F0634" w:rsidP="00987D44">
            <w:pPr>
              <w:ind w:left="4"/>
              <w:rPr>
                <w:rFonts w:ascii="Calibri" w:eastAsia="Calibri" w:hAnsi="Calibri" w:cs="Calibri"/>
                <w:color w:val="000000"/>
              </w:rPr>
            </w:pPr>
            <w:r w:rsidRPr="0000384C">
              <w:rPr>
                <w:rFonts w:ascii="Calibri" w:eastAsia="Calibri" w:hAnsi="Calibri" w:cs="Calibri"/>
                <w:color w:val="000000"/>
              </w:rPr>
              <w:t>Verification that syringes/needles/injection supplies came from a CHR site</w:t>
            </w:r>
          </w:p>
        </w:tc>
        <w:tc>
          <w:tcPr>
            <w:tcW w:w="1143" w:type="dxa"/>
            <w:tcBorders>
              <w:top w:val="single" w:sz="4" w:space="0" w:color="000000"/>
              <w:left w:val="single" w:sz="4" w:space="0" w:color="000000"/>
              <w:bottom w:val="single" w:sz="4" w:space="0" w:color="000000"/>
              <w:right w:val="single" w:sz="4" w:space="0" w:color="000000"/>
            </w:tcBorders>
          </w:tcPr>
          <w:p w14:paraId="2BE49233" w14:textId="77777777" w:rsidR="004F0634" w:rsidRPr="00601813" w:rsidRDefault="004F0634" w:rsidP="00987D44">
            <w:pPr>
              <w:ind w:right="7"/>
              <w:jc w:val="center"/>
              <w:rPr>
                <w:rFonts w:ascii="MS Gothic" w:eastAsia="MS Gothic" w:hAnsi="MS Gothic" w:cs="MS Gothic"/>
                <w:b/>
                <w:color w:val="000000"/>
              </w:rPr>
            </w:pPr>
            <w:r w:rsidRPr="00601813">
              <w:rPr>
                <w:rFonts w:ascii="MS Gothic" w:eastAsia="MS Gothic" w:hAnsi="MS Gothic" w:cs="MS Gothic"/>
                <w:b/>
                <w:color w:val="000000"/>
              </w:rPr>
              <w:t>x</w:t>
            </w:r>
          </w:p>
        </w:tc>
        <w:tc>
          <w:tcPr>
            <w:tcW w:w="1613" w:type="dxa"/>
            <w:tcBorders>
              <w:top w:val="single" w:sz="4" w:space="0" w:color="000000"/>
              <w:left w:val="single" w:sz="4" w:space="0" w:color="000000"/>
              <w:bottom w:val="single" w:sz="4" w:space="0" w:color="000000"/>
              <w:right w:val="single" w:sz="4" w:space="0" w:color="000000"/>
            </w:tcBorders>
          </w:tcPr>
          <w:p w14:paraId="7AC97315" w14:textId="77777777" w:rsidR="004F0634" w:rsidRPr="0000384C" w:rsidRDefault="004F0634" w:rsidP="00987D44">
            <w:pPr>
              <w:ind w:right="7"/>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1D50F48D" w14:textId="77777777" w:rsidR="004F0634" w:rsidRPr="0000384C" w:rsidRDefault="004F0634" w:rsidP="00987D44">
            <w:pPr>
              <w:ind w:right="7"/>
              <w:jc w:val="center"/>
              <w:rPr>
                <w:rFonts w:ascii="MS Gothic" w:eastAsia="MS Gothic" w:hAnsi="MS Gothic" w:cs="MS Gothic"/>
                <w:color w:val="000000"/>
              </w:rPr>
            </w:pPr>
          </w:p>
        </w:tc>
      </w:tr>
      <w:tr w:rsidR="004F0634" w:rsidRPr="0000384C" w14:paraId="25F61A3C" w14:textId="77777777" w:rsidTr="004F0634">
        <w:trPr>
          <w:trHeight w:val="424"/>
        </w:trPr>
        <w:tc>
          <w:tcPr>
            <w:tcW w:w="5463" w:type="dxa"/>
            <w:tcBorders>
              <w:top w:val="single" w:sz="4" w:space="0" w:color="000000"/>
              <w:left w:val="single" w:sz="4" w:space="0" w:color="000000"/>
              <w:bottom w:val="single" w:sz="4" w:space="0" w:color="000000"/>
              <w:right w:val="single" w:sz="4" w:space="0" w:color="000000"/>
            </w:tcBorders>
          </w:tcPr>
          <w:p w14:paraId="537D1B97" w14:textId="29DF59C8" w:rsidR="004F0634" w:rsidRPr="0000384C" w:rsidRDefault="004F0634" w:rsidP="00987D44">
            <w:pPr>
              <w:ind w:left="4"/>
              <w:rPr>
                <w:rFonts w:ascii="Calibri" w:eastAsia="Calibri" w:hAnsi="Calibri" w:cs="Calibri"/>
                <w:color w:val="000000"/>
              </w:rPr>
            </w:pPr>
            <w:r w:rsidRPr="0000384C">
              <w:rPr>
                <w:rFonts w:ascii="Calibri" w:eastAsia="Calibri" w:hAnsi="Calibri" w:cs="Calibri"/>
                <w:color w:val="000000"/>
              </w:rPr>
              <w:t xml:space="preserve">Overdose prevention kits that include </w:t>
            </w:r>
            <w:r w:rsidR="00627FF6">
              <w:rPr>
                <w:rFonts w:ascii="Calibri" w:eastAsia="Calibri" w:hAnsi="Calibri" w:cs="Calibri"/>
                <w:color w:val="000000"/>
              </w:rPr>
              <w:t>n</w:t>
            </w:r>
            <w:r w:rsidRPr="0000384C">
              <w:rPr>
                <w:rFonts w:ascii="Calibri" w:eastAsia="Calibri" w:hAnsi="Calibri" w:cs="Calibri"/>
                <w:color w:val="000000"/>
              </w:rPr>
              <w:t>aloxone</w:t>
            </w:r>
            <w:r>
              <w:rPr>
                <w:rFonts w:ascii="Calibri" w:eastAsia="Calibri" w:hAnsi="Calibri" w:cs="Calibri"/>
                <w:color w:val="000000"/>
              </w:rPr>
              <w:t xml:space="preserve"> </w:t>
            </w:r>
            <w:r w:rsidRPr="0000384C">
              <w:rPr>
                <w:rFonts w:ascii="Calibri" w:eastAsia="Calibri" w:hAnsi="Calibri" w:cs="Calibri"/>
                <w:color w:val="000000"/>
              </w:rPr>
              <w:t xml:space="preserve">  </w:t>
            </w:r>
          </w:p>
        </w:tc>
        <w:tc>
          <w:tcPr>
            <w:tcW w:w="1143" w:type="dxa"/>
            <w:tcBorders>
              <w:top w:val="single" w:sz="4" w:space="0" w:color="000000"/>
              <w:left w:val="single" w:sz="4" w:space="0" w:color="000000"/>
              <w:bottom w:val="single" w:sz="4" w:space="0" w:color="000000"/>
              <w:right w:val="single" w:sz="4" w:space="0" w:color="000000"/>
            </w:tcBorders>
          </w:tcPr>
          <w:p w14:paraId="01985C6E" w14:textId="77777777" w:rsidR="004F0634" w:rsidRPr="0000384C" w:rsidRDefault="004F0634" w:rsidP="00987D44">
            <w:pPr>
              <w:ind w:right="7"/>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4D1EA301" w14:textId="77777777" w:rsidR="004F0634" w:rsidRPr="00601813" w:rsidRDefault="004F0634" w:rsidP="00987D44">
            <w:pPr>
              <w:ind w:right="7"/>
              <w:jc w:val="center"/>
              <w:rPr>
                <w:rFonts w:ascii="MS Gothic" w:eastAsia="MS Gothic" w:hAnsi="MS Gothic" w:cs="MS Gothic"/>
                <w:b/>
                <w:color w:val="000000"/>
              </w:rPr>
            </w:pPr>
            <w:r w:rsidRPr="00601813">
              <w:rPr>
                <w:rFonts w:ascii="MS Gothic" w:eastAsia="MS Gothic" w:hAnsi="MS Gothic" w:cs="MS Gothic"/>
                <w:b/>
                <w:color w:val="000000"/>
              </w:rPr>
              <w:t>x</w:t>
            </w:r>
          </w:p>
        </w:tc>
        <w:tc>
          <w:tcPr>
            <w:tcW w:w="1878" w:type="dxa"/>
            <w:tcBorders>
              <w:top w:val="single" w:sz="4" w:space="0" w:color="000000"/>
              <w:left w:val="single" w:sz="4" w:space="0" w:color="000000"/>
              <w:bottom w:val="single" w:sz="4" w:space="0" w:color="000000"/>
              <w:right w:val="single" w:sz="4" w:space="0" w:color="000000"/>
            </w:tcBorders>
          </w:tcPr>
          <w:p w14:paraId="2B603C4D" w14:textId="77777777" w:rsidR="004F0634" w:rsidRPr="0000384C" w:rsidRDefault="004F0634" w:rsidP="00987D44">
            <w:pPr>
              <w:ind w:right="7"/>
              <w:jc w:val="center"/>
              <w:rPr>
                <w:rFonts w:ascii="MS Gothic" w:eastAsia="MS Gothic" w:hAnsi="MS Gothic" w:cs="MS Gothic"/>
                <w:color w:val="000000"/>
              </w:rPr>
            </w:pPr>
          </w:p>
        </w:tc>
      </w:tr>
      <w:tr w:rsidR="004F0634" w:rsidRPr="0000384C" w14:paraId="17FE1D68" w14:textId="77777777" w:rsidTr="004F0634">
        <w:trPr>
          <w:trHeight w:val="355"/>
        </w:trPr>
        <w:tc>
          <w:tcPr>
            <w:tcW w:w="5463" w:type="dxa"/>
            <w:tcBorders>
              <w:top w:val="single" w:sz="4" w:space="0" w:color="000000"/>
              <w:left w:val="single" w:sz="4" w:space="0" w:color="000000"/>
              <w:bottom w:val="single" w:sz="4" w:space="0" w:color="000000"/>
              <w:right w:val="single" w:sz="4" w:space="0" w:color="000000"/>
            </w:tcBorders>
          </w:tcPr>
          <w:p w14:paraId="6D59357A" w14:textId="77777777" w:rsidR="004F0634" w:rsidRPr="0000384C" w:rsidRDefault="004F0634" w:rsidP="00987D44">
            <w:pPr>
              <w:ind w:left="4"/>
              <w:rPr>
                <w:rFonts w:ascii="Calibri" w:eastAsia="Calibri" w:hAnsi="Calibri" w:cs="Calibri"/>
                <w:color w:val="000000"/>
              </w:rPr>
            </w:pPr>
            <w:r w:rsidRPr="0000384C">
              <w:rPr>
                <w:rFonts w:ascii="Calibri" w:eastAsia="Calibri" w:hAnsi="Calibri" w:cs="Calibri"/>
                <w:color w:val="000000"/>
              </w:rPr>
              <w:t xml:space="preserve">Substance use disorder treatment consultations  </w:t>
            </w:r>
          </w:p>
        </w:tc>
        <w:tc>
          <w:tcPr>
            <w:tcW w:w="1143" w:type="dxa"/>
            <w:tcBorders>
              <w:top w:val="single" w:sz="4" w:space="0" w:color="000000"/>
              <w:left w:val="single" w:sz="4" w:space="0" w:color="000000"/>
              <w:bottom w:val="single" w:sz="4" w:space="0" w:color="000000"/>
              <w:right w:val="single" w:sz="4" w:space="0" w:color="000000"/>
            </w:tcBorders>
          </w:tcPr>
          <w:p w14:paraId="126586AE" w14:textId="77777777" w:rsidR="004F0634" w:rsidRPr="0000384C" w:rsidRDefault="004F0634" w:rsidP="00987D44">
            <w:pPr>
              <w:ind w:right="7"/>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5BEC7057" w14:textId="77777777" w:rsidR="004F0634" w:rsidRPr="00601813" w:rsidRDefault="004F0634" w:rsidP="00987D44">
            <w:pPr>
              <w:ind w:right="7"/>
              <w:jc w:val="center"/>
              <w:rPr>
                <w:rFonts w:ascii="MS Gothic" w:eastAsia="MS Gothic" w:hAnsi="MS Gothic" w:cs="MS Gothic"/>
                <w:b/>
                <w:color w:val="000000"/>
              </w:rPr>
            </w:pPr>
            <w:r w:rsidRPr="00601813">
              <w:rPr>
                <w:rFonts w:ascii="MS Gothic" w:eastAsia="MS Gothic" w:hAnsi="MS Gothic" w:cs="MS Gothic"/>
                <w:b/>
                <w:color w:val="000000"/>
              </w:rPr>
              <w:t>x</w:t>
            </w:r>
          </w:p>
        </w:tc>
        <w:tc>
          <w:tcPr>
            <w:tcW w:w="1878" w:type="dxa"/>
            <w:tcBorders>
              <w:top w:val="single" w:sz="4" w:space="0" w:color="000000"/>
              <w:left w:val="single" w:sz="4" w:space="0" w:color="000000"/>
              <w:bottom w:val="single" w:sz="4" w:space="0" w:color="000000"/>
              <w:right w:val="single" w:sz="4" w:space="0" w:color="000000"/>
            </w:tcBorders>
          </w:tcPr>
          <w:p w14:paraId="189E9D1D" w14:textId="77777777" w:rsidR="004F0634" w:rsidRPr="0000384C" w:rsidRDefault="004F0634" w:rsidP="00987D44">
            <w:pPr>
              <w:ind w:right="7"/>
              <w:jc w:val="center"/>
              <w:rPr>
                <w:rFonts w:ascii="MS Gothic" w:eastAsia="MS Gothic" w:hAnsi="MS Gothic" w:cs="MS Gothic"/>
                <w:color w:val="000000"/>
              </w:rPr>
            </w:pPr>
          </w:p>
        </w:tc>
      </w:tr>
      <w:tr w:rsidR="004F0634" w:rsidRPr="0000384C" w14:paraId="62CAE24D" w14:textId="77777777" w:rsidTr="004F0634">
        <w:trPr>
          <w:trHeight w:val="358"/>
        </w:trPr>
        <w:tc>
          <w:tcPr>
            <w:tcW w:w="5463" w:type="dxa"/>
            <w:tcBorders>
              <w:top w:val="single" w:sz="4" w:space="0" w:color="000000"/>
              <w:left w:val="single" w:sz="4" w:space="0" w:color="000000"/>
              <w:bottom w:val="single" w:sz="4" w:space="0" w:color="000000"/>
              <w:right w:val="single" w:sz="4" w:space="0" w:color="000000"/>
            </w:tcBorders>
          </w:tcPr>
          <w:p w14:paraId="0ABAD748" w14:textId="77777777" w:rsidR="004F0634" w:rsidRPr="0000384C" w:rsidRDefault="004F0634" w:rsidP="00987D44">
            <w:pPr>
              <w:ind w:left="4"/>
              <w:rPr>
                <w:rFonts w:ascii="Calibri" w:eastAsia="Calibri" w:hAnsi="Calibri" w:cs="Calibri"/>
                <w:color w:val="000000"/>
              </w:rPr>
            </w:pPr>
            <w:r w:rsidRPr="0000384C">
              <w:rPr>
                <w:rFonts w:ascii="Calibri" w:eastAsia="Calibri" w:hAnsi="Calibri" w:cs="Calibri"/>
                <w:color w:val="000000"/>
              </w:rPr>
              <w:t>Mental health services  consultations</w:t>
            </w:r>
          </w:p>
        </w:tc>
        <w:tc>
          <w:tcPr>
            <w:tcW w:w="1143" w:type="dxa"/>
            <w:tcBorders>
              <w:top w:val="single" w:sz="4" w:space="0" w:color="000000"/>
              <w:left w:val="single" w:sz="4" w:space="0" w:color="000000"/>
              <w:bottom w:val="single" w:sz="4" w:space="0" w:color="000000"/>
              <w:right w:val="single" w:sz="4" w:space="0" w:color="000000"/>
            </w:tcBorders>
          </w:tcPr>
          <w:p w14:paraId="3CE196FC" w14:textId="77777777" w:rsidR="004F0634" w:rsidRPr="0000384C" w:rsidRDefault="004F0634" w:rsidP="00987D44">
            <w:pPr>
              <w:ind w:right="7"/>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356A135F" w14:textId="77777777" w:rsidR="004F0634" w:rsidRPr="00601813" w:rsidRDefault="004F0634" w:rsidP="00987D44">
            <w:pPr>
              <w:ind w:right="7"/>
              <w:jc w:val="center"/>
              <w:rPr>
                <w:rFonts w:ascii="MS Gothic" w:eastAsia="MS Gothic" w:hAnsi="MS Gothic" w:cs="MS Gothic"/>
                <w:b/>
                <w:color w:val="000000"/>
              </w:rPr>
            </w:pPr>
            <w:r w:rsidRPr="00601813">
              <w:rPr>
                <w:rFonts w:ascii="MS Gothic" w:eastAsia="MS Gothic" w:hAnsi="MS Gothic" w:cs="MS Gothic"/>
                <w:b/>
                <w:color w:val="000000"/>
              </w:rPr>
              <w:t>x</w:t>
            </w:r>
          </w:p>
        </w:tc>
        <w:tc>
          <w:tcPr>
            <w:tcW w:w="1878" w:type="dxa"/>
            <w:tcBorders>
              <w:top w:val="single" w:sz="4" w:space="0" w:color="000000"/>
              <w:left w:val="single" w:sz="4" w:space="0" w:color="000000"/>
              <w:bottom w:val="single" w:sz="4" w:space="0" w:color="000000"/>
              <w:right w:val="single" w:sz="4" w:space="0" w:color="000000"/>
            </w:tcBorders>
          </w:tcPr>
          <w:p w14:paraId="4175E47A" w14:textId="77777777" w:rsidR="004F0634" w:rsidRPr="0000384C" w:rsidRDefault="004F0634" w:rsidP="00987D44">
            <w:pPr>
              <w:ind w:right="7"/>
              <w:jc w:val="center"/>
              <w:rPr>
                <w:rFonts w:ascii="MS Gothic" w:eastAsia="MS Gothic" w:hAnsi="MS Gothic" w:cs="MS Gothic"/>
                <w:color w:val="000000"/>
              </w:rPr>
            </w:pPr>
          </w:p>
        </w:tc>
      </w:tr>
      <w:tr w:rsidR="004F0634" w:rsidRPr="0000384C" w14:paraId="270AB2C2" w14:textId="77777777" w:rsidTr="004F0634">
        <w:trPr>
          <w:trHeight w:val="355"/>
        </w:trPr>
        <w:tc>
          <w:tcPr>
            <w:tcW w:w="5463" w:type="dxa"/>
            <w:tcBorders>
              <w:top w:val="single" w:sz="4" w:space="0" w:color="000000"/>
              <w:left w:val="single" w:sz="4" w:space="0" w:color="000000"/>
              <w:bottom w:val="single" w:sz="4" w:space="0" w:color="000000"/>
              <w:right w:val="single" w:sz="4" w:space="0" w:color="000000"/>
            </w:tcBorders>
          </w:tcPr>
          <w:p w14:paraId="1C5896D7" w14:textId="1B7ED3DD" w:rsidR="004F0634" w:rsidRPr="0000384C" w:rsidRDefault="00C85501" w:rsidP="00F4005B">
            <w:pPr>
              <w:ind w:left="4"/>
              <w:rPr>
                <w:rFonts w:ascii="Calibri" w:eastAsia="Calibri" w:hAnsi="Calibri" w:cs="Calibri"/>
                <w:color w:val="000000"/>
              </w:rPr>
            </w:pPr>
            <w:r>
              <w:rPr>
                <w:rFonts w:ascii="Calibri" w:eastAsia="Calibri" w:hAnsi="Calibri" w:cs="Calibri"/>
                <w:color w:val="000000"/>
              </w:rPr>
              <w:lastRenderedPageBreak/>
              <w:t>Referral</w:t>
            </w:r>
            <w:r w:rsidR="00DC2580">
              <w:rPr>
                <w:rFonts w:ascii="Calibri" w:eastAsia="Calibri" w:hAnsi="Calibri" w:cs="Calibri"/>
                <w:color w:val="000000"/>
              </w:rPr>
              <w:t xml:space="preserve"> and linkage to </w:t>
            </w:r>
            <w:r w:rsidR="00F4005B">
              <w:rPr>
                <w:rFonts w:ascii="Calibri" w:eastAsia="Calibri" w:hAnsi="Calibri" w:cs="Calibri"/>
                <w:color w:val="000000"/>
              </w:rPr>
              <w:t>s</w:t>
            </w:r>
            <w:r w:rsidR="00F4005B" w:rsidRPr="0000384C">
              <w:rPr>
                <w:rFonts w:ascii="Calibri" w:eastAsia="Calibri" w:hAnsi="Calibri" w:cs="Calibri"/>
                <w:color w:val="000000"/>
              </w:rPr>
              <w:t xml:space="preserve">ocial </w:t>
            </w:r>
            <w:r w:rsidR="004F0634" w:rsidRPr="0000384C">
              <w:rPr>
                <w:rFonts w:ascii="Calibri" w:eastAsia="Calibri" w:hAnsi="Calibri" w:cs="Calibri"/>
                <w:color w:val="000000"/>
              </w:rPr>
              <w:t xml:space="preserve">services  </w:t>
            </w:r>
          </w:p>
        </w:tc>
        <w:tc>
          <w:tcPr>
            <w:tcW w:w="1143" w:type="dxa"/>
            <w:tcBorders>
              <w:top w:val="single" w:sz="4" w:space="0" w:color="000000"/>
              <w:left w:val="single" w:sz="4" w:space="0" w:color="000000"/>
              <w:bottom w:val="single" w:sz="4" w:space="0" w:color="000000"/>
              <w:right w:val="single" w:sz="4" w:space="0" w:color="000000"/>
            </w:tcBorders>
          </w:tcPr>
          <w:p w14:paraId="0D9F7B0B" w14:textId="77777777" w:rsidR="004F0634" w:rsidRPr="0000384C" w:rsidRDefault="004F0634" w:rsidP="00987D44">
            <w:pPr>
              <w:ind w:right="7"/>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3A400CAB" w14:textId="77777777" w:rsidR="004F0634" w:rsidRPr="0000384C" w:rsidRDefault="004F0634" w:rsidP="00987D44">
            <w:pPr>
              <w:ind w:right="7"/>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4632D463" w14:textId="77777777" w:rsidR="004F0634" w:rsidRPr="00601813" w:rsidRDefault="004F0634" w:rsidP="00987D44">
            <w:pPr>
              <w:ind w:right="7"/>
              <w:jc w:val="center"/>
              <w:rPr>
                <w:rFonts w:ascii="MS Gothic" w:eastAsia="MS Gothic" w:hAnsi="MS Gothic" w:cs="MS Gothic"/>
                <w:b/>
                <w:color w:val="000000"/>
              </w:rPr>
            </w:pPr>
            <w:r w:rsidRPr="00601813">
              <w:rPr>
                <w:rFonts w:ascii="MS Gothic" w:eastAsia="MS Gothic" w:hAnsi="MS Gothic" w:cs="MS Gothic"/>
                <w:b/>
                <w:color w:val="000000"/>
              </w:rPr>
              <w:t>x</w:t>
            </w:r>
          </w:p>
        </w:tc>
      </w:tr>
      <w:tr w:rsidR="004F0634" w:rsidRPr="0000384C" w14:paraId="6CBC0A06" w14:textId="77777777" w:rsidTr="004F0634">
        <w:trPr>
          <w:trHeight w:val="355"/>
        </w:trPr>
        <w:tc>
          <w:tcPr>
            <w:tcW w:w="5463" w:type="dxa"/>
            <w:tcBorders>
              <w:top w:val="single" w:sz="4" w:space="0" w:color="000000"/>
              <w:left w:val="single" w:sz="4" w:space="0" w:color="000000"/>
              <w:bottom w:val="single" w:sz="4" w:space="0" w:color="000000"/>
              <w:right w:val="single" w:sz="4" w:space="0" w:color="000000"/>
            </w:tcBorders>
          </w:tcPr>
          <w:p w14:paraId="60787951" w14:textId="6B7890A5" w:rsidR="004F0634" w:rsidRPr="0000384C" w:rsidRDefault="00DC2580" w:rsidP="00987D44">
            <w:pPr>
              <w:ind w:left="4"/>
              <w:rPr>
                <w:rFonts w:ascii="Calibri" w:eastAsia="Calibri" w:hAnsi="Calibri" w:cs="Calibri"/>
                <w:color w:val="000000"/>
              </w:rPr>
            </w:pPr>
            <w:r>
              <w:rPr>
                <w:rFonts w:ascii="Calibri" w:eastAsia="Calibri" w:hAnsi="Calibri" w:cs="Calibri"/>
                <w:color w:val="000000"/>
              </w:rPr>
              <w:t>Refer</w:t>
            </w:r>
            <w:r w:rsidR="00C85501">
              <w:rPr>
                <w:rFonts w:ascii="Calibri" w:eastAsia="Calibri" w:hAnsi="Calibri" w:cs="Calibri"/>
                <w:color w:val="000000"/>
              </w:rPr>
              <w:t>ral</w:t>
            </w:r>
            <w:r>
              <w:rPr>
                <w:rFonts w:ascii="Calibri" w:eastAsia="Calibri" w:hAnsi="Calibri" w:cs="Calibri"/>
                <w:color w:val="000000"/>
              </w:rPr>
              <w:t xml:space="preserve"> and linkage to </w:t>
            </w:r>
            <w:r w:rsidR="004F0634" w:rsidRPr="0000384C">
              <w:rPr>
                <w:rFonts w:ascii="Calibri" w:eastAsia="Calibri" w:hAnsi="Calibri" w:cs="Calibri"/>
                <w:color w:val="000000"/>
              </w:rPr>
              <w:t xml:space="preserve">HIV testing  </w:t>
            </w:r>
          </w:p>
        </w:tc>
        <w:tc>
          <w:tcPr>
            <w:tcW w:w="1143" w:type="dxa"/>
            <w:tcBorders>
              <w:top w:val="single" w:sz="4" w:space="0" w:color="000000"/>
              <w:left w:val="single" w:sz="4" w:space="0" w:color="000000"/>
              <w:bottom w:val="single" w:sz="4" w:space="0" w:color="000000"/>
              <w:right w:val="single" w:sz="4" w:space="0" w:color="000000"/>
            </w:tcBorders>
          </w:tcPr>
          <w:p w14:paraId="08D30527" w14:textId="77777777" w:rsidR="004F0634" w:rsidRPr="0000384C" w:rsidRDefault="004F0634" w:rsidP="00987D44">
            <w:pPr>
              <w:ind w:right="7"/>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22794BC9" w14:textId="77777777" w:rsidR="004F0634" w:rsidRPr="0000384C" w:rsidRDefault="004F0634" w:rsidP="00987D44">
            <w:pPr>
              <w:ind w:right="7"/>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225D34B7" w14:textId="77777777" w:rsidR="004F0634" w:rsidRPr="00601813" w:rsidRDefault="004F0634" w:rsidP="00987D44">
            <w:pPr>
              <w:ind w:right="7"/>
              <w:jc w:val="center"/>
              <w:rPr>
                <w:rFonts w:ascii="MS Gothic" w:eastAsia="MS Gothic" w:hAnsi="MS Gothic" w:cs="MS Gothic"/>
                <w:b/>
                <w:color w:val="000000"/>
              </w:rPr>
            </w:pPr>
            <w:r w:rsidRPr="00601813">
              <w:rPr>
                <w:rFonts w:ascii="MS Gothic" w:eastAsia="MS Gothic" w:hAnsi="MS Gothic" w:cs="MS Gothic"/>
                <w:b/>
                <w:color w:val="000000"/>
              </w:rPr>
              <w:t>x</w:t>
            </w:r>
          </w:p>
        </w:tc>
      </w:tr>
      <w:tr w:rsidR="004F0634" w:rsidRPr="0000384C" w14:paraId="6B810671" w14:textId="77777777" w:rsidTr="004F0634">
        <w:trPr>
          <w:trHeight w:val="358"/>
        </w:trPr>
        <w:tc>
          <w:tcPr>
            <w:tcW w:w="5463" w:type="dxa"/>
            <w:tcBorders>
              <w:top w:val="single" w:sz="4" w:space="0" w:color="000000"/>
              <w:left w:val="single" w:sz="4" w:space="0" w:color="000000"/>
              <w:bottom w:val="single" w:sz="4" w:space="0" w:color="000000"/>
              <w:right w:val="single" w:sz="4" w:space="0" w:color="000000"/>
            </w:tcBorders>
          </w:tcPr>
          <w:p w14:paraId="04D97534" w14:textId="7002B380" w:rsidR="004F0634" w:rsidRPr="0000384C" w:rsidRDefault="00DC2580" w:rsidP="00987D44">
            <w:pPr>
              <w:ind w:left="4"/>
              <w:rPr>
                <w:rFonts w:ascii="Calibri" w:eastAsia="Calibri" w:hAnsi="Calibri" w:cs="Calibri"/>
                <w:color w:val="000000"/>
              </w:rPr>
            </w:pPr>
            <w:r>
              <w:rPr>
                <w:rFonts w:ascii="Calibri" w:eastAsia="Calibri" w:hAnsi="Calibri" w:cs="Calibri"/>
                <w:color w:val="000000"/>
              </w:rPr>
              <w:t>Refer</w:t>
            </w:r>
            <w:r w:rsidR="00C85501">
              <w:rPr>
                <w:rFonts w:ascii="Calibri" w:eastAsia="Calibri" w:hAnsi="Calibri" w:cs="Calibri"/>
                <w:color w:val="000000"/>
              </w:rPr>
              <w:t>ral</w:t>
            </w:r>
            <w:r>
              <w:rPr>
                <w:rFonts w:ascii="Calibri" w:eastAsia="Calibri" w:hAnsi="Calibri" w:cs="Calibri"/>
                <w:color w:val="000000"/>
              </w:rPr>
              <w:t xml:space="preserve"> and linkage to hepatitis B (HBV) </w:t>
            </w:r>
            <w:r w:rsidR="004F0634" w:rsidRPr="0000384C">
              <w:rPr>
                <w:rFonts w:ascii="Calibri" w:eastAsia="Calibri" w:hAnsi="Calibri" w:cs="Calibri"/>
                <w:color w:val="000000"/>
              </w:rPr>
              <w:t xml:space="preserve">testing  </w:t>
            </w:r>
          </w:p>
        </w:tc>
        <w:tc>
          <w:tcPr>
            <w:tcW w:w="1143" w:type="dxa"/>
            <w:tcBorders>
              <w:top w:val="single" w:sz="4" w:space="0" w:color="000000"/>
              <w:left w:val="single" w:sz="4" w:space="0" w:color="000000"/>
              <w:bottom w:val="single" w:sz="4" w:space="0" w:color="000000"/>
              <w:right w:val="single" w:sz="4" w:space="0" w:color="000000"/>
            </w:tcBorders>
          </w:tcPr>
          <w:p w14:paraId="25720A75" w14:textId="77777777" w:rsidR="004F0634" w:rsidRPr="0000384C" w:rsidRDefault="004F0634" w:rsidP="00987D44">
            <w:pPr>
              <w:ind w:right="7"/>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2307F7AF" w14:textId="77777777" w:rsidR="004F0634" w:rsidRPr="0000384C" w:rsidRDefault="004F0634" w:rsidP="00987D44">
            <w:pPr>
              <w:ind w:right="7"/>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03B5AB80" w14:textId="77777777" w:rsidR="004F0634" w:rsidRPr="00601813" w:rsidRDefault="004F0634" w:rsidP="00987D44">
            <w:pPr>
              <w:ind w:right="7"/>
              <w:jc w:val="center"/>
              <w:rPr>
                <w:rFonts w:ascii="MS Gothic" w:eastAsia="MS Gothic" w:hAnsi="MS Gothic" w:cs="MS Gothic"/>
                <w:b/>
                <w:color w:val="000000"/>
              </w:rPr>
            </w:pPr>
            <w:r w:rsidRPr="00601813">
              <w:rPr>
                <w:rFonts w:ascii="MS Gothic" w:eastAsia="MS Gothic" w:hAnsi="MS Gothic" w:cs="MS Gothic"/>
                <w:b/>
                <w:color w:val="000000"/>
              </w:rPr>
              <w:t>x</w:t>
            </w:r>
          </w:p>
        </w:tc>
      </w:tr>
      <w:tr w:rsidR="004F0634" w:rsidRPr="0000384C" w14:paraId="6CE2D8D2" w14:textId="77777777" w:rsidTr="004F0634">
        <w:trPr>
          <w:trHeight w:val="355"/>
        </w:trPr>
        <w:tc>
          <w:tcPr>
            <w:tcW w:w="5463" w:type="dxa"/>
            <w:tcBorders>
              <w:top w:val="single" w:sz="4" w:space="0" w:color="000000"/>
              <w:left w:val="single" w:sz="4" w:space="0" w:color="000000"/>
              <w:bottom w:val="single" w:sz="4" w:space="0" w:color="000000"/>
              <w:right w:val="single" w:sz="4" w:space="0" w:color="000000"/>
            </w:tcBorders>
          </w:tcPr>
          <w:p w14:paraId="4FE11F0D" w14:textId="4B41AD55" w:rsidR="004F0634" w:rsidRPr="0000384C" w:rsidRDefault="00DC2580" w:rsidP="00987D44">
            <w:pPr>
              <w:ind w:left="4"/>
              <w:rPr>
                <w:rFonts w:ascii="Calibri" w:eastAsia="Calibri" w:hAnsi="Calibri" w:cs="Calibri"/>
                <w:color w:val="000000"/>
              </w:rPr>
            </w:pPr>
            <w:r>
              <w:rPr>
                <w:rFonts w:ascii="Calibri" w:eastAsia="Calibri" w:hAnsi="Calibri" w:cs="Calibri"/>
                <w:color w:val="000000"/>
              </w:rPr>
              <w:t>Refer</w:t>
            </w:r>
            <w:r w:rsidR="00C85501">
              <w:rPr>
                <w:rFonts w:ascii="Calibri" w:eastAsia="Calibri" w:hAnsi="Calibri" w:cs="Calibri"/>
                <w:color w:val="000000"/>
              </w:rPr>
              <w:t>ral</w:t>
            </w:r>
            <w:r>
              <w:rPr>
                <w:rFonts w:ascii="Calibri" w:eastAsia="Calibri" w:hAnsi="Calibri" w:cs="Calibri"/>
                <w:color w:val="000000"/>
              </w:rPr>
              <w:t xml:space="preserve"> and linkage to hepatitis C (HCV)</w:t>
            </w:r>
            <w:r w:rsidR="004F0634" w:rsidRPr="0000384C">
              <w:rPr>
                <w:rFonts w:ascii="Calibri" w:eastAsia="Calibri" w:hAnsi="Calibri" w:cs="Calibri"/>
                <w:color w:val="000000"/>
              </w:rPr>
              <w:t xml:space="preserve"> testing  </w:t>
            </w:r>
          </w:p>
        </w:tc>
        <w:tc>
          <w:tcPr>
            <w:tcW w:w="1143" w:type="dxa"/>
            <w:tcBorders>
              <w:top w:val="single" w:sz="4" w:space="0" w:color="000000"/>
              <w:left w:val="single" w:sz="4" w:space="0" w:color="000000"/>
              <w:bottom w:val="single" w:sz="4" w:space="0" w:color="000000"/>
              <w:right w:val="single" w:sz="4" w:space="0" w:color="000000"/>
            </w:tcBorders>
          </w:tcPr>
          <w:p w14:paraId="0A711543" w14:textId="77777777" w:rsidR="004F0634" w:rsidRPr="0000384C" w:rsidRDefault="004F0634" w:rsidP="00987D44">
            <w:pPr>
              <w:ind w:right="7"/>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2F494F28" w14:textId="77777777" w:rsidR="004F0634" w:rsidRPr="0000384C" w:rsidRDefault="004F0634" w:rsidP="00987D44">
            <w:pPr>
              <w:ind w:right="7"/>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2A6E84A1" w14:textId="77777777" w:rsidR="004F0634" w:rsidRPr="00601813" w:rsidRDefault="004F0634" w:rsidP="00987D44">
            <w:pPr>
              <w:ind w:right="7"/>
              <w:jc w:val="center"/>
              <w:rPr>
                <w:rFonts w:ascii="MS Gothic" w:eastAsia="MS Gothic" w:hAnsi="MS Gothic" w:cs="MS Gothic"/>
                <w:b/>
                <w:color w:val="000000"/>
              </w:rPr>
            </w:pPr>
            <w:r w:rsidRPr="00601813">
              <w:rPr>
                <w:rFonts w:ascii="MS Gothic" w:eastAsia="MS Gothic" w:hAnsi="MS Gothic" w:cs="MS Gothic"/>
                <w:b/>
                <w:color w:val="000000"/>
              </w:rPr>
              <w:t>x</w:t>
            </w:r>
          </w:p>
        </w:tc>
      </w:tr>
      <w:tr w:rsidR="004F0634" w:rsidRPr="0000384C" w14:paraId="7C3796E5" w14:textId="77777777" w:rsidTr="004F0634">
        <w:trPr>
          <w:trHeight w:val="355"/>
        </w:trPr>
        <w:tc>
          <w:tcPr>
            <w:tcW w:w="5463" w:type="dxa"/>
            <w:tcBorders>
              <w:top w:val="single" w:sz="4" w:space="0" w:color="000000"/>
              <w:left w:val="single" w:sz="4" w:space="0" w:color="000000"/>
              <w:bottom w:val="single" w:sz="4" w:space="0" w:color="000000"/>
              <w:right w:val="single" w:sz="4" w:space="0" w:color="000000"/>
            </w:tcBorders>
          </w:tcPr>
          <w:p w14:paraId="55A4E34E" w14:textId="73783F3E" w:rsidR="004F0634" w:rsidRPr="0000384C" w:rsidRDefault="00DC2580" w:rsidP="00987D44">
            <w:pPr>
              <w:ind w:left="4"/>
              <w:rPr>
                <w:rFonts w:ascii="Calibri" w:eastAsia="Calibri" w:hAnsi="Calibri" w:cs="Calibri"/>
                <w:color w:val="000000"/>
              </w:rPr>
            </w:pPr>
            <w:r>
              <w:rPr>
                <w:rFonts w:ascii="Calibri" w:eastAsia="Calibri" w:hAnsi="Calibri" w:cs="Calibri"/>
                <w:color w:val="000000"/>
              </w:rPr>
              <w:t>Refer</w:t>
            </w:r>
            <w:r w:rsidR="00C85501">
              <w:rPr>
                <w:rFonts w:ascii="Calibri" w:eastAsia="Calibri" w:hAnsi="Calibri" w:cs="Calibri"/>
                <w:color w:val="000000"/>
              </w:rPr>
              <w:t>ral</w:t>
            </w:r>
            <w:r>
              <w:rPr>
                <w:rFonts w:ascii="Calibri" w:eastAsia="Calibri" w:hAnsi="Calibri" w:cs="Calibri"/>
                <w:color w:val="000000"/>
              </w:rPr>
              <w:t xml:space="preserve"> and linkage to tuberculous (</w:t>
            </w:r>
            <w:r w:rsidR="004F0634" w:rsidRPr="0000384C">
              <w:rPr>
                <w:rFonts w:ascii="Calibri" w:eastAsia="Calibri" w:hAnsi="Calibri" w:cs="Calibri"/>
                <w:color w:val="000000"/>
              </w:rPr>
              <w:t>TB</w:t>
            </w:r>
            <w:r>
              <w:rPr>
                <w:rFonts w:ascii="Calibri" w:eastAsia="Calibri" w:hAnsi="Calibri" w:cs="Calibri"/>
                <w:color w:val="000000"/>
              </w:rPr>
              <w:t>)</w:t>
            </w:r>
            <w:r w:rsidR="004F0634" w:rsidRPr="0000384C">
              <w:rPr>
                <w:rFonts w:ascii="Calibri" w:eastAsia="Calibri" w:hAnsi="Calibri" w:cs="Calibri"/>
                <w:color w:val="000000"/>
              </w:rPr>
              <w:t xml:space="preserve"> testing  </w:t>
            </w:r>
          </w:p>
        </w:tc>
        <w:tc>
          <w:tcPr>
            <w:tcW w:w="1143" w:type="dxa"/>
            <w:tcBorders>
              <w:top w:val="single" w:sz="4" w:space="0" w:color="000000"/>
              <w:left w:val="single" w:sz="4" w:space="0" w:color="000000"/>
              <w:bottom w:val="single" w:sz="4" w:space="0" w:color="000000"/>
              <w:right w:val="single" w:sz="4" w:space="0" w:color="000000"/>
            </w:tcBorders>
          </w:tcPr>
          <w:p w14:paraId="31B0FA48" w14:textId="77777777" w:rsidR="004F0634" w:rsidRPr="0000384C" w:rsidRDefault="004F0634" w:rsidP="00987D44">
            <w:pPr>
              <w:ind w:left="2"/>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6D7E78EA" w14:textId="77777777" w:rsidR="004F0634" w:rsidRPr="0000384C" w:rsidRDefault="004F0634" w:rsidP="00987D44">
            <w:pPr>
              <w:ind w:left="2"/>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27F1A444" w14:textId="77777777" w:rsidR="004F0634" w:rsidRPr="00601813" w:rsidRDefault="004F0634" w:rsidP="00987D44">
            <w:pPr>
              <w:ind w:left="2"/>
              <w:jc w:val="center"/>
              <w:rPr>
                <w:rFonts w:ascii="MS Gothic" w:eastAsia="MS Gothic" w:hAnsi="MS Gothic" w:cs="MS Gothic"/>
                <w:b/>
                <w:color w:val="000000"/>
              </w:rPr>
            </w:pPr>
            <w:r w:rsidRPr="00601813">
              <w:rPr>
                <w:rFonts w:ascii="MS Gothic" w:eastAsia="MS Gothic" w:hAnsi="MS Gothic" w:cs="MS Gothic"/>
                <w:b/>
                <w:color w:val="000000"/>
              </w:rPr>
              <w:t>x</w:t>
            </w:r>
          </w:p>
        </w:tc>
      </w:tr>
      <w:tr w:rsidR="004F0634" w:rsidRPr="0000384C" w14:paraId="584C70FE" w14:textId="77777777" w:rsidTr="004F0634">
        <w:trPr>
          <w:trHeight w:val="358"/>
        </w:trPr>
        <w:tc>
          <w:tcPr>
            <w:tcW w:w="5463" w:type="dxa"/>
            <w:tcBorders>
              <w:top w:val="single" w:sz="4" w:space="0" w:color="000000"/>
              <w:left w:val="single" w:sz="4" w:space="0" w:color="000000"/>
              <w:bottom w:val="single" w:sz="4" w:space="0" w:color="000000"/>
              <w:right w:val="single" w:sz="4" w:space="0" w:color="000000"/>
            </w:tcBorders>
          </w:tcPr>
          <w:p w14:paraId="7BA4D95B" w14:textId="0D25407B" w:rsidR="004F0634" w:rsidRPr="0000384C" w:rsidRDefault="00DC2580" w:rsidP="00987D44">
            <w:pPr>
              <w:ind w:left="4"/>
              <w:rPr>
                <w:rFonts w:ascii="Calibri" w:eastAsia="Calibri" w:hAnsi="Calibri" w:cs="Calibri"/>
                <w:color w:val="000000"/>
              </w:rPr>
            </w:pPr>
            <w:r>
              <w:rPr>
                <w:rFonts w:ascii="Calibri" w:eastAsia="Calibri" w:hAnsi="Calibri" w:cs="Calibri"/>
                <w:color w:val="000000"/>
              </w:rPr>
              <w:t>Refer</w:t>
            </w:r>
            <w:r w:rsidR="00C85501">
              <w:rPr>
                <w:rFonts w:ascii="Calibri" w:eastAsia="Calibri" w:hAnsi="Calibri" w:cs="Calibri"/>
                <w:color w:val="000000"/>
              </w:rPr>
              <w:t>ral</w:t>
            </w:r>
            <w:r>
              <w:rPr>
                <w:rFonts w:ascii="Calibri" w:eastAsia="Calibri" w:hAnsi="Calibri" w:cs="Calibri"/>
                <w:color w:val="000000"/>
              </w:rPr>
              <w:t xml:space="preserve"> and linkage to sexually transmitted disease (</w:t>
            </w:r>
            <w:r w:rsidR="004F0634" w:rsidRPr="0000384C">
              <w:rPr>
                <w:rFonts w:ascii="Calibri" w:eastAsia="Calibri" w:hAnsi="Calibri" w:cs="Calibri"/>
                <w:color w:val="000000"/>
              </w:rPr>
              <w:t>STD</w:t>
            </w:r>
            <w:r>
              <w:rPr>
                <w:rFonts w:ascii="Calibri" w:eastAsia="Calibri" w:hAnsi="Calibri" w:cs="Calibri"/>
                <w:color w:val="000000"/>
              </w:rPr>
              <w:t>)</w:t>
            </w:r>
            <w:r w:rsidR="004F0634" w:rsidRPr="0000384C">
              <w:rPr>
                <w:rFonts w:ascii="Calibri" w:eastAsia="Calibri" w:hAnsi="Calibri" w:cs="Calibri"/>
                <w:color w:val="000000"/>
              </w:rPr>
              <w:t xml:space="preserve"> testing  </w:t>
            </w:r>
          </w:p>
        </w:tc>
        <w:tc>
          <w:tcPr>
            <w:tcW w:w="1143" w:type="dxa"/>
            <w:tcBorders>
              <w:top w:val="single" w:sz="4" w:space="0" w:color="000000"/>
              <w:left w:val="single" w:sz="4" w:space="0" w:color="000000"/>
              <w:bottom w:val="single" w:sz="4" w:space="0" w:color="000000"/>
              <w:right w:val="single" w:sz="4" w:space="0" w:color="000000"/>
            </w:tcBorders>
          </w:tcPr>
          <w:p w14:paraId="7E337629" w14:textId="77777777" w:rsidR="004F0634" w:rsidRPr="0000384C" w:rsidRDefault="004F0634" w:rsidP="00987D44">
            <w:pPr>
              <w:ind w:left="2"/>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1748F7B6" w14:textId="77777777" w:rsidR="004F0634" w:rsidRPr="0000384C" w:rsidRDefault="004F0634" w:rsidP="00987D44">
            <w:pPr>
              <w:ind w:left="2"/>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6553BB7C" w14:textId="77777777" w:rsidR="004F0634" w:rsidRPr="00601813" w:rsidRDefault="004F0634" w:rsidP="00987D44">
            <w:pPr>
              <w:ind w:left="2"/>
              <w:jc w:val="center"/>
              <w:rPr>
                <w:rFonts w:ascii="MS Gothic" w:eastAsia="MS Gothic" w:hAnsi="MS Gothic" w:cs="MS Gothic"/>
                <w:b/>
                <w:color w:val="000000"/>
              </w:rPr>
            </w:pPr>
            <w:r w:rsidRPr="00601813">
              <w:rPr>
                <w:rFonts w:ascii="MS Gothic" w:eastAsia="MS Gothic" w:hAnsi="MS Gothic" w:cs="MS Gothic"/>
                <w:b/>
                <w:color w:val="000000"/>
              </w:rPr>
              <w:t>x</w:t>
            </w:r>
          </w:p>
        </w:tc>
      </w:tr>
      <w:tr w:rsidR="004F0634" w:rsidRPr="0000384C" w14:paraId="4228394D" w14:textId="77777777" w:rsidTr="004F0634">
        <w:trPr>
          <w:trHeight w:val="355"/>
        </w:trPr>
        <w:tc>
          <w:tcPr>
            <w:tcW w:w="5463" w:type="dxa"/>
            <w:tcBorders>
              <w:top w:val="single" w:sz="4" w:space="0" w:color="000000"/>
              <w:left w:val="single" w:sz="4" w:space="0" w:color="000000"/>
              <w:bottom w:val="single" w:sz="4" w:space="0" w:color="000000"/>
              <w:right w:val="single" w:sz="4" w:space="0" w:color="000000"/>
            </w:tcBorders>
          </w:tcPr>
          <w:p w14:paraId="07979E2A" w14:textId="148E6EC4" w:rsidR="004F0634" w:rsidRPr="0000384C" w:rsidRDefault="00DC2580" w:rsidP="00DC2580">
            <w:pPr>
              <w:ind w:left="2"/>
              <w:rPr>
                <w:rFonts w:ascii="Calibri" w:eastAsia="Calibri" w:hAnsi="Calibri" w:cs="Calibri"/>
                <w:color w:val="000000"/>
              </w:rPr>
            </w:pPr>
            <w:r>
              <w:rPr>
                <w:rFonts w:ascii="Calibri" w:eastAsia="Calibri" w:hAnsi="Calibri" w:cs="Calibri"/>
                <w:color w:val="000000"/>
              </w:rPr>
              <w:t>Refer</w:t>
            </w:r>
            <w:r w:rsidR="00C85501">
              <w:rPr>
                <w:rFonts w:ascii="Calibri" w:eastAsia="Calibri" w:hAnsi="Calibri" w:cs="Calibri"/>
                <w:color w:val="000000"/>
              </w:rPr>
              <w:t>ral</w:t>
            </w:r>
            <w:r>
              <w:rPr>
                <w:rFonts w:ascii="Calibri" w:eastAsia="Calibri" w:hAnsi="Calibri" w:cs="Calibri"/>
                <w:color w:val="000000"/>
              </w:rPr>
              <w:t xml:space="preserve"> and linkage to hepatitis A and  HBV</w:t>
            </w:r>
            <w:r w:rsidR="004F0634" w:rsidRPr="0000384C">
              <w:rPr>
                <w:rFonts w:ascii="Calibri" w:eastAsia="Calibri" w:hAnsi="Calibri" w:cs="Calibri"/>
                <w:color w:val="000000"/>
              </w:rPr>
              <w:t xml:space="preserve"> vaccination  </w:t>
            </w:r>
          </w:p>
        </w:tc>
        <w:tc>
          <w:tcPr>
            <w:tcW w:w="1143" w:type="dxa"/>
            <w:tcBorders>
              <w:top w:val="single" w:sz="4" w:space="0" w:color="000000"/>
              <w:left w:val="single" w:sz="4" w:space="0" w:color="000000"/>
              <w:bottom w:val="single" w:sz="4" w:space="0" w:color="000000"/>
              <w:right w:val="single" w:sz="4" w:space="0" w:color="000000"/>
            </w:tcBorders>
          </w:tcPr>
          <w:p w14:paraId="5E9B5539" w14:textId="77777777" w:rsidR="004F0634" w:rsidRPr="0000384C" w:rsidRDefault="004F0634" w:rsidP="00987D44">
            <w:pPr>
              <w:ind w:left="121"/>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08214CBE" w14:textId="77777777" w:rsidR="004F0634" w:rsidRPr="0000384C" w:rsidRDefault="004F0634" w:rsidP="00987D44">
            <w:pPr>
              <w:ind w:left="121"/>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0089D11F" w14:textId="77777777" w:rsidR="004F0634" w:rsidRPr="00601813" w:rsidRDefault="004F0634" w:rsidP="00987D44">
            <w:pPr>
              <w:ind w:left="121"/>
              <w:jc w:val="center"/>
              <w:rPr>
                <w:rFonts w:ascii="MS Gothic" w:eastAsia="MS Gothic" w:hAnsi="MS Gothic" w:cs="MS Gothic"/>
                <w:b/>
                <w:color w:val="000000"/>
              </w:rPr>
            </w:pPr>
            <w:r w:rsidRPr="00601813">
              <w:rPr>
                <w:rFonts w:ascii="MS Gothic" w:eastAsia="MS Gothic" w:hAnsi="MS Gothic" w:cs="MS Gothic"/>
                <w:b/>
                <w:color w:val="000000"/>
              </w:rPr>
              <w:t>x</w:t>
            </w:r>
          </w:p>
        </w:tc>
      </w:tr>
      <w:tr w:rsidR="004F0634" w:rsidRPr="0000384C" w14:paraId="199DDD89" w14:textId="77777777" w:rsidTr="004F0634">
        <w:trPr>
          <w:trHeight w:val="358"/>
        </w:trPr>
        <w:tc>
          <w:tcPr>
            <w:tcW w:w="5463" w:type="dxa"/>
            <w:tcBorders>
              <w:top w:val="single" w:sz="4" w:space="0" w:color="000000"/>
              <w:left w:val="single" w:sz="4" w:space="0" w:color="000000"/>
              <w:bottom w:val="single" w:sz="4" w:space="0" w:color="000000"/>
              <w:right w:val="single" w:sz="4" w:space="0" w:color="000000"/>
            </w:tcBorders>
          </w:tcPr>
          <w:p w14:paraId="1C2B0ACE" w14:textId="1EFBD045" w:rsidR="004F0634" w:rsidRPr="0000384C" w:rsidRDefault="00DC2580" w:rsidP="00987D44">
            <w:pPr>
              <w:ind w:left="2"/>
              <w:rPr>
                <w:rFonts w:ascii="Calibri" w:eastAsia="Calibri" w:hAnsi="Calibri" w:cs="Calibri"/>
                <w:color w:val="000000"/>
              </w:rPr>
            </w:pPr>
            <w:r>
              <w:rPr>
                <w:rFonts w:ascii="Calibri" w:eastAsia="Calibri" w:hAnsi="Calibri" w:cs="Calibri"/>
                <w:color w:val="000000"/>
              </w:rPr>
              <w:t>Refer</w:t>
            </w:r>
            <w:r w:rsidR="00C85501">
              <w:rPr>
                <w:rFonts w:ascii="Calibri" w:eastAsia="Calibri" w:hAnsi="Calibri" w:cs="Calibri"/>
                <w:color w:val="000000"/>
              </w:rPr>
              <w:t>ral</w:t>
            </w:r>
            <w:r>
              <w:rPr>
                <w:rFonts w:ascii="Calibri" w:eastAsia="Calibri" w:hAnsi="Calibri" w:cs="Calibri"/>
                <w:color w:val="000000"/>
              </w:rPr>
              <w:t xml:space="preserve"> and linkage to </w:t>
            </w:r>
            <w:r w:rsidR="004F0634" w:rsidRPr="0000384C">
              <w:rPr>
                <w:rFonts w:ascii="Calibri" w:eastAsia="Calibri" w:hAnsi="Calibri" w:cs="Calibri"/>
                <w:color w:val="000000"/>
              </w:rPr>
              <w:t xml:space="preserve">HIV pre-exposure prophylaxis (PrEP)  </w:t>
            </w:r>
          </w:p>
        </w:tc>
        <w:tc>
          <w:tcPr>
            <w:tcW w:w="1143" w:type="dxa"/>
            <w:tcBorders>
              <w:top w:val="single" w:sz="4" w:space="0" w:color="000000"/>
              <w:left w:val="single" w:sz="4" w:space="0" w:color="000000"/>
              <w:bottom w:val="single" w:sz="4" w:space="0" w:color="000000"/>
              <w:right w:val="single" w:sz="4" w:space="0" w:color="000000"/>
            </w:tcBorders>
          </w:tcPr>
          <w:p w14:paraId="3A4A38E2" w14:textId="77777777" w:rsidR="004F0634" w:rsidRPr="0000384C" w:rsidRDefault="004F0634" w:rsidP="00987D44">
            <w:pPr>
              <w:ind w:left="121"/>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4C750AD8" w14:textId="77777777" w:rsidR="004F0634" w:rsidRPr="0000384C" w:rsidRDefault="004F0634" w:rsidP="00987D44">
            <w:pPr>
              <w:ind w:left="121"/>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412DEB04" w14:textId="77777777" w:rsidR="004F0634" w:rsidRPr="00601813" w:rsidRDefault="004F0634" w:rsidP="00987D44">
            <w:pPr>
              <w:ind w:left="121"/>
              <w:jc w:val="center"/>
              <w:rPr>
                <w:rFonts w:ascii="MS Gothic" w:eastAsia="MS Gothic" w:hAnsi="MS Gothic" w:cs="MS Gothic"/>
                <w:b/>
                <w:color w:val="000000"/>
              </w:rPr>
            </w:pPr>
            <w:r w:rsidRPr="00601813">
              <w:rPr>
                <w:rFonts w:ascii="MS Gothic" w:eastAsia="MS Gothic" w:hAnsi="MS Gothic" w:cs="MS Gothic"/>
                <w:b/>
                <w:color w:val="000000"/>
              </w:rPr>
              <w:t>x</w:t>
            </w:r>
          </w:p>
        </w:tc>
      </w:tr>
      <w:tr w:rsidR="004F0634" w:rsidRPr="0000384C" w14:paraId="60D1AC25" w14:textId="77777777" w:rsidTr="004F0634">
        <w:trPr>
          <w:trHeight w:val="355"/>
        </w:trPr>
        <w:tc>
          <w:tcPr>
            <w:tcW w:w="5463" w:type="dxa"/>
            <w:tcBorders>
              <w:top w:val="single" w:sz="4" w:space="0" w:color="000000"/>
              <w:left w:val="single" w:sz="4" w:space="0" w:color="000000"/>
              <w:bottom w:val="single" w:sz="4" w:space="0" w:color="000000"/>
              <w:right w:val="single" w:sz="4" w:space="0" w:color="000000"/>
            </w:tcBorders>
          </w:tcPr>
          <w:p w14:paraId="58488585" w14:textId="16DFEEE7" w:rsidR="004F0634" w:rsidRPr="0000384C" w:rsidRDefault="00DC2580" w:rsidP="00987D44">
            <w:pPr>
              <w:ind w:left="2"/>
              <w:rPr>
                <w:rFonts w:ascii="Calibri" w:eastAsia="Calibri" w:hAnsi="Calibri" w:cs="Calibri"/>
                <w:color w:val="000000"/>
              </w:rPr>
            </w:pPr>
            <w:r>
              <w:rPr>
                <w:rFonts w:ascii="Calibri" w:eastAsia="Calibri" w:hAnsi="Calibri" w:cs="Calibri"/>
                <w:color w:val="000000"/>
              </w:rPr>
              <w:t>Refer</w:t>
            </w:r>
            <w:r w:rsidR="00C85501">
              <w:rPr>
                <w:rFonts w:ascii="Calibri" w:eastAsia="Calibri" w:hAnsi="Calibri" w:cs="Calibri"/>
                <w:color w:val="000000"/>
              </w:rPr>
              <w:t>ral</w:t>
            </w:r>
            <w:r>
              <w:rPr>
                <w:rFonts w:ascii="Calibri" w:eastAsia="Calibri" w:hAnsi="Calibri" w:cs="Calibri"/>
                <w:color w:val="000000"/>
              </w:rPr>
              <w:t xml:space="preserve"> and linkage to </w:t>
            </w:r>
            <w:r w:rsidR="004F0634" w:rsidRPr="0000384C">
              <w:rPr>
                <w:rFonts w:ascii="Calibri" w:eastAsia="Calibri" w:hAnsi="Calibri" w:cs="Calibri"/>
                <w:color w:val="000000"/>
              </w:rPr>
              <w:t xml:space="preserve">HIV post-exposure prophylaxis (PEP)  </w:t>
            </w:r>
          </w:p>
        </w:tc>
        <w:tc>
          <w:tcPr>
            <w:tcW w:w="1143" w:type="dxa"/>
            <w:tcBorders>
              <w:top w:val="single" w:sz="4" w:space="0" w:color="000000"/>
              <w:left w:val="single" w:sz="4" w:space="0" w:color="000000"/>
              <w:bottom w:val="single" w:sz="4" w:space="0" w:color="000000"/>
              <w:right w:val="single" w:sz="4" w:space="0" w:color="000000"/>
            </w:tcBorders>
          </w:tcPr>
          <w:p w14:paraId="7137145B" w14:textId="77777777" w:rsidR="004F0634" w:rsidRPr="0000384C" w:rsidRDefault="004F0634" w:rsidP="00987D44">
            <w:pPr>
              <w:ind w:left="121"/>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6914ED7A" w14:textId="77777777" w:rsidR="004F0634" w:rsidRPr="0000384C" w:rsidRDefault="004F0634" w:rsidP="00987D44">
            <w:pPr>
              <w:ind w:left="121"/>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62E75C6D" w14:textId="77777777" w:rsidR="004F0634" w:rsidRPr="00601813" w:rsidRDefault="004F0634" w:rsidP="00987D44">
            <w:pPr>
              <w:ind w:left="121"/>
              <w:jc w:val="center"/>
              <w:rPr>
                <w:rFonts w:ascii="MS Gothic" w:eastAsia="MS Gothic" w:hAnsi="MS Gothic" w:cs="MS Gothic"/>
                <w:b/>
                <w:color w:val="000000"/>
              </w:rPr>
            </w:pPr>
            <w:r w:rsidRPr="00601813">
              <w:rPr>
                <w:rFonts w:ascii="MS Gothic" w:eastAsia="MS Gothic" w:hAnsi="MS Gothic" w:cs="MS Gothic"/>
                <w:b/>
                <w:color w:val="000000"/>
              </w:rPr>
              <w:t>x</w:t>
            </w:r>
          </w:p>
        </w:tc>
      </w:tr>
      <w:tr w:rsidR="004F0634" w:rsidRPr="0000384C" w14:paraId="14C363D5" w14:textId="77777777" w:rsidTr="004F0634">
        <w:trPr>
          <w:trHeight w:val="388"/>
        </w:trPr>
        <w:tc>
          <w:tcPr>
            <w:tcW w:w="5463" w:type="dxa"/>
            <w:tcBorders>
              <w:top w:val="single" w:sz="4" w:space="0" w:color="000000"/>
              <w:left w:val="single" w:sz="4" w:space="0" w:color="000000"/>
              <w:bottom w:val="single" w:sz="4" w:space="0" w:color="000000"/>
              <w:right w:val="single" w:sz="4" w:space="0" w:color="000000"/>
            </w:tcBorders>
          </w:tcPr>
          <w:p w14:paraId="66C5EC85" w14:textId="78840F97" w:rsidR="004F0634" w:rsidRPr="0000384C" w:rsidRDefault="00DC2580" w:rsidP="00987D44">
            <w:pPr>
              <w:ind w:left="2"/>
              <w:rPr>
                <w:rFonts w:ascii="Calibri" w:eastAsia="Calibri" w:hAnsi="Calibri" w:cs="Calibri"/>
                <w:color w:val="000000"/>
              </w:rPr>
            </w:pPr>
            <w:r>
              <w:rPr>
                <w:rFonts w:ascii="Calibri" w:eastAsia="Calibri" w:hAnsi="Calibri" w:cs="Calibri"/>
                <w:color w:val="000000"/>
              </w:rPr>
              <w:t>Refe</w:t>
            </w:r>
            <w:r w:rsidR="00C85501">
              <w:rPr>
                <w:rFonts w:ascii="Calibri" w:eastAsia="Calibri" w:hAnsi="Calibri" w:cs="Calibri"/>
                <w:color w:val="000000"/>
              </w:rPr>
              <w:t>r</w:t>
            </w:r>
            <w:r>
              <w:rPr>
                <w:rFonts w:ascii="Calibri" w:eastAsia="Calibri" w:hAnsi="Calibri" w:cs="Calibri"/>
                <w:color w:val="000000"/>
              </w:rPr>
              <w:t>r</w:t>
            </w:r>
            <w:r w:rsidR="00C85501">
              <w:rPr>
                <w:rFonts w:ascii="Calibri" w:eastAsia="Calibri" w:hAnsi="Calibri" w:cs="Calibri"/>
                <w:color w:val="000000"/>
              </w:rPr>
              <w:t>al</w:t>
            </w:r>
            <w:r>
              <w:rPr>
                <w:rFonts w:ascii="Calibri" w:eastAsia="Calibri" w:hAnsi="Calibri" w:cs="Calibri"/>
                <w:color w:val="000000"/>
              </w:rPr>
              <w:t xml:space="preserve"> and linkage to </w:t>
            </w:r>
            <w:r w:rsidR="00395726">
              <w:rPr>
                <w:rFonts w:ascii="Calibri" w:eastAsia="Calibri" w:hAnsi="Calibri" w:cs="Calibri"/>
                <w:color w:val="000000"/>
              </w:rPr>
              <w:t>h</w:t>
            </w:r>
            <w:r w:rsidR="004F0634" w:rsidRPr="0000384C">
              <w:rPr>
                <w:rFonts w:ascii="Calibri" w:eastAsia="Calibri" w:hAnsi="Calibri" w:cs="Calibri"/>
                <w:color w:val="000000"/>
              </w:rPr>
              <w:t xml:space="preserve">ealth insurance enrollment assistance  </w:t>
            </w:r>
          </w:p>
        </w:tc>
        <w:tc>
          <w:tcPr>
            <w:tcW w:w="1143" w:type="dxa"/>
            <w:tcBorders>
              <w:top w:val="single" w:sz="4" w:space="0" w:color="000000"/>
              <w:left w:val="single" w:sz="4" w:space="0" w:color="000000"/>
              <w:bottom w:val="single" w:sz="4" w:space="0" w:color="000000"/>
              <w:right w:val="single" w:sz="4" w:space="0" w:color="000000"/>
            </w:tcBorders>
          </w:tcPr>
          <w:p w14:paraId="520F856E" w14:textId="77777777" w:rsidR="004F0634" w:rsidRPr="0000384C" w:rsidRDefault="004F0634" w:rsidP="00987D44">
            <w:pPr>
              <w:ind w:left="121"/>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387EA201" w14:textId="77777777" w:rsidR="004F0634" w:rsidRPr="0000384C" w:rsidRDefault="004F0634" w:rsidP="00987D44">
            <w:pPr>
              <w:ind w:left="121"/>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6D19E06B" w14:textId="77777777" w:rsidR="004F0634" w:rsidRPr="00601813" w:rsidRDefault="004F0634" w:rsidP="00987D44">
            <w:pPr>
              <w:ind w:left="121"/>
              <w:jc w:val="center"/>
              <w:rPr>
                <w:rFonts w:ascii="MS Gothic" w:eastAsia="MS Gothic" w:hAnsi="MS Gothic" w:cs="MS Gothic"/>
                <w:b/>
                <w:color w:val="000000"/>
              </w:rPr>
            </w:pPr>
            <w:r w:rsidRPr="00601813">
              <w:rPr>
                <w:rFonts w:ascii="MS Gothic" w:eastAsia="MS Gothic" w:hAnsi="MS Gothic" w:cs="MS Gothic"/>
                <w:b/>
                <w:color w:val="000000"/>
              </w:rPr>
              <w:t>x</w:t>
            </w:r>
          </w:p>
        </w:tc>
      </w:tr>
      <w:tr w:rsidR="004F0634" w:rsidRPr="0000384C" w14:paraId="1002BBAA" w14:textId="77777777" w:rsidTr="000159A5">
        <w:trPr>
          <w:trHeight w:val="748"/>
        </w:trPr>
        <w:tc>
          <w:tcPr>
            <w:tcW w:w="5463" w:type="dxa"/>
            <w:tcBorders>
              <w:top w:val="single" w:sz="4" w:space="0" w:color="000000"/>
              <w:left w:val="single" w:sz="4" w:space="0" w:color="000000"/>
              <w:bottom w:val="single" w:sz="4" w:space="0" w:color="000000"/>
              <w:right w:val="single" w:sz="4" w:space="0" w:color="000000"/>
            </w:tcBorders>
          </w:tcPr>
          <w:p w14:paraId="26D998B4" w14:textId="7D570E0F" w:rsidR="004F0634" w:rsidRPr="0000384C" w:rsidRDefault="00C85501" w:rsidP="000159A5">
            <w:pPr>
              <w:ind w:left="2" w:right="117"/>
              <w:rPr>
                <w:rFonts w:ascii="Calibri" w:eastAsia="Calibri" w:hAnsi="Calibri" w:cs="Calibri"/>
                <w:color w:val="000000"/>
              </w:rPr>
            </w:pPr>
            <w:r>
              <w:rPr>
                <w:rFonts w:ascii="Calibri" w:eastAsia="Calibri" w:hAnsi="Calibri" w:cs="Calibri"/>
                <w:color w:val="000000"/>
              </w:rPr>
              <w:t>Referral;</w:t>
            </w:r>
            <w:r w:rsidR="00DC2580">
              <w:rPr>
                <w:rFonts w:ascii="Calibri" w:eastAsia="Calibri" w:hAnsi="Calibri" w:cs="Calibri"/>
                <w:color w:val="000000"/>
              </w:rPr>
              <w:t xml:space="preserve"> and linkage to </w:t>
            </w:r>
            <w:r w:rsidR="00395726">
              <w:rPr>
                <w:rFonts w:ascii="Calibri" w:eastAsia="Calibri" w:hAnsi="Calibri" w:cs="Calibri"/>
                <w:color w:val="000000"/>
              </w:rPr>
              <w:t>m</w:t>
            </w:r>
            <w:r w:rsidR="004F0634" w:rsidRPr="0000384C">
              <w:rPr>
                <w:rFonts w:ascii="Calibri" w:eastAsia="Calibri" w:hAnsi="Calibri" w:cs="Calibri"/>
                <w:color w:val="000000"/>
              </w:rPr>
              <w:t xml:space="preserve">edical care and treatment for HIV, HBV, HCV, TB, STDs, and common complications of injecting  </w:t>
            </w:r>
          </w:p>
        </w:tc>
        <w:tc>
          <w:tcPr>
            <w:tcW w:w="1143" w:type="dxa"/>
            <w:tcBorders>
              <w:top w:val="single" w:sz="4" w:space="0" w:color="000000"/>
              <w:left w:val="single" w:sz="4" w:space="0" w:color="000000"/>
              <w:bottom w:val="single" w:sz="4" w:space="0" w:color="000000"/>
              <w:right w:val="single" w:sz="4" w:space="0" w:color="000000"/>
            </w:tcBorders>
          </w:tcPr>
          <w:p w14:paraId="04C3FF52" w14:textId="77777777" w:rsidR="004F0634" w:rsidRPr="0000384C" w:rsidRDefault="004F0634" w:rsidP="00987D44">
            <w:pPr>
              <w:ind w:left="121"/>
              <w:jc w:val="center"/>
              <w:rPr>
                <w:rFonts w:ascii="Calibri" w:eastAsia="Calibri" w:hAnsi="Calibri" w:cs="Calibri"/>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6E269CAA" w14:textId="77777777" w:rsidR="004F0634" w:rsidRPr="0000384C" w:rsidRDefault="004F0634" w:rsidP="00987D44">
            <w:pPr>
              <w:ind w:left="121"/>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5A552895" w14:textId="77777777" w:rsidR="004F0634" w:rsidRPr="00601813" w:rsidRDefault="004F0634" w:rsidP="00987D44">
            <w:pPr>
              <w:ind w:left="121"/>
              <w:jc w:val="center"/>
              <w:rPr>
                <w:rFonts w:ascii="MS Gothic" w:eastAsia="MS Gothic" w:hAnsi="MS Gothic" w:cs="MS Gothic"/>
                <w:b/>
                <w:color w:val="000000"/>
              </w:rPr>
            </w:pPr>
            <w:r w:rsidRPr="00601813">
              <w:rPr>
                <w:rFonts w:ascii="MS Gothic" w:eastAsia="MS Gothic" w:hAnsi="MS Gothic" w:cs="MS Gothic"/>
                <w:b/>
                <w:color w:val="000000"/>
              </w:rPr>
              <w:t>x</w:t>
            </w:r>
          </w:p>
        </w:tc>
      </w:tr>
      <w:tr w:rsidR="004F0634" w:rsidRPr="0000384C" w14:paraId="526C687D" w14:textId="77777777" w:rsidTr="000159A5">
        <w:trPr>
          <w:trHeight w:val="271"/>
        </w:trPr>
        <w:tc>
          <w:tcPr>
            <w:tcW w:w="5463" w:type="dxa"/>
            <w:tcBorders>
              <w:top w:val="single" w:sz="4" w:space="0" w:color="000000"/>
              <w:left w:val="single" w:sz="4" w:space="0" w:color="000000"/>
              <w:bottom w:val="single" w:sz="4" w:space="0" w:color="000000"/>
              <w:right w:val="single" w:sz="4" w:space="0" w:color="000000"/>
            </w:tcBorders>
          </w:tcPr>
          <w:p w14:paraId="53E632F0" w14:textId="0FC35F8C" w:rsidR="004F0634" w:rsidRPr="0000384C" w:rsidRDefault="00DC2580" w:rsidP="000159A5">
            <w:pPr>
              <w:ind w:left="2" w:right="117"/>
              <w:rPr>
                <w:rFonts w:ascii="Calibri" w:eastAsia="Calibri" w:hAnsi="Calibri" w:cs="Calibri"/>
                <w:color w:val="000000"/>
              </w:rPr>
            </w:pPr>
            <w:r>
              <w:rPr>
                <w:rFonts w:ascii="Calibri" w:eastAsia="Calibri" w:hAnsi="Calibri" w:cs="Calibri"/>
                <w:color w:val="000000"/>
              </w:rPr>
              <w:t xml:space="preserve">Condom </w:t>
            </w:r>
            <w:r w:rsidR="00395726">
              <w:rPr>
                <w:rFonts w:ascii="Calibri" w:eastAsia="Calibri" w:hAnsi="Calibri" w:cs="Calibri"/>
                <w:color w:val="000000"/>
              </w:rPr>
              <w:t>d</w:t>
            </w:r>
            <w:r>
              <w:rPr>
                <w:rFonts w:ascii="Calibri" w:eastAsia="Calibri" w:hAnsi="Calibri" w:cs="Calibri"/>
                <w:color w:val="000000"/>
              </w:rPr>
              <w:t>istribution</w:t>
            </w:r>
          </w:p>
        </w:tc>
        <w:tc>
          <w:tcPr>
            <w:tcW w:w="1143" w:type="dxa"/>
            <w:tcBorders>
              <w:top w:val="single" w:sz="4" w:space="0" w:color="000000"/>
              <w:left w:val="single" w:sz="4" w:space="0" w:color="000000"/>
              <w:bottom w:val="single" w:sz="4" w:space="0" w:color="000000"/>
              <w:right w:val="single" w:sz="4" w:space="0" w:color="000000"/>
            </w:tcBorders>
          </w:tcPr>
          <w:p w14:paraId="413CF449" w14:textId="77777777" w:rsidR="004F0634" w:rsidRPr="0000384C" w:rsidRDefault="004F0634" w:rsidP="00987D44">
            <w:pPr>
              <w:ind w:left="121"/>
              <w:jc w:val="center"/>
              <w:rPr>
                <w:rFonts w:ascii="MS Gothic" w:eastAsia="MS Gothic" w:hAnsi="MS Gothic" w:cs="MS Gothic"/>
                <w:color w:val="000000"/>
              </w:rPr>
            </w:pPr>
          </w:p>
        </w:tc>
        <w:tc>
          <w:tcPr>
            <w:tcW w:w="1613" w:type="dxa"/>
            <w:tcBorders>
              <w:top w:val="single" w:sz="4" w:space="0" w:color="000000"/>
              <w:left w:val="single" w:sz="4" w:space="0" w:color="000000"/>
              <w:bottom w:val="single" w:sz="4" w:space="0" w:color="000000"/>
              <w:right w:val="single" w:sz="4" w:space="0" w:color="000000"/>
            </w:tcBorders>
          </w:tcPr>
          <w:p w14:paraId="5A7458DA" w14:textId="77777777" w:rsidR="004F0634" w:rsidRPr="0000384C" w:rsidRDefault="004F0634" w:rsidP="00987D44">
            <w:pPr>
              <w:ind w:left="121"/>
              <w:jc w:val="center"/>
              <w:rPr>
                <w:rFonts w:ascii="MS Gothic" w:eastAsia="MS Gothic" w:hAnsi="MS Gothic" w:cs="MS Gothic"/>
                <w:color w:val="000000"/>
              </w:rPr>
            </w:pPr>
          </w:p>
        </w:tc>
        <w:tc>
          <w:tcPr>
            <w:tcW w:w="1878" w:type="dxa"/>
            <w:tcBorders>
              <w:top w:val="single" w:sz="4" w:space="0" w:color="000000"/>
              <w:left w:val="single" w:sz="4" w:space="0" w:color="000000"/>
              <w:bottom w:val="single" w:sz="4" w:space="0" w:color="000000"/>
              <w:right w:val="single" w:sz="4" w:space="0" w:color="000000"/>
            </w:tcBorders>
          </w:tcPr>
          <w:p w14:paraId="3C819636" w14:textId="77777777" w:rsidR="004F0634" w:rsidRPr="00601813" w:rsidRDefault="004F0634" w:rsidP="00987D44">
            <w:pPr>
              <w:ind w:left="121"/>
              <w:jc w:val="center"/>
              <w:rPr>
                <w:rFonts w:ascii="MS Gothic" w:eastAsia="MS Gothic" w:hAnsi="MS Gothic" w:cs="MS Gothic"/>
                <w:b/>
                <w:color w:val="000000"/>
              </w:rPr>
            </w:pPr>
            <w:r w:rsidRPr="00601813">
              <w:rPr>
                <w:rFonts w:ascii="MS Gothic" w:eastAsia="MS Gothic" w:hAnsi="MS Gothic" w:cs="MS Gothic"/>
                <w:b/>
                <w:color w:val="000000"/>
              </w:rPr>
              <w:t>x</w:t>
            </w:r>
          </w:p>
        </w:tc>
      </w:tr>
    </w:tbl>
    <w:p w14:paraId="50639DC3" w14:textId="77777777" w:rsidR="000159A5" w:rsidRDefault="000159A5">
      <w:pPr>
        <w:rPr>
          <w:rFonts w:cstheme="minorHAnsi"/>
          <w:b/>
          <w:sz w:val="24"/>
          <w:szCs w:val="24"/>
          <w:u w:val="single"/>
        </w:rPr>
      </w:pPr>
    </w:p>
    <w:p w14:paraId="6B9633AE" w14:textId="1652624E" w:rsidR="002F2954" w:rsidRPr="00F94FE8" w:rsidRDefault="000159A5" w:rsidP="000159A5">
      <w:pPr>
        <w:rPr>
          <w:rFonts w:cstheme="minorHAnsi"/>
          <w:sz w:val="24"/>
          <w:szCs w:val="24"/>
        </w:rPr>
      </w:pPr>
      <w:r>
        <w:rPr>
          <w:rFonts w:cstheme="minorHAnsi"/>
          <w:sz w:val="24"/>
          <w:szCs w:val="24"/>
        </w:rPr>
        <w:t>*When “must</w:t>
      </w:r>
      <w:r w:rsidR="00601813">
        <w:rPr>
          <w:rFonts w:cstheme="minorHAnsi"/>
          <w:sz w:val="24"/>
          <w:szCs w:val="24"/>
        </w:rPr>
        <w:t>”</w:t>
      </w:r>
      <w:r>
        <w:rPr>
          <w:rFonts w:cstheme="minorHAnsi"/>
          <w:sz w:val="24"/>
          <w:szCs w:val="24"/>
        </w:rPr>
        <w:t xml:space="preserve"> and </w:t>
      </w:r>
      <w:r w:rsidR="00601813">
        <w:rPr>
          <w:rFonts w:cstheme="minorHAnsi"/>
          <w:sz w:val="24"/>
          <w:szCs w:val="24"/>
        </w:rPr>
        <w:t>“</w:t>
      </w:r>
      <w:r>
        <w:rPr>
          <w:rFonts w:cstheme="minorHAnsi"/>
          <w:sz w:val="24"/>
          <w:szCs w:val="24"/>
        </w:rPr>
        <w:t>shall” are used in this document, this is a mandatory requirement</w:t>
      </w:r>
      <w:r w:rsidR="00334111">
        <w:rPr>
          <w:rFonts w:cstheme="minorHAnsi"/>
          <w:sz w:val="24"/>
          <w:szCs w:val="24"/>
        </w:rPr>
        <w:t xml:space="preserve">.  </w:t>
      </w:r>
      <w:r>
        <w:rPr>
          <w:rFonts w:cstheme="minorHAnsi"/>
          <w:sz w:val="24"/>
          <w:szCs w:val="24"/>
        </w:rPr>
        <w:t>Failure to comply could mean losing authorization to perform CHR in Virginia</w:t>
      </w:r>
      <w:r w:rsidR="00334111">
        <w:rPr>
          <w:rFonts w:cstheme="minorHAnsi"/>
          <w:sz w:val="24"/>
          <w:szCs w:val="24"/>
        </w:rPr>
        <w:t xml:space="preserve">. </w:t>
      </w:r>
      <w:r>
        <w:rPr>
          <w:rFonts w:cstheme="minorHAnsi"/>
          <w:sz w:val="24"/>
          <w:szCs w:val="24"/>
        </w:rPr>
        <w:t xml:space="preserve"> When “should</w:t>
      </w:r>
      <w:r w:rsidR="00601813">
        <w:rPr>
          <w:rFonts w:cstheme="minorHAnsi"/>
          <w:sz w:val="24"/>
          <w:szCs w:val="24"/>
        </w:rPr>
        <w:t>”</w:t>
      </w:r>
      <w:r>
        <w:rPr>
          <w:rFonts w:cstheme="minorHAnsi"/>
          <w:sz w:val="24"/>
          <w:szCs w:val="24"/>
        </w:rPr>
        <w:t xml:space="preserve">, </w:t>
      </w:r>
      <w:r w:rsidR="00601813">
        <w:rPr>
          <w:rFonts w:cstheme="minorHAnsi"/>
          <w:sz w:val="24"/>
          <w:szCs w:val="24"/>
        </w:rPr>
        <w:t>“</w:t>
      </w:r>
      <w:r>
        <w:rPr>
          <w:rFonts w:cstheme="minorHAnsi"/>
          <w:sz w:val="24"/>
          <w:szCs w:val="24"/>
        </w:rPr>
        <w:t>may</w:t>
      </w:r>
      <w:r w:rsidR="00601813">
        <w:rPr>
          <w:rFonts w:cstheme="minorHAnsi"/>
          <w:sz w:val="24"/>
          <w:szCs w:val="24"/>
        </w:rPr>
        <w:t>”</w:t>
      </w:r>
      <w:r>
        <w:rPr>
          <w:rFonts w:cstheme="minorHAnsi"/>
          <w:sz w:val="24"/>
          <w:szCs w:val="24"/>
        </w:rPr>
        <w:t xml:space="preserve">, and </w:t>
      </w:r>
      <w:r w:rsidR="00601813">
        <w:rPr>
          <w:rFonts w:cstheme="minorHAnsi"/>
          <w:sz w:val="24"/>
          <w:szCs w:val="24"/>
        </w:rPr>
        <w:t>“</w:t>
      </w:r>
      <w:r>
        <w:rPr>
          <w:rFonts w:cstheme="minorHAnsi"/>
          <w:sz w:val="24"/>
          <w:szCs w:val="24"/>
        </w:rPr>
        <w:t>could” are used, these are recommendations as best practices for CHR, but are not mandatory.</w:t>
      </w:r>
    </w:p>
    <w:p w14:paraId="2024D15B" w14:textId="77777777" w:rsidR="000159A5" w:rsidRDefault="000159A5">
      <w:pPr>
        <w:rPr>
          <w:rFonts w:cstheme="minorHAnsi"/>
          <w:b/>
          <w:sz w:val="24"/>
          <w:szCs w:val="24"/>
          <w:u w:val="single"/>
        </w:rPr>
      </w:pPr>
    </w:p>
    <w:p w14:paraId="5B4058E4" w14:textId="5DF55073" w:rsidR="00277999" w:rsidRPr="004C34E0" w:rsidRDefault="00277999" w:rsidP="00B20201">
      <w:pPr>
        <w:pStyle w:val="ListParagraph"/>
        <w:numPr>
          <w:ilvl w:val="0"/>
          <w:numId w:val="18"/>
        </w:numPr>
        <w:ind w:left="360" w:hanging="360"/>
        <w:rPr>
          <w:rFonts w:cstheme="minorHAnsi"/>
          <w:b/>
          <w:sz w:val="24"/>
          <w:szCs w:val="24"/>
          <w:u w:val="single"/>
        </w:rPr>
      </w:pPr>
      <w:r w:rsidRPr="004C34E0">
        <w:rPr>
          <w:rFonts w:cstheme="minorHAnsi"/>
          <w:b/>
          <w:sz w:val="24"/>
          <w:szCs w:val="24"/>
          <w:u w:val="single"/>
        </w:rPr>
        <w:t>Application</w:t>
      </w:r>
      <w:r w:rsidR="00E97F2D" w:rsidRPr="004C34E0">
        <w:rPr>
          <w:rFonts w:cstheme="minorHAnsi"/>
          <w:b/>
          <w:sz w:val="24"/>
          <w:szCs w:val="24"/>
          <w:u w:val="single"/>
        </w:rPr>
        <w:t xml:space="preserve"> and Authorization</w:t>
      </w:r>
      <w:r w:rsidRPr="004C34E0">
        <w:rPr>
          <w:rFonts w:cstheme="minorHAnsi"/>
          <w:b/>
          <w:sz w:val="24"/>
          <w:szCs w:val="24"/>
          <w:u w:val="single"/>
        </w:rPr>
        <w:t xml:space="preserve"> Process</w:t>
      </w:r>
    </w:p>
    <w:p w14:paraId="21CE2F4B" w14:textId="7E1B908D" w:rsidR="00706147" w:rsidRPr="00B20201" w:rsidRDefault="000867B0" w:rsidP="00B20201">
      <w:pPr>
        <w:spacing w:line="240" w:lineRule="auto"/>
        <w:rPr>
          <w:rFonts w:cstheme="minorHAnsi"/>
          <w:sz w:val="24"/>
          <w:szCs w:val="24"/>
        </w:rPr>
      </w:pPr>
      <w:r w:rsidRPr="00F94FE8">
        <w:rPr>
          <w:rFonts w:cstheme="minorHAnsi"/>
          <w:sz w:val="24"/>
          <w:szCs w:val="24"/>
        </w:rPr>
        <w:t>The a</w:t>
      </w:r>
      <w:r w:rsidR="009E4CE3" w:rsidRPr="00F94FE8">
        <w:rPr>
          <w:rFonts w:cstheme="minorHAnsi"/>
          <w:sz w:val="24"/>
          <w:szCs w:val="24"/>
        </w:rPr>
        <w:t>pplication and approval process for entities seeking authorization to operate a CHR program</w:t>
      </w:r>
      <w:r w:rsidRPr="00F94FE8">
        <w:rPr>
          <w:rFonts w:cstheme="minorHAnsi"/>
          <w:sz w:val="24"/>
          <w:szCs w:val="24"/>
        </w:rPr>
        <w:t>:</w:t>
      </w:r>
      <w:r w:rsidR="009E4CE3" w:rsidRPr="00F94FE8">
        <w:rPr>
          <w:rFonts w:cstheme="minorHAnsi"/>
          <w:sz w:val="24"/>
          <w:szCs w:val="24"/>
        </w:rPr>
        <w:t xml:space="preserve"> </w:t>
      </w:r>
    </w:p>
    <w:p w14:paraId="775C3D06" w14:textId="047244A9" w:rsidR="00B20201" w:rsidRPr="00C61D72" w:rsidRDefault="00B20201" w:rsidP="00C61D72">
      <w:pPr>
        <w:pStyle w:val="ListParagraph"/>
        <w:numPr>
          <w:ilvl w:val="0"/>
          <w:numId w:val="24"/>
        </w:numPr>
        <w:spacing w:after="200" w:line="240" w:lineRule="auto"/>
        <w:rPr>
          <w:rFonts w:cstheme="minorHAnsi"/>
          <w:sz w:val="24"/>
          <w:szCs w:val="24"/>
        </w:rPr>
      </w:pPr>
      <w:r w:rsidRPr="00C61D72">
        <w:rPr>
          <w:rFonts w:cstheme="minorHAnsi"/>
          <w:sz w:val="24"/>
          <w:szCs w:val="24"/>
        </w:rPr>
        <w:t>T</w:t>
      </w:r>
      <w:r w:rsidR="009E4CE3" w:rsidRPr="00C61D72">
        <w:rPr>
          <w:rFonts w:cstheme="minorHAnsi"/>
          <w:sz w:val="24"/>
          <w:szCs w:val="24"/>
        </w:rPr>
        <w:t>he application</w:t>
      </w:r>
      <w:r w:rsidR="00FD33D2" w:rsidRPr="00C61D72">
        <w:rPr>
          <w:rFonts w:cstheme="minorHAnsi"/>
          <w:sz w:val="24"/>
          <w:szCs w:val="24"/>
        </w:rPr>
        <w:t xml:space="preserve"> for all sites</w:t>
      </w:r>
      <w:r w:rsidR="009E4CE3" w:rsidRPr="00C61D72">
        <w:rPr>
          <w:rFonts w:cstheme="minorHAnsi"/>
          <w:sz w:val="24"/>
          <w:szCs w:val="24"/>
        </w:rPr>
        <w:t xml:space="preserve"> must include a security plan that specifies:</w:t>
      </w:r>
    </w:p>
    <w:p w14:paraId="72E72036" w14:textId="2EC0C3DD" w:rsidR="00B20201" w:rsidRPr="00C61D72" w:rsidRDefault="009E4CE3" w:rsidP="00C61D72">
      <w:pPr>
        <w:pStyle w:val="ListParagraph"/>
        <w:numPr>
          <w:ilvl w:val="1"/>
          <w:numId w:val="24"/>
        </w:numPr>
        <w:spacing w:after="200" w:line="240" w:lineRule="auto"/>
        <w:rPr>
          <w:rFonts w:cstheme="minorHAnsi"/>
          <w:sz w:val="24"/>
          <w:szCs w:val="24"/>
        </w:rPr>
      </w:pPr>
      <w:r w:rsidRPr="00C61D72">
        <w:rPr>
          <w:rFonts w:cstheme="minorHAnsi"/>
          <w:sz w:val="24"/>
          <w:szCs w:val="24"/>
        </w:rPr>
        <w:t xml:space="preserve">Location (physical address for fixed sites, </w:t>
      </w:r>
      <w:r w:rsidR="00923496" w:rsidRPr="00C61D72">
        <w:rPr>
          <w:rFonts w:cstheme="minorHAnsi"/>
          <w:sz w:val="24"/>
          <w:szCs w:val="24"/>
        </w:rPr>
        <w:t>general locations</w:t>
      </w:r>
      <w:r w:rsidRPr="00C61D72">
        <w:rPr>
          <w:rFonts w:cstheme="minorHAnsi"/>
          <w:sz w:val="24"/>
          <w:szCs w:val="24"/>
        </w:rPr>
        <w:t xml:space="preserve"> for mobile sites) and hours of operation of all service delivery sites;</w:t>
      </w:r>
    </w:p>
    <w:p w14:paraId="53D7A41A" w14:textId="3426BF2A" w:rsidR="00B20201" w:rsidRPr="00C61D72" w:rsidRDefault="009E4CE3" w:rsidP="00C61D72">
      <w:pPr>
        <w:pStyle w:val="ListParagraph"/>
        <w:numPr>
          <w:ilvl w:val="1"/>
          <w:numId w:val="24"/>
        </w:numPr>
        <w:spacing w:after="200" w:line="240" w:lineRule="auto"/>
        <w:rPr>
          <w:rFonts w:cstheme="minorHAnsi"/>
          <w:sz w:val="24"/>
          <w:szCs w:val="24"/>
        </w:rPr>
      </w:pPr>
      <w:r w:rsidRPr="00C61D72">
        <w:rPr>
          <w:rFonts w:cstheme="minorHAnsi"/>
          <w:sz w:val="24"/>
          <w:szCs w:val="24"/>
        </w:rPr>
        <w:t>Description of how entity will securely store, collect,</w:t>
      </w:r>
      <w:r w:rsidR="00923496" w:rsidRPr="00C61D72">
        <w:rPr>
          <w:rFonts w:cstheme="minorHAnsi"/>
          <w:sz w:val="24"/>
          <w:szCs w:val="24"/>
        </w:rPr>
        <w:t xml:space="preserve"> dispose of</w:t>
      </w:r>
      <w:r w:rsidRPr="00C61D72">
        <w:rPr>
          <w:rFonts w:cstheme="minorHAnsi"/>
          <w:sz w:val="24"/>
          <w:szCs w:val="24"/>
        </w:rPr>
        <w:t xml:space="preserve"> and transport hypodermic needles and syringes; </w:t>
      </w:r>
    </w:p>
    <w:p w14:paraId="55EA6123" w14:textId="4D808BD8" w:rsidR="00B20201" w:rsidRPr="00C61D72" w:rsidRDefault="009E4CE3" w:rsidP="00C61D72">
      <w:pPr>
        <w:pStyle w:val="ListParagraph"/>
        <w:numPr>
          <w:ilvl w:val="1"/>
          <w:numId w:val="24"/>
        </w:numPr>
        <w:spacing w:after="200" w:line="240" w:lineRule="auto"/>
        <w:rPr>
          <w:rFonts w:cstheme="minorHAnsi"/>
          <w:sz w:val="24"/>
          <w:szCs w:val="24"/>
        </w:rPr>
      </w:pPr>
      <w:r w:rsidRPr="00C61D72">
        <w:rPr>
          <w:rFonts w:cstheme="minorHAnsi"/>
          <w:sz w:val="24"/>
          <w:szCs w:val="24"/>
        </w:rPr>
        <w:t xml:space="preserve">Mechanism (e.g., signage, participant handout) used to inform participants that </w:t>
      </w:r>
      <w:r w:rsidR="00923496" w:rsidRPr="00C61D72">
        <w:rPr>
          <w:rFonts w:cstheme="minorHAnsi"/>
          <w:sz w:val="24"/>
          <w:szCs w:val="24"/>
        </w:rPr>
        <w:t>substances are not to be used or exchanged at CHR sites</w:t>
      </w:r>
      <w:r w:rsidRPr="00C61D72">
        <w:rPr>
          <w:rFonts w:cstheme="minorHAnsi"/>
          <w:sz w:val="24"/>
          <w:szCs w:val="24"/>
        </w:rPr>
        <w:t>, including the parking and exterior areas of the site</w:t>
      </w:r>
      <w:r w:rsidR="00334111" w:rsidRPr="00C61D72">
        <w:rPr>
          <w:rFonts w:cstheme="minorHAnsi"/>
          <w:sz w:val="24"/>
          <w:szCs w:val="24"/>
        </w:rPr>
        <w:t xml:space="preserve">;  </w:t>
      </w:r>
      <w:r w:rsidRPr="00C61D72">
        <w:rPr>
          <w:rFonts w:cstheme="minorHAnsi"/>
          <w:sz w:val="24"/>
          <w:szCs w:val="24"/>
        </w:rPr>
        <w:t xml:space="preserve"> </w:t>
      </w:r>
    </w:p>
    <w:p w14:paraId="677869FC" w14:textId="5781B249" w:rsidR="00B20201" w:rsidRPr="00C61D72" w:rsidRDefault="009E4CE3" w:rsidP="00C61D72">
      <w:pPr>
        <w:pStyle w:val="ListParagraph"/>
        <w:numPr>
          <w:ilvl w:val="1"/>
          <w:numId w:val="24"/>
        </w:numPr>
        <w:spacing w:after="200" w:line="240" w:lineRule="auto"/>
        <w:rPr>
          <w:rFonts w:cstheme="minorHAnsi"/>
          <w:sz w:val="24"/>
          <w:szCs w:val="24"/>
        </w:rPr>
      </w:pPr>
      <w:r w:rsidRPr="00C61D72">
        <w:rPr>
          <w:rFonts w:cstheme="minorHAnsi"/>
          <w:sz w:val="24"/>
          <w:szCs w:val="24"/>
        </w:rPr>
        <w:t>How the entity will adequately staff service delivery</w:t>
      </w:r>
      <w:r w:rsidR="00334111" w:rsidRPr="00C61D72">
        <w:rPr>
          <w:rFonts w:cstheme="minorHAnsi"/>
          <w:sz w:val="24"/>
          <w:szCs w:val="24"/>
        </w:rPr>
        <w:t xml:space="preserve">; </w:t>
      </w:r>
      <w:r w:rsidR="00D62EF6" w:rsidRPr="00C61D72">
        <w:rPr>
          <w:rFonts w:cstheme="minorHAnsi"/>
          <w:sz w:val="24"/>
          <w:szCs w:val="24"/>
        </w:rPr>
        <w:t>and</w:t>
      </w:r>
    </w:p>
    <w:p w14:paraId="13687386" w14:textId="55352858" w:rsidR="00B20201" w:rsidRPr="00C61D72" w:rsidRDefault="009E4CE3" w:rsidP="00C61D72">
      <w:pPr>
        <w:pStyle w:val="ListParagraph"/>
        <w:numPr>
          <w:ilvl w:val="1"/>
          <w:numId w:val="24"/>
        </w:numPr>
        <w:spacing w:after="200" w:line="240" w:lineRule="auto"/>
        <w:rPr>
          <w:rFonts w:cstheme="minorHAnsi"/>
          <w:sz w:val="24"/>
          <w:szCs w:val="24"/>
        </w:rPr>
      </w:pPr>
      <w:r w:rsidRPr="00C61D72">
        <w:rPr>
          <w:rFonts w:cstheme="minorHAnsi"/>
          <w:sz w:val="24"/>
          <w:szCs w:val="24"/>
        </w:rPr>
        <w:lastRenderedPageBreak/>
        <w:t>What mechanism</w:t>
      </w:r>
      <w:r w:rsidR="000159A5" w:rsidRPr="00C61D72">
        <w:rPr>
          <w:rFonts w:cstheme="minorHAnsi"/>
          <w:sz w:val="24"/>
          <w:szCs w:val="24"/>
        </w:rPr>
        <w:t xml:space="preserve"> will </w:t>
      </w:r>
      <w:r w:rsidRPr="00C61D72">
        <w:rPr>
          <w:rFonts w:cstheme="minorHAnsi"/>
          <w:sz w:val="24"/>
          <w:szCs w:val="24"/>
        </w:rPr>
        <w:t>the CHR program use to identify personnel authorized to purchase, transport, distribute, and collect hypodermic needles and syringes</w:t>
      </w:r>
      <w:r w:rsidR="00334111" w:rsidRPr="00C61D72">
        <w:rPr>
          <w:rFonts w:cstheme="minorHAnsi"/>
          <w:sz w:val="24"/>
          <w:szCs w:val="24"/>
        </w:rPr>
        <w:t xml:space="preserve">.  </w:t>
      </w:r>
      <w:r w:rsidRPr="00C61D72">
        <w:rPr>
          <w:rFonts w:cstheme="minorHAnsi"/>
          <w:sz w:val="24"/>
          <w:szCs w:val="24"/>
        </w:rPr>
        <w:t xml:space="preserve"> Issuance of a personnel identification card with agency name, phone number and address, “Comprehensive Harm Reduction Program Personnel,” and individual’s name and personnel records documenting card distribution will suffice for this purpose.</w:t>
      </w:r>
    </w:p>
    <w:p w14:paraId="158B3109" w14:textId="4186163A" w:rsidR="00B20201" w:rsidRPr="00C61D72" w:rsidRDefault="009E4CE3" w:rsidP="00C61D72">
      <w:pPr>
        <w:pStyle w:val="ListParagraph"/>
        <w:numPr>
          <w:ilvl w:val="1"/>
          <w:numId w:val="24"/>
        </w:numPr>
        <w:spacing w:after="200" w:line="240" w:lineRule="auto"/>
        <w:rPr>
          <w:rFonts w:cstheme="minorHAnsi"/>
          <w:sz w:val="24"/>
          <w:szCs w:val="24"/>
        </w:rPr>
      </w:pPr>
      <w:r w:rsidRPr="00C61D72">
        <w:rPr>
          <w:rFonts w:cstheme="minorHAnsi"/>
          <w:sz w:val="24"/>
          <w:szCs w:val="24"/>
        </w:rPr>
        <w:t>Entity’s personnel policies and training plan that includes but is not limited to:</w:t>
      </w:r>
    </w:p>
    <w:p w14:paraId="45D35682" w14:textId="500F8A8F" w:rsidR="00B20201" w:rsidRPr="00C61D72" w:rsidRDefault="009E4CE3" w:rsidP="00C61D72">
      <w:pPr>
        <w:pStyle w:val="ListParagraph"/>
        <w:numPr>
          <w:ilvl w:val="2"/>
          <w:numId w:val="24"/>
        </w:numPr>
        <w:spacing w:after="200" w:line="240" w:lineRule="auto"/>
        <w:rPr>
          <w:rFonts w:cstheme="minorHAnsi"/>
          <w:sz w:val="24"/>
          <w:szCs w:val="24"/>
        </w:rPr>
      </w:pPr>
      <w:r w:rsidRPr="00C61D72">
        <w:rPr>
          <w:rFonts w:cstheme="minorHAnsi"/>
          <w:sz w:val="24"/>
          <w:szCs w:val="24"/>
        </w:rPr>
        <w:t xml:space="preserve">Education on HIV/HBV/HCV transmission, prevention, counseling and testing such as </w:t>
      </w:r>
      <w:hyperlink r:id="rId11" w:history="1">
        <w:r w:rsidRPr="002F2954">
          <w:rPr>
            <w:rStyle w:val="Hyperlink"/>
            <w:rFonts w:cstheme="minorHAnsi"/>
            <w:sz w:val="24"/>
            <w:szCs w:val="24"/>
          </w:rPr>
          <w:t>Virginia HIV AIDS Resource and Consultation Centers’ Facts and Fundamentals</w:t>
        </w:r>
      </w:hyperlink>
      <w:r w:rsidR="00FD33D2" w:rsidRPr="00C61D72">
        <w:rPr>
          <w:rFonts w:cstheme="minorHAnsi"/>
          <w:sz w:val="24"/>
          <w:szCs w:val="24"/>
        </w:rPr>
        <w:t xml:space="preserve"> or equivalent courses is recommended for ALL site and required for VDH funded sites</w:t>
      </w:r>
      <w:r w:rsidR="00334111" w:rsidRPr="00C61D72">
        <w:rPr>
          <w:rFonts w:cstheme="minorHAnsi"/>
          <w:sz w:val="24"/>
          <w:szCs w:val="24"/>
        </w:rPr>
        <w:t>;</w:t>
      </w:r>
    </w:p>
    <w:p w14:paraId="7F8E8136" w14:textId="7F436178" w:rsidR="00B20201" w:rsidRPr="00C61D72" w:rsidRDefault="009E4CE3" w:rsidP="00C61D72">
      <w:pPr>
        <w:pStyle w:val="ListParagraph"/>
        <w:numPr>
          <w:ilvl w:val="2"/>
          <w:numId w:val="24"/>
        </w:numPr>
        <w:spacing w:after="200" w:line="240" w:lineRule="auto"/>
        <w:rPr>
          <w:rFonts w:cstheme="minorHAnsi"/>
          <w:sz w:val="24"/>
          <w:szCs w:val="24"/>
        </w:rPr>
      </w:pPr>
      <w:r w:rsidRPr="00C61D72">
        <w:rPr>
          <w:rFonts w:cstheme="minorHAnsi"/>
          <w:sz w:val="24"/>
          <w:szCs w:val="24"/>
        </w:rPr>
        <w:t xml:space="preserve">Infection control and exposure management compliant with </w:t>
      </w:r>
    </w:p>
    <w:p w14:paraId="44BC18C2" w14:textId="25AECDC3" w:rsidR="00B20201" w:rsidRPr="00C61D72" w:rsidRDefault="00E11D82" w:rsidP="00C61D72">
      <w:pPr>
        <w:pStyle w:val="ListParagraph"/>
        <w:numPr>
          <w:ilvl w:val="3"/>
          <w:numId w:val="24"/>
        </w:numPr>
        <w:spacing w:after="200" w:line="240" w:lineRule="auto"/>
        <w:rPr>
          <w:rFonts w:cstheme="minorHAnsi"/>
          <w:sz w:val="24"/>
          <w:szCs w:val="24"/>
        </w:rPr>
      </w:pPr>
      <w:hyperlink r:id="rId12" w:history="1">
        <w:r w:rsidR="009E4CE3" w:rsidRPr="002F2954">
          <w:rPr>
            <w:rStyle w:val="Hyperlink"/>
            <w:rFonts w:cstheme="minorHAnsi"/>
            <w:sz w:val="24"/>
            <w:szCs w:val="24"/>
          </w:rPr>
          <w:t>Occupational Safety and Health Administration</w:t>
        </w:r>
        <w:r w:rsidR="00395726">
          <w:rPr>
            <w:rStyle w:val="Hyperlink"/>
            <w:rFonts w:cstheme="minorHAnsi"/>
            <w:sz w:val="24"/>
            <w:szCs w:val="24"/>
          </w:rPr>
          <w:t xml:space="preserve"> (OSHA)</w:t>
        </w:r>
        <w:r w:rsidR="009E4CE3" w:rsidRPr="002F2954">
          <w:rPr>
            <w:rStyle w:val="Hyperlink"/>
            <w:rFonts w:cstheme="minorHAnsi"/>
            <w:sz w:val="24"/>
            <w:szCs w:val="24"/>
          </w:rPr>
          <w:t>’s Bloodborne Pathogens Standard (29 CFR 1910.1030)</w:t>
        </w:r>
      </w:hyperlink>
    </w:p>
    <w:p w14:paraId="29902EE2" w14:textId="160AD4B1" w:rsidR="00B20201" w:rsidRPr="00C61D72" w:rsidRDefault="00E11D82" w:rsidP="00C61D72">
      <w:pPr>
        <w:pStyle w:val="ListParagraph"/>
        <w:numPr>
          <w:ilvl w:val="3"/>
          <w:numId w:val="24"/>
        </w:numPr>
        <w:spacing w:after="200" w:line="240" w:lineRule="auto"/>
        <w:rPr>
          <w:rFonts w:cstheme="minorHAnsi"/>
          <w:sz w:val="24"/>
          <w:szCs w:val="24"/>
        </w:rPr>
      </w:pPr>
      <w:hyperlink r:id="rId13" w:history="1">
        <w:r w:rsidR="009E4CE3" w:rsidRPr="002F2954">
          <w:rPr>
            <w:rStyle w:val="Hyperlink"/>
            <w:rFonts w:cstheme="minorHAnsi"/>
            <w:sz w:val="24"/>
            <w:szCs w:val="24"/>
          </w:rPr>
          <w:t>Centers for Disease Control and Prevention’s (CDC) Guide to Infection Prevention in Outpatient Settings: Minimum Expectations for Safe Care</w:t>
        </w:r>
      </w:hyperlink>
      <w:r w:rsidR="00334111" w:rsidRPr="002F2954">
        <w:rPr>
          <w:rStyle w:val="Hyperlink"/>
          <w:rFonts w:cstheme="minorHAnsi"/>
          <w:sz w:val="24"/>
          <w:szCs w:val="24"/>
        </w:rPr>
        <w:t>;</w:t>
      </w:r>
    </w:p>
    <w:p w14:paraId="1C48A556" w14:textId="315AF750" w:rsidR="00B20201" w:rsidRPr="00C61D72" w:rsidRDefault="009E4CE3" w:rsidP="006677F0">
      <w:pPr>
        <w:pStyle w:val="ListParagraph"/>
        <w:numPr>
          <w:ilvl w:val="2"/>
          <w:numId w:val="24"/>
        </w:numPr>
        <w:spacing w:after="200" w:line="240" w:lineRule="auto"/>
        <w:rPr>
          <w:rFonts w:cstheme="minorHAnsi"/>
          <w:sz w:val="24"/>
          <w:szCs w:val="24"/>
        </w:rPr>
      </w:pPr>
      <w:r w:rsidRPr="00C61D72">
        <w:rPr>
          <w:rFonts w:cstheme="minorHAnsi"/>
          <w:sz w:val="24"/>
          <w:szCs w:val="24"/>
        </w:rPr>
        <w:t xml:space="preserve">Entity’s procedures for preventing and managing personnel’s or participants’ inadvertent exposure to blood in a manner that may transmit infection (e.g., via needle stick injury) in compliance with </w:t>
      </w:r>
      <w:hyperlink r:id="rId14" w:history="1">
        <w:r w:rsidRPr="002F2954">
          <w:rPr>
            <w:rStyle w:val="Hyperlink"/>
            <w:rFonts w:cstheme="minorHAnsi"/>
            <w:sz w:val="24"/>
            <w:szCs w:val="24"/>
          </w:rPr>
          <w:t>current CDC recommendations</w:t>
        </w:r>
      </w:hyperlink>
      <w:r w:rsidR="00334111" w:rsidRPr="00C61D72">
        <w:rPr>
          <w:rFonts w:cstheme="minorHAnsi"/>
          <w:sz w:val="24"/>
          <w:szCs w:val="24"/>
        </w:rPr>
        <w:t>;</w:t>
      </w:r>
      <w:r w:rsidR="006677F0" w:rsidRPr="00C61D72" w:rsidDel="006677F0">
        <w:rPr>
          <w:rFonts w:cstheme="minorHAnsi"/>
          <w:sz w:val="24"/>
          <w:szCs w:val="24"/>
        </w:rPr>
        <w:t xml:space="preserve"> </w:t>
      </w:r>
    </w:p>
    <w:p w14:paraId="0C3DAB5B" w14:textId="3CE032B1" w:rsidR="00B20201" w:rsidRPr="008769E3" w:rsidRDefault="00463ADE" w:rsidP="00C61D72">
      <w:pPr>
        <w:pStyle w:val="ListParagraph"/>
        <w:numPr>
          <w:ilvl w:val="1"/>
          <w:numId w:val="24"/>
        </w:numPr>
        <w:spacing w:after="200" w:line="240" w:lineRule="auto"/>
        <w:rPr>
          <w:rFonts w:cstheme="minorHAnsi"/>
          <w:b/>
          <w:sz w:val="24"/>
          <w:szCs w:val="24"/>
          <w:u w:val="single"/>
        </w:rPr>
      </w:pPr>
      <w:r w:rsidRPr="00C61D72">
        <w:rPr>
          <w:rFonts w:eastAsia="Times New Roman" w:cstheme="minorHAnsi"/>
          <w:color w:val="333333"/>
          <w:sz w:val="24"/>
          <w:szCs w:val="24"/>
        </w:rPr>
        <w:t>CHR sites should educate local law enforcement</w:t>
      </w:r>
      <w:r w:rsidR="00133F81" w:rsidRPr="00C61D72">
        <w:rPr>
          <w:rFonts w:eastAsia="Times New Roman" w:cstheme="minorHAnsi"/>
          <w:color w:val="333333"/>
          <w:sz w:val="24"/>
          <w:szCs w:val="24"/>
        </w:rPr>
        <w:t xml:space="preserve"> in jurisdictions they operate in</w:t>
      </w:r>
      <w:r w:rsidRPr="00C61D72">
        <w:rPr>
          <w:rFonts w:eastAsia="Times New Roman" w:cstheme="minorHAnsi"/>
          <w:color w:val="333333"/>
          <w:sz w:val="24"/>
          <w:szCs w:val="24"/>
        </w:rPr>
        <w:t xml:space="preserve"> on harm reduction </w:t>
      </w:r>
      <w:r w:rsidR="00133F81" w:rsidRPr="00C61D72">
        <w:rPr>
          <w:rFonts w:eastAsia="Times New Roman" w:cstheme="minorHAnsi"/>
          <w:color w:val="333333"/>
          <w:sz w:val="24"/>
          <w:szCs w:val="24"/>
        </w:rPr>
        <w:t>as a public health strategy and the sites</w:t>
      </w:r>
      <w:r w:rsidRPr="00C61D72">
        <w:rPr>
          <w:rFonts w:eastAsia="Times New Roman" w:cstheme="minorHAnsi"/>
          <w:color w:val="333333"/>
          <w:sz w:val="24"/>
          <w:szCs w:val="24"/>
        </w:rPr>
        <w:t xml:space="preserve"> method of participant verification prior to opening or soon after</w:t>
      </w:r>
      <w:r w:rsidR="00334111" w:rsidRPr="00C61D72">
        <w:rPr>
          <w:rFonts w:eastAsia="Times New Roman" w:cstheme="minorHAnsi"/>
          <w:color w:val="333333"/>
          <w:sz w:val="24"/>
          <w:szCs w:val="24"/>
        </w:rPr>
        <w:t xml:space="preserve">.  </w:t>
      </w:r>
      <w:r w:rsidRPr="00C61D72">
        <w:rPr>
          <w:rFonts w:eastAsia="Times New Roman" w:cstheme="minorHAnsi"/>
          <w:color w:val="333333"/>
          <w:sz w:val="24"/>
          <w:szCs w:val="24"/>
        </w:rPr>
        <w:t>This can be done in person or by mail/email</w:t>
      </w:r>
      <w:r w:rsidR="00334111" w:rsidRPr="00C61D72">
        <w:rPr>
          <w:rFonts w:eastAsia="Times New Roman" w:cstheme="minorHAnsi"/>
          <w:color w:val="333333"/>
          <w:sz w:val="24"/>
          <w:szCs w:val="24"/>
        </w:rPr>
        <w:t xml:space="preserve">. </w:t>
      </w:r>
      <w:r w:rsidRPr="00C61D72">
        <w:rPr>
          <w:rFonts w:eastAsia="Times New Roman" w:cstheme="minorHAnsi"/>
          <w:color w:val="333333"/>
          <w:sz w:val="24"/>
          <w:szCs w:val="24"/>
        </w:rPr>
        <w:t xml:space="preserve"> Including a sample program ID may also be helpful so it is recognizable if your participants have to present it to an officer.</w:t>
      </w:r>
    </w:p>
    <w:p w14:paraId="0005770A" w14:textId="77777777" w:rsidR="006677F0" w:rsidRPr="00C61D72" w:rsidRDefault="006677F0" w:rsidP="008769E3">
      <w:pPr>
        <w:pStyle w:val="ListParagraph"/>
        <w:spacing w:after="200" w:line="240" w:lineRule="auto"/>
        <w:ind w:left="1440"/>
        <w:rPr>
          <w:rFonts w:cstheme="minorHAnsi"/>
          <w:b/>
          <w:sz w:val="24"/>
          <w:szCs w:val="24"/>
          <w:u w:val="single"/>
        </w:rPr>
      </w:pPr>
    </w:p>
    <w:p w14:paraId="226FFF9C" w14:textId="00B9E49A" w:rsidR="00B20201" w:rsidRPr="00C61D72" w:rsidRDefault="009E4CE3" w:rsidP="00C61D72">
      <w:pPr>
        <w:pStyle w:val="ListParagraph"/>
        <w:numPr>
          <w:ilvl w:val="0"/>
          <w:numId w:val="24"/>
        </w:numPr>
        <w:spacing w:after="200" w:line="240" w:lineRule="auto"/>
        <w:rPr>
          <w:rFonts w:cstheme="minorHAnsi"/>
          <w:sz w:val="24"/>
          <w:szCs w:val="24"/>
        </w:rPr>
      </w:pPr>
      <w:r w:rsidRPr="00C61D72">
        <w:rPr>
          <w:rFonts w:cstheme="minorHAnsi"/>
          <w:sz w:val="24"/>
          <w:szCs w:val="24"/>
        </w:rPr>
        <w:t>The application must dem</w:t>
      </w:r>
      <w:r w:rsidR="00133F81" w:rsidRPr="00C61D72">
        <w:rPr>
          <w:rFonts w:cstheme="minorHAnsi"/>
          <w:sz w:val="24"/>
          <w:szCs w:val="24"/>
        </w:rPr>
        <w:t xml:space="preserve">onstrate the level of operational </w:t>
      </w:r>
      <w:r w:rsidRPr="00C61D72">
        <w:rPr>
          <w:rFonts w:cstheme="minorHAnsi"/>
          <w:sz w:val="24"/>
          <w:szCs w:val="24"/>
        </w:rPr>
        <w:t>readiness by providing the following from each locality in which it proposes to provide services:</w:t>
      </w:r>
    </w:p>
    <w:p w14:paraId="71E2292D" w14:textId="76839C8B" w:rsidR="00B20201" w:rsidRPr="00C61D72" w:rsidRDefault="009E4CE3" w:rsidP="00C61D72">
      <w:pPr>
        <w:pStyle w:val="ListParagraph"/>
        <w:numPr>
          <w:ilvl w:val="1"/>
          <w:numId w:val="24"/>
        </w:numPr>
        <w:spacing w:after="200" w:line="240" w:lineRule="auto"/>
        <w:rPr>
          <w:rFonts w:cstheme="minorHAnsi"/>
          <w:sz w:val="24"/>
          <w:szCs w:val="24"/>
        </w:rPr>
      </w:pPr>
      <w:r w:rsidRPr="00C61D72">
        <w:rPr>
          <w:rFonts w:cstheme="minorHAnsi"/>
          <w:sz w:val="24"/>
          <w:szCs w:val="24"/>
        </w:rPr>
        <w:t xml:space="preserve">Letters of </w:t>
      </w:r>
      <w:r w:rsidR="007E61B2" w:rsidRPr="00C61D72">
        <w:rPr>
          <w:rFonts w:cstheme="minorHAnsi"/>
          <w:sz w:val="24"/>
          <w:szCs w:val="24"/>
        </w:rPr>
        <w:t>agreement</w:t>
      </w:r>
      <w:r w:rsidRPr="00C61D72">
        <w:rPr>
          <w:rFonts w:cstheme="minorHAnsi"/>
          <w:sz w:val="24"/>
          <w:szCs w:val="24"/>
        </w:rPr>
        <w:t xml:space="preserve"> from agencies that will accept referrals of participants in need of services required in </w:t>
      </w:r>
      <w:r w:rsidR="00FD33D2" w:rsidRPr="00C61D72">
        <w:rPr>
          <w:rFonts w:cstheme="minorHAnsi"/>
          <w:sz w:val="24"/>
          <w:szCs w:val="24"/>
        </w:rPr>
        <w:t xml:space="preserve">the CHR Standards listed above </w:t>
      </w:r>
      <w:r w:rsidRPr="00C61D72">
        <w:rPr>
          <w:rFonts w:cstheme="minorHAnsi"/>
          <w:sz w:val="24"/>
          <w:szCs w:val="24"/>
        </w:rPr>
        <w:t>that state the agency will accept referrals from your program</w:t>
      </w:r>
      <w:r w:rsidR="00AB7248" w:rsidRPr="00C61D72">
        <w:rPr>
          <w:rFonts w:cstheme="minorHAnsi"/>
          <w:sz w:val="24"/>
          <w:szCs w:val="24"/>
        </w:rPr>
        <w:t xml:space="preserve"> with the exception of the Department of Social Services and health insurance enrollment agencies</w:t>
      </w:r>
      <w:r w:rsidRPr="00C61D72">
        <w:rPr>
          <w:rFonts w:cstheme="minorHAnsi"/>
          <w:sz w:val="24"/>
          <w:szCs w:val="24"/>
        </w:rPr>
        <w:t xml:space="preserve">; </w:t>
      </w:r>
    </w:p>
    <w:p w14:paraId="6F8E2D54" w14:textId="32196DF8" w:rsidR="00B20201" w:rsidRPr="00C61D72" w:rsidRDefault="009E4CE3" w:rsidP="00C61D72">
      <w:pPr>
        <w:pStyle w:val="ListParagraph"/>
        <w:numPr>
          <w:ilvl w:val="1"/>
          <w:numId w:val="24"/>
        </w:numPr>
        <w:spacing w:after="200" w:line="240" w:lineRule="auto"/>
        <w:rPr>
          <w:rFonts w:cstheme="minorHAnsi"/>
          <w:sz w:val="24"/>
          <w:szCs w:val="24"/>
        </w:rPr>
      </w:pPr>
      <w:r w:rsidRPr="00C61D72">
        <w:rPr>
          <w:rFonts w:cstheme="minorHAnsi"/>
          <w:sz w:val="24"/>
          <w:szCs w:val="24"/>
        </w:rPr>
        <w:t>Description of how applicant</w:t>
      </w:r>
      <w:r w:rsidR="00FD33D2" w:rsidRPr="00C61D72">
        <w:rPr>
          <w:rFonts w:cstheme="minorHAnsi"/>
          <w:sz w:val="24"/>
          <w:szCs w:val="24"/>
        </w:rPr>
        <w:t>s</w:t>
      </w:r>
      <w:r w:rsidRPr="00C61D72">
        <w:rPr>
          <w:rFonts w:cstheme="minorHAnsi"/>
          <w:sz w:val="24"/>
          <w:szCs w:val="24"/>
        </w:rPr>
        <w:t xml:space="preserve"> will develop, implement, document, and maintain a process for community engagement that may include a community advisory board</w:t>
      </w:r>
      <w:r w:rsidR="00334111" w:rsidRPr="00C61D72">
        <w:rPr>
          <w:rFonts w:cstheme="minorHAnsi"/>
          <w:sz w:val="24"/>
          <w:szCs w:val="24"/>
        </w:rPr>
        <w:t>;</w:t>
      </w:r>
      <w:r w:rsidR="00D62EF6" w:rsidRPr="00C61D72">
        <w:rPr>
          <w:rFonts w:cstheme="minorHAnsi"/>
          <w:sz w:val="24"/>
          <w:szCs w:val="24"/>
        </w:rPr>
        <w:t xml:space="preserve"> and</w:t>
      </w:r>
    </w:p>
    <w:p w14:paraId="0D44008A" w14:textId="6AD7FE31" w:rsidR="00B20201" w:rsidRDefault="00133F81" w:rsidP="00C61D72">
      <w:pPr>
        <w:pStyle w:val="ListParagraph"/>
        <w:numPr>
          <w:ilvl w:val="1"/>
          <w:numId w:val="24"/>
        </w:numPr>
        <w:spacing w:after="200" w:line="240" w:lineRule="auto"/>
        <w:rPr>
          <w:rFonts w:cstheme="minorHAnsi"/>
          <w:sz w:val="24"/>
          <w:szCs w:val="24"/>
        </w:rPr>
      </w:pPr>
      <w:r w:rsidRPr="00C61D72">
        <w:rPr>
          <w:rFonts w:cstheme="minorHAnsi"/>
          <w:sz w:val="24"/>
          <w:szCs w:val="24"/>
        </w:rPr>
        <w:t>A</w:t>
      </w:r>
      <w:r w:rsidR="009E4CE3" w:rsidRPr="00C61D72">
        <w:rPr>
          <w:rFonts w:cstheme="minorHAnsi"/>
          <w:sz w:val="24"/>
          <w:szCs w:val="24"/>
        </w:rPr>
        <w:t>pplican</w:t>
      </w:r>
      <w:r w:rsidR="00FD33D2" w:rsidRPr="00C61D72">
        <w:rPr>
          <w:rFonts w:cstheme="minorHAnsi"/>
          <w:sz w:val="24"/>
          <w:szCs w:val="24"/>
        </w:rPr>
        <w:t xml:space="preserve">ts </w:t>
      </w:r>
      <w:r w:rsidRPr="00C61D72">
        <w:rPr>
          <w:rFonts w:cstheme="minorHAnsi"/>
          <w:sz w:val="24"/>
          <w:szCs w:val="24"/>
        </w:rPr>
        <w:t>may</w:t>
      </w:r>
      <w:r w:rsidR="009E4CE3" w:rsidRPr="00C61D72">
        <w:rPr>
          <w:rFonts w:cstheme="minorHAnsi"/>
          <w:sz w:val="24"/>
          <w:szCs w:val="24"/>
        </w:rPr>
        <w:t xml:space="preserve"> provide additional documentation supporting the</w:t>
      </w:r>
      <w:r w:rsidR="00AB7248" w:rsidRPr="00C61D72">
        <w:rPr>
          <w:rFonts w:cstheme="minorHAnsi"/>
          <w:sz w:val="24"/>
          <w:szCs w:val="24"/>
        </w:rPr>
        <w:t xml:space="preserve">ir application </w:t>
      </w:r>
      <w:r w:rsidR="009E4CE3" w:rsidRPr="00C61D72">
        <w:rPr>
          <w:rFonts w:cstheme="minorHAnsi"/>
          <w:sz w:val="24"/>
          <w:szCs w:val="24"/>
        </w:rPr>
        <w:t>that may include support letters from local health departments, law enforcement, local government officials, coalitions, businesses, parent groups, drug courts, educational institutions, religious organizations, and other stakeholders</w:t>
      </w:r>
      <w:r w:rsidR="00334111" w:rsidRPr="00C61D72">
        <w:rPr>
          <w:rFonts w:cstheme="minorHAnsi"/>
          <w:sz w:val="24"/>
          <w:szCs w:val="24"/>
        </w:rPr>
        <w:t>.</w:t>
      </w:r>
    </w:p>
    <w:p w14:paraId="7B3F9B87" w14:textId="77777777" w:rsidR="00150A2A" w:rsidRPr="00150A2A" w:rsidRDefault="00150A2A" w:rsidP="00150A2A">
      <w:pPr>
        <w:spacing w:after="200" w:line="240" w:lineRule="auto"/>
        <w:rPr>
          <w:rFonts w:cstheme="minorHAnsi"/>
          <w:sz w:val="24"/>
          <w:szCs w:val="24"/>
        </w:rPr>
      </w:pPr>
    </w:p>
    <w:p w14:paraId="5E9FB3CF" w14:textId="5565E3B4" w:rsidR="00B20201" w:rsidRPr="00C61D72" w:rsidRDefault="009E4CE3" w:rsidP="00C61D72">
      <w:pPr>
        <w:pStyle w:val="ListParagraph"/>
        <w:numPr>
          <w:ilvl w:val="0"/>
          <w:numId w:val="24"/>
        </w:numPr>
        <w:spacing w:after="200" w:line="240" w:lineRule="auto"/>
        <w:rPr>
          <w:rFonts w:cstheme="minorHAnsi"/>
          <w:sz w:val="24"/>
          <w:szCs w:val="24"/>
        </w:rPr>
      </w:pPr>
      <w:r w:rsidRPr="00C61D72">
        <w:rPr>
          <w:rFonts w:cstheme="minorHAnsi"/>
          <w:sz w:val="24"/>
          <w:szCs w:val="24"/>
        </w:rPr>
        <w:lastRenderedPageBreak/>
        <w:t>The application must demonstrate programmatic administrative capacity by including the following:</w:t>
      </w:r>
    </w:p>
    <w:p w14:paraId="43E1566E" w14:textId="40DD6175" w:rsidR="00B20201" w:rsidRPr="00C61D72" w:rsidRDefault="009E4CE3" w:rsidP="00C61D72">
      <w:pPr>
        <w:pStyle w:val="ListParagraph"/>
        <w:numPr>
          <w:ilvl w:val="1"/>
          <w:numId w:val="24"/>
        </w:numPr>
        <w:spacing w:after="200" w:line="240" w:lineRule="auto"/>
        <w:rPr>
          <w:rFonts w:cstheme="minorHAnsi"/>
          <w:sz w:val="24"/>
          <w:szCs w:val="24"/>
        </w:rPr>
      </w:pPr>
      <w:r w:rsidRPr="00C61D72">
        <w:rPr>
          <w:rFonts w:cstheme="minorHAnsi"/>
          <w:sz w:val="24"/>
          <w:szCs w:val="24"/>
        </w:rPr>
        <w:t>Budget and funding source</w:t>
      </w:r>
      <w:r w:rsidR="0060778F" w:rsidRPr="00C61D72">
        <w:rPr>
          <w:rFonts w:cstheme="minorHAnsi"/>
          <w:sz w:val="24"/>
          <w:szCs w:val="24"/>
        </w:rPr>
        <w:t>(s)</w:t>
      </w:r>
      <w:r w:rsidRPr="00C61D72">
        <w:rPr>
          <w:rFonts w:cstheme="minorHAnsi"/>
          <w:sz w:val="24"/>
          <w:szCs w:val="24"/>
        </w:rPr>
        <w:t xml:space="preserve"> that may be used for harm reduction services (including purchase of hypodermic syringes and</w:t>
      </w:r>
      <w:r w:rsidR="0075134B" w:rsidRPr="00C61D72">
        <w:rPr>
          <w:rFonts w:cstheme="minorHAnsi"/>
          <w:sz w:val="24"/>
          <w:szCs w:val="24"/>
        </w:rPr>
        <w:t xml:space="preserve"> needles</w:t>
      </w:r>
      <w:r w:rsidR="00334111" w:rsidRPr="00C61D72">
        <w:rPr>
          <w:rFonts w:cstheme="minorHAnsi"/>
          <w:sz w:val="24"/>
          <w:szCs w:val="24"/>
        </w:rPr>
        <w:t xml:space="preserve">.  </w:t>
      </w:r>
      <w:r w:rsidR="0075134B" w:rsidRPr="00C61D72">
        <w:rPr>
          <w:rFonts w:cstheme="minorHAnsi"/>
          <w:sz w:val="24"/>
          <w:szCs w:val="24"/>
        </w:rPr>
        <w:t>F</w:t>
      </w:r>
      <w:r w:rsidRPr="00C61D72">
        <w:rPr>
          <w:rFonts w:cstheme="minorHAnsi"/>
          <w:sz w:val="24"/>
          <w:szCs w:val="24"/>
        </w:rPr>
        <w:t xml:space="preserve">ederal </w:t>
      </w:r>
      <w:r w:rsidR="0060778F" w:rsidRPr="00C61D72">
        <w:rPr>
          <w:rFonts w:cstheme="minorHAnsi"/>
          <w:sz w:val="24"/>
          <w:szCs w:val="24"/>
        </w:rPr>
        <w:t xml:space="preserve">and state </w:t>
      </w:r>
      <w:r w:rsidRPr="00C61D72">
        <w:rPr>
          <w:rFonts w:cstheme="minorHAnsi"/>
          <w:sz w:val="24"/>
          <w:szCs w:val="24"/>
        </w:rPr>
        <w:t>funds may not be used</w:t>
      </w:r>
      <w:r w:rsidR="00133F81" w:rsidRPr="00C61D72">
        <w:rPr>
          <w:rFonts w:cstheme="minorHAnsi"/>
          <w:sz w:val="24"/>
          <w:szCs w:val="24"/>
        </w:rPr>
        <w:t xml:space="preserve"> at this time</w:t>
      </w:r>
      <w:r w:rsidRPr="00C61D72">
        <w:rPr>
          <w:rFonts w:cstheme="minorHAnsi"/>
          <w:sz w:val="24"/>
          <w:szCs w:val="24"/>
        </w:rPr>
        <w:t xml:space="preserve"> for </w:t>
      </w:r>
      <w:r w:rsidR="0075134B" w:rsidRPr="00C61D72">
        <w:rPr>
          <w:rFonts w:cstheme="minorHAnsi"/>
          <w:sz w:val="24"/>
          <w:szCs w:val="24"/>
        </w:rPr>
        <w:t>syringes/needles/cookers</w:t>
      </w:r>
      <w:r w:rsidR="00686773" w:rsidRPr="00C61D72">
        <w:rPr>
          <w:rFonts w:cstheme="minorHAnsi"/>
          <w:sz w:val="24"/>
          <w:szCs w:val="24"/>
        </w:rPr>
        <w:t xml:space="preserve"> or any equipment used to prepare or administer illegal drugs</w:t>
      </w:r>
      <w:r w:rsidR="00334111" w:rsidRPr="00C61D72">
        <w:rPr>
          <w:rFonts w:cstheme="minorHAnsi"/>
          <w:sz w:val="24"/>
          <w:szCs w:val="24"/>
        </w:rPr>
        <w:t>;</w:t>
      </w:r>
      <w:r w:rsidRPr="00C61D72">
        <w:rPr>
          <w:rFonts w:cstheme="minorHAnsi"/>
          <w:sz w:val="24"/>
          <w:szCs w:val="24"/>
        </w:rPr>
        <w:t xml:space="preserve">   </w:t>
      </w:r>
    </w:p>
    <w:p w14:paraId="4BFEEFC3" w14:textId="07F0A305" w:rsidR="00B20201" w:rsidRPr="00C61D72" w:rsidRDefault="009E4CE3" w:rsidP="00C61D72">
      <w:pPr>
        <w:pStyle w:val="ListParagraph"/>
        <w:numPr>
          <w:ilvl w:val="1"/>
          <w:numId w:val="24"/>
        </w:numPr>
        <w:spacing w:after="200" w:line="240" w:lineRule="auto"/>
        <w:rPr>
          <w:rFonts w:cstheme="minorHAnsi"/>
          <w:sz w:val="24"/>
          <w:szCs w:val="24"/>
        </w:rPr>
      </w:pPr>
      <w:r w:rsidRPr="00C61D72">
        <w:rPr>
          <w:rFonts w:cstheme="minorHAnsi"/>
          <w:sz w:val="24"/>
          <w:szCs w:val="24"/>
        </w:rPr>
        <w:t>Description of related health and/or behavioral health services currently provided by the applicant</w:t>
      </w:r>
      <w:r w:rsidR="00FD33D2" w:rsidRPr="00C61D72">
        <w:rPr>
          <w:rFonts w:cstheme="minorHAnsi"/>
          <w:sz w:val="24"/>
          <w:szCs w:val="24"/>
        </w:rPr>
        <w:t>, if any,</w:t>
      </w:r>
      <w:r w:rsidRPr="00C61D72">
        <w:rPr>
          <w:rFonts w:cstheme="minorHAnsi"/>
          <w:sz w:val="24"/>
          <w:szCs w:val="24"/>
        </w:rPr>
        <w:t xml:space="preserve"> and number of years these services have been provided;</w:t>
      </w:r>
    </w:p>
    <w:p w14:paraId="1FF3C564" w14:textId="35AA9E4E" w:rsidR="00B20201" w:rsidRPr="00C61D72" w:rsidRDefault="009E4CE3" w:rsidP="00C61D72">
      <w:pPr>
        <w:pStyle w:val="ListParagraph"/>
        <w:numPr>
          <w:ilvl w:val="1"/>
          <w:numId w:val="24"/>
        </w:numPr>
        <w:spacing w:after="200" w:line="240" w:lineRule="auto"/>
        <w:rPr>
          <w:rFonts w:cstheme="minorHAnsi"/>
          <w:sz w:val="24"/>
          <w:szCs w:val="24"/>
        </w:rPr>
      </w:pPr>
      <w:r w:rsidRPr="00C61D72">
        <w:rPr>
          <w:rFonts w:cstheme="minorHAnsi"/>
          <w:sz w:val="24"/>
          <w:szCs w:val="24"/>
        </w:rPr>
        <w:t>Description of experience collecting and reporting data; and</w:t>
      </w:r>
    </w:p>
    <w:p w14:paraId="2EE598CF" w14:textId="6D87E59C" w:rsidR="00E93E5E" w:rsidRPr="00C61D72" w:rsidRDefault="009E4CE3" w:rsidP="00C61D72">
      <w:pPr>
        <w:pStyle w:val="ListParagraph"/>
        <w:numPr>
          <w:ilvl w:val="1"/>
          <w:numId w:val="24"/>
        </w:numPr>
        <w:spacing w:after="200" w:line="240" w:lineRule="auto"/>
        <w:rPr>
          <w:rFonts w:cstheme="minorHAnsi"/>
          <w:sz w:val="24"/>
          <w:szCs w:val="24"/>
        </w:rPr>
      </w:pPr>
      <w:r w:rsidRPr="002F2954">
        <w:rPr>
          <w:rFonts w:cstheme="minorHAnsi"/>
          <w:sz w:val="24"/>
          <w:szCs w:val="24"/>
        </w:rPr>
        <w:t>Description of current</w:t>
      </w:r>
      <w:r w:rsidR="00FD33D2" w:rsidRPr="002F2954">
        <w:rPr>
          <w:rFonts w:cstheme="minorHAnsi"/>
          <w:sz w:val="24"/>
          <w:szCs w:val="24"/>
        </w:rPr>
        <w:t xml:space="preserve"> </w:t>
      </w:r>
      <w:r w:rsidRPr="002F2954">
        <w:rPr>
          <w:rFonts w:cstheme="minorHAnsi"/>
          <w:sz w:val="24"/>
          <w:szCs w:val="24"/>
        </w:rPr>
        <w:t xml:space="preserve">practices used to protect confidentiality of clients, records, data and </w:t>
      </w:r>
      <w:hyperlink r:id="rId15" w:history="1">
        <w:r w:rsidRPr="002F2954">
          <w:rPr>
            <w:rStyle w:val="Hyperlink"/>
            <w:rFonts w:cstheme="minorHAnsi"/>
            <w:sz w:val="24"/>
            <w:szCs w:val="24"/>
          </w:rPr>
          <w:t xml:space="preserve">signed verification of receipt and assurance </w:t>
        </w:r>
      </w:hyperlink>
      <w:r w:rsidRPr="002F2954">
        <w:rPr>
          <w:rFonts w:cstheme="minorHAnsi"/>
          <w:sz w:val="24"/>
          <w:szCs w:val="24"/>
        </w:rPr>
        <w:t xml:space="preserve">of </w:t>
      </w:r>
      <w:hyperlink r:id="rId16" w:history="1">
        <w:r w:rsidRPr="002F2954">
          <w:rPr>
            <w:rStyle w:val="Hyperlink"/>
            <w:rFonts w:cstheme="minorHAnsi"/>
            <w:sz w:val="24"/>
            <w:szCs w:val="24"/>
          </w:rPr>
          <w:t>VDH Division of Disease Prevention (DDP) Security and Confidentiality Policies and Procedures</w:t>
        </w:r>
      </w:hyperlink>
      <w:r w:rsidRPr="002F2954">
        <w:rPr>
          <w:rFonts w:cstheme="minorHAnsi"/>
          <w:sz w:val="24"/>
          <w:szCs w:val="24"/>
        </w:rPr>
        <w:t>.</w:t>
      </w:r>
    </w:p>
    <w:p w14:paraId="114E6BBA" w14:textId="11807242" w:rsidR="00B20201" w:rsidRDefault="00E93E5E" w:rsidP="000C49B0">
      <w:pPr>
        <w:spacing w:after="200" w:line="240" w:lineRule="auto"/>
        <w:rPr>
          <w:rFonts w:cstheme="minorHAnsi"/>
          <w:sz w:val="24"/>
          <w:szCs w:val="24"/>
        </w:rPr>
      </w:pPr>
      <w:r>
        <w:rPr>
          <w:rFonts w:cstheme="minorHAnsi"/>
          <w:sz w:val="24"/>
          <w:szCs w:val="24"/>
        </w:rPr>
        <w:t>Additional Application Procedures for Sites Seeking VDH Funding</w:t>
      </w:r>
      <w:r w:rsidR="00B20201">
        <w:rPr>
          <w:rFonts w:cstheme="minorHAnsi"/>
          <w:sz w:val="24"/>
          <w:szCs w:val="24"/>
        </w:rPr>
        <w:t>:</w:t>
      </w:r>
    </w:p>
    <w:p w14:paraId="4A018A04" w14:textId="53DFE6AD" w:rsidR="00B20201" w:rsidRPr="00C61D72" w:rsidRDefault="00E93E5E" w:rsidP="00C61D72">
      <w:pPr>
        <w:pStyle w:val="ListParagraph"/>
        <w:numPr>
          <w:ilvl w:val="0"/>
          <w:numId w:val="25"/>
        </w:numPr>
        <w:spacing w:after="200" w:line="240" w:lineRule="auto"/>
        <w:rPr>
          <w:rFonts w:cstheme="minorHAnsi"/>
          <w:sz w:val="24"/>
          <w:szCs w:val="24"/>
        </w:rPr>
      </w:pPr>
      <w:r w:rsidRPr="00C61D72">
        <w:rPr>
          <w:rFonts w:cstheme="minorHAnsi"/>
          <w:sz w:val="24"/>
          <w:szCs w:val="24"/>
        </w:rPr>
        <w:t xml:space="preserve">Application for VDH funding must include a time-phased work plan </w:t>
      </w:r>
      <w:r w:rsidRPr="00C61D72">
        <w:rPr>
          <w:rFonts w:cstheme="minorHAnsi"/>
          <w:sz w:val="24"/>
          <w:szCs w:val="24"/>
          <w:u w:val="single"/>
        </w:rPr>
        <w:t>for sites funded by VDH</w:t>
      </w:r>
      <w:r w:rsidRPr="00C61D72">
        <w:rPr>
          <w:rFonts w:cstheme="minorHAnsi"/>
          <w:sz w:val="24"/>
          <w:szCs w:val="24"/>
        </w:rPr>
        <w:t xml:space="preserve"> with process measures that describe how the CHR program will meet CHR objectives</w:t>
      </w:r>
      <w:r w:rsidR="00334111" w:rsidRPr="00C61D72">
        <w:rPr>
          <w:rFonts w:cstheme="minorHAnsi"/>
          <w:sz w:val="24"/>
          <w:szCs w:val="24"/>
        </w:rPr>
        <w:t xml:space="preserve">.  </w:t>
      </w:r>
      <w:r w:rsidRPr="00C61D72">
        <w:rPr>
          <w:rFonts w:cstheme="minorHAnsi"/>
          <w:sz w:val="24"/>
          <w:szCs w:val="24"/>
        </w:rPr>
        <w:t>The plan must specify timing and frequency of CHR counseling and required services</w:t>
      </w:r>
      <w:r w:rsidR="00334111" w:rsidRPr="00C61D72">
        <w:rPr>
          <w:rFonts w:cstheme="minorHAnsi"/>
          <w:sz w:val="24"/>
          <w:szCs w:val="24"/>
        </w:rPr>
        <w:t xml:space="preserve">. </w:t>
      </w:r>
      <w:r w:rsidRPr="00C61D72">
        <w:rPr>
          <w:rFonts w:cstheme="minorHAnsi"/>
          <w:sz w:val="24"/>
          <w:szCs w:val="24"/>
        </w:rPr>
        <w:t xml:space="preserve"> Sites not applying for VDH funding are </w:t>
      </w:r>
      <w:r w:rsidR="00BB2082">
        <w:rPr>
          <w:rFonts w:cstheme="minorHAnsi"/>
          <w:sz w:val="24"/>
          <w:szCs w:val="24"/>
        </w:rPr>
        <w:t>encourag</w:t>
      </w:r>
      <w:r w:rsidRPr="00C61D72">
        <w:rPr>
          <w:rFonts w:cstheme="minorHAnsi"/>
          <w:sz w:val="24"/>
          <w:szCs w:val="24"/>
        </w:rPr>
        <w:t>ed to, but not required to submit work plans</w:t>
      </w:r>
      <w:r w:rsidR="00D62EF6" w:rsidRPr="00C61D72">
        <w:rPr>
          <w:rFonts w:cstheme="minorHAnsi"/>
          <w:sz w:val="24"/>
          <w:szCs w:val="24"/>
        </w:rPr>
        <w:t>;</w:t>
      </w:r>
      <w:r w:rsidR="00334111" w:rsidRPr="00C61D72">
        <w:rPr>
          <w:rFonts w:cstheme="minorHAnsi"/>
          <w:sz w:val="24"/>
          <w:szCs w:val="24"/>
        </w:rPr>
        <w:t xml:space="preserve"> and</w:t>
      </w:r>
    </w:p>
    <w:p w14:paraId="272DB1BD" w14:textId="4FA162C6" w:rsidR="002F2954" w:rsidRPr="00C61D72" w:rsidRDefault="00E93E5E" w:rsidP="00C61D72">
      <w:pPr>
        <w:pStyle w:val="ListParagraph"/>
        <w:numPr>
          <w:ilvl w:val="0"/>
          <w:numId w:val="25"/>
        </w:numPr>
        <w:spacing w:after="200" w:line="240" w:lineRule="auto"/>
        <w:rPr>
          <w:rFonts w:cstheme="minorHAnsi"/>
          <w:sz w:val="24"/>
          <w:szCs w:val="24"/>
        </w:rPr>
      </w:pPr>
      <w:r w:rsidRPr="00C61D72">
        <w:rPr>
          <w:rFonts w:cstheme="minorHAnsi"/>
          <w:sz w:val="24"/>
          <w:szCs w:val="24"/>
        </w:rPr>
        <w:t>Organizational chart that includes positions that will provide CHR services are required for VDH funded sites, non-funded sites should submit contact information for key staff members (phone and email address)</w:t>
      </w:r>
      <w:r w:rsidR="00334111" w:rsidRPr="00C61D72">
        <w:rPr>
          <w:rFonts w:cstheme="minorHAnsi"/>
          <w:sz w:val="24"/>
          <w:szCs w:val="24"/>
        </w:rPr>
        <w:t>.</w:t>
      </w:r>
    </w:p>
    <w:p w14:paraId="13043194" w14:textId="77777777" w:rsidR="00EC657D" w:rsidRPr="00C61D72" w:rsidRDefault="00EC657D" w:rsidP="00C61D72">
      <w:pPr>
        <w:pStyle w:val="ListParagraph"/>
        <w:spacing w:after="200" w:line="240" w:lineRule="auto"/>
        <w:rPr>
          <w:rFonts w:cstheme="minorHAnsi"/>
          <w:b/>
          <w:sz w:val="24"/>
          <w:szCs w:val="24"/>
        </w:rPr>
      </w:pPr>
    </w:p>
    <w:p w14:paraId="7F831089" w14:textId="4E4B6EE8" w:rsidR="007E61B2" w:rsidRPr="004C34E0" w:rsidRDefault="007E61B2" w:rsidP="00B20201">
      <w:pPr>
        <w:pStyle w:val="ListParagraph"/>
        <w:numPr>
          <w:ilvl w:val="0"/>
          <w:numId w:val="18"/>
        </w:numPr>
        <w:spacing w:after="200" w:line="240" w:lineRule="auto"/>
        <w:ind w:left="360" w:hanging="360"/>
        <w:rPr>
          <w:rFonts w:cstheme="minorHAnsi"/>
          <w:b/>
          <w:sz w:val="24"/>
          <w:szCs w:val="24"/>
        </w:rPr>
      </w:pPr>
      <w:r w:rsidRPr="004C34E0">
        <w:rPr>
          <w:rFonts w:cstheme="minorHAnsi"/>
          <w:b/>
          <w:sz w:val="24"/>
          <w:szCs w:val="24"/>
        </w:rPr>
        <w:t>Application Review</w:t>
      </w:r>
    </w:p>
    <w:p w14:paraId="403B5410" w14:textId="30D4EE1A" w:rsidR="00B20201" w:rsidRPr="00C61D72" w:rsidRDefault="009E4CE3" w:rsidP="00C61D72">
      <w:pPr>
        <w:pStyle w:val="ListParagraph"/>
        <w:numPr>
          <w:ilvl w:val="0"/>
          <w:numId w:val="26"/>
        </w:numPr>
        <w:spacing w:after="200" w:line="240" w:lineRule="auto"/>
        <w:rPr>
          <w:rFonts w:cstheme="minorHAnsi"/>
          <w:sz w:val="24"/>
          <w:szCs w:val="24"/>
        </w:rPr>
      </w:pPr>
      <w:r w:rsidRPr="00C61D72">
        <w:rPr>
          <w:rFonts w:cstheme="minorHAnsi"/>
          <w:sz w:val="24"/>
          <w:szCs w:val="24"/>
        </w:rPr>
        <w:t>VDH has established a Harm Reduction Review Team comprised of subject matter expe</w:t>
      </w:r>
      <w:r w:rsidR="00AB7248" w:rsidRPr="00C61D72">
        <w:rPr>
          <w:rFonts w:cstheme="minorHAnsi"/>
          <w:sz w:val="24"/>
          <w:szCs w:val="24"/>
        </w:rPr>
        <w:t>rts, epidemiologists, VD</w:t>
      </w:r>
      <w:r w:rsidR="00C85501" w:rsidRPr="00C61D72">
        <w:rPr>
          <w:rFonts w:cstheme="minorHAnsi"/>
          <w:sz w:val="24"/>
          <w:szCs w:val="24"/>
        </w:rPr>
        <w:t>H</w:t>
      </w:r>
      <w:r w:rsidRPr="00C61D72">
        <w:rPr>
          <w:rFonts w:cstheme="minorHAnsi"/>
          <w:sz w:val="24"/>
          <w:szCs w:val="24"/>
        </w:rPr>
        <w:t xml:space="preserve"> leadership</w:t>
      </w:r>
      <w:r w:rsidR="000D177A" w:rsidRPr="00C61D72">
        <w:rPr>
          <w:rFonts w:cstheme="minorHAnsi"/>
          <w:sz w:val="24"/>
          <w:szCs w:val="24"/>
        </w:rPr>
        <w:t>,</w:t>
      </w:r>
      <w:r w:rsidR="00AB7248" w:rsidRPr="00C61D72">
        <w:rPr>
          <w:rFonts w:cstheme="minorHAnsi"/>
          <w:sz w:val="24"/>
          <w:szCs w:val="24"/>
        </w:rPr>
        <w:t xml:space="preserve"> and at least one person with lived injection drug use experience</w:t>
      </w:r>
      <w:r w:rsidR="00334111" w:rsidRPr="00C61D72">
        <w:rPr>
          <w:rFonts w:cstheme="minorHAnsi"/>
          <w:sz w:val="24"/>
          <w:szCs w:val="24"/>
        </w:rPr>
        <w:t xml:space="preserve">. </w:t>
      </w:r>
      <w:r w:rsidRPr="00C61D72">
        <w:rPr>
          <w:rFonts w:cstheme="minorHAnsi"/>
          <w:sz w:val="24"/>
          <w:szCs w:val="24"/>
        </w:rPr>
        <w:t xml:space="preserve"> This team will receive and review applications at a minimum on a quarterly basis</w:t>
      </w:r>
      <w:r w:rsidR="00D62EF6" w:rsidRPr="00C61D72">
        <w:rPr>
          <w:rFonts w:cstheme="minorHAnsi"/>
          <w:sz w:val="24"/>
          <w:szCs w:val="24"/>
        </w:rPr>
        <w:t>;</w:t>
      </w:r>
      <w:r w:rsidR="00334111" w:rsidRPr="00C61D72">
        <w:rPr>
          <w:rFonts w:cstheme="minorHAnsi"/>
          <w:sz w:val="24"/>
          <w:szCs w:val="24"/>
        </w:rPr>
        <w:t xml:space="preserve">  </w:t>
      </w:r>
    </w:p>
    <w:p w14:paraId="64F28D7C" w14:textId="090A4798" w:rsidR="00B20201" w:rsidRPr="00C61D72" w:rsidRDefault="009E4CE3" w:rsidP="00C61D72">
      <w:pPr>
        <w:pStyle w:val="ListParagraph"/>
        <w:numPr>
          <w:ilvl w:val="0"/>
          <w:numId w:val="26"/>
        </w:numPr>
        <w:spacing w:after="200" w:line="240" w:lineRule="auto"/>
        <w:rPr>
          <w:rFonts w:cstheme="minorHAnsi"/>
          <w:sz w:val="24"/>
          <w:szCs w:val="24"/>
        </w:rPr>
      </w:pPr>
      <w:r w:rsidRPr="00C61D72">
        <w:rPr>
          <w:rFonts w:cstheme="minorHAnsi"/>
          <w:sz w:val="24"/>
          <w:szCs w:val="24"/>
        </w:rPr>
        <w:t>VDH staff will perform a pre-operational site visit to applicants approved by the Harm Reduction Review Team</w:t>
      </w:r>
      <w:r w:rsidR="00334111" w:rsidRPr="00C61D72">
        <w:rPr>
          <w:rFonts w:cstheme="minorHAnsi"/>
          <w:sz w:val="24"/>
          <w:szCs w:val="24"/>
        </w:rPr>
        <w:t xml:space="preserve">. </w:t>
      </w:r>
      <w:r w:rsidRPr="00C61D72">
        <w:rPr>
          <w:rFonts w:cstheme="minorHAnsi"/>
          <w:sz w:val="24"/>
          <w:szCs w:val="24"/>
        </w:rPr>
        <w:t xml:space="preserve"> This visit will provide an opportunity to validate application information, perform any additional assessment needed, and offer technical assistance to ensure successful implementation</w:t>
      </w:r>
      <w:r w:rsidR="00D62EF6" w:rsidRPr="00C61D72">
        <w:rPr>
          <w:rFonts w:cstheme="minorHAnsi"/>
          <w:sz w:val="24"/>
          <w:szCs w:val="24"/>
        </w:rPr>
        <w:t>;</w:t>
      </w:r>
    </w:p>
    <w:p w14:paraId="0C7CA964" w14:textId="6192A721" w:rsidR="00B20201" w:rsidRPr="00C61D72" w:rsidRDefault="009E4CE3" w:rsidP="00C61D72">
      <w:pPr>
        <w:pStyle w:val="ListParagraph"/>
        <w:numPr>
          <w:ilvl w:val="1"/>
          <w:numId w:val="26"/>
        </w:numPr>
        <w:spacing w:after="200" w:line="240" w:lineRule="auto"/>
        <w:rPr>
          <w:rFonts w:cstheme="minorHAnsi"/>
          <w:sz w:val="24"/>
          <w:szCs w:val="24"/>
        </w:rPr>
      </w:pPr>
      <w:r w:rsidRPr="00C61D72">
        <w:rPr>
          <w:rFonts w:cstheme="minorHAnsi"/>
          <w:sz w:val="24"/>
          <w:szCs w:val="24"/>
        </w:rPr>
        <w:t>If the site visit findings are favorable, the Health Commissioner will issue an authorization letter that will allow the entity to provide CHR services</w:t>
      </w:r>
      <w:r w:rsidR="00334111" w:rsidRPr="00C61D72">
        <w:rPr>
          <w:rFonts w:cstheme="minorHAnsi"/>
          <w:sz w:val="24"/>
          <w:szCs w:val="24"/>
        </w:rPr>
        <w:t xml:space="preserve">. </w:t>
      </w:r>
      <w:r w:rsidRPr="00C61D72">
        <w:rPr>
          <w:rFonts w:cstheme="minorHAnsi"/>
          <w:sz w:val="24"/>
          <w:szCs w:val="24"/>
        </w:rPr>
        <w:t xml:space="preserve"> </w:t>
      </w:r>
      <w:r w:rsidR="0060778F" w:rsidRPr="00C61D72">
        <w:rPr>
          <w:rFonts w:cstheme="minorHAnsi"/>
          <w:sz w:val="24"/>
          <w:szCs w:val="24"/>
        </w:rPr>
        <w:t>These steps should</w:t>
      </w:r>
      <w:r w:rsidRPr="00C61D72">
        <w:rPr>
          <w:rFonts w:cstheme="minorHAnsi"/>
          <w:sz w:val="24"/>
          <w:szCs w:val="24"/>
        </w:rPr>
        <w:t xml:space="preserve"> be completed within 45 days of VDH’s receipt of the entity’s application</w:t>
      </w:r>
      <w:r w:rsidR="00D62EF6" w:rsidRPr="00C61D72">
        <w:rPr>
          <w:rFonts w:cstheme="minorHAnsi"/>
          <w:sz w:val="24"/>
          <w:szCs w:val="24"/>
        </w:rPr>
        <w:t>;</w:t>
      </w:r>
    </w:p>
    <w:p w14:paraId="3D661505" w14:textId="138B02C5" w:rsidR="00B20201" w:rsidRPr="00C61D72" w:rsidRDefault="009E4CE3" w:rsidP="00C61D72">
      <w:pPr>
        <w:pStyle w:val="ListParagraph"/>
        <w:numPr>
          <w:ilvl w:val="1"/>
          <w:numId w:val="26"/>
        </w:numPr>
        <w:spacing w:after="200" w:line="240" w:lineRule="auto"/>
        <w:rPr>
          <w:rFonts w:cstheme="minorHAnsi"/>
          <w:sz w:val="24"/>
          <w:szCs w:val="24"/>
        </w:rPr>
      </w:pPr>
      <w:r w:rsidRPr="00C61D72">
        <w:rPr>
          <w:rFonts w:cstheme="minorHAnsi"/>
          <w:sz w:val="24"/>
          <w:szCs w:val="24"/>
        </w:rPr>
        <w:t>VDH will then establish a memorandum of agreement (MOA) with the applicant to document that it is an affiliated organization with which VDH contracts</w:t>
      </w:r>
      <w:r w:rsidR="00334111" w:rsidRPr="00C61D72">
        <w:rPr>
          <w:rFonts w:cstheme="minorHAnsi"/>
          <w:sz w:val="24"/>
          <w:szCs w:val="24"/>
        </w:rPr>
        <w:t xml:space="preserve">. </w:t>
      </w:r>
      <w:r w:rsidRPr="00C61D72">
        <w:rPr>
          <w:rFonts w:cstheme="minorHAnsi"/>
          <w:sz w:val="24"/>
          <w:szCs w:val="24"/>
        </w:rPr>
        <w:t xml:space="preserve"> The applicant may begin providing CHR services after all parties sign the MOA</w:t>
      </w:r>
      <w:r w:rsidR="00D62EF6" w:rsidRPr="00C61D72">
        <w:rPr>
          <w:rFonts w:cstheme="minorHAnsi"/>
          <w:sz w:val="24"/>
          <w:szCs w:val="24"/>
        </w:rPr>
        <w:t>; and</w:t>
      </w:r>
    </w:p>
    <w:p w14:paraId="7C271F9E" w14:textId="377C1C02" w:rsidR="002F2954" w:rsidRPr="00C61D72" w:rsidRDefault="009E4CE3" w:rsidP="00C61D72">
      <w:pPr>
        <w:pStyle w:val="ListParagraph"/>
        <w:numPr>
          <w:ilvl w:val="1"/>
          <w:numId w:val="26"/>
        </w:numPr>
        <w:spacing w:after="200" w:line="240" w:lineRule="auto"/>
        <w:rPr>
          <w:rFonts w:cstheme="minorHAnsi"/>
          <w:sz w:val="24"/>
          <w:szCs w:val="24"/>
        </w:rPr>
      </w:pPr>
      <w:r w:rsidRPr="00C61D72">
        <w:rPr>
          <w:rFonts w:cstheme="minorHAnsi"/>
          <w:sz w:val="24"/>
          <w:szCs w:val="24"/>
        </w:rPr>
        <w:t>VDH will repeat a site visit within 45 days of the start of services to ensure programs are operating under the established standards and protocols</w:t>
      </w:r>
      <w:r w:rsidR="00334111" w:rsidRPr="00C61D72">
        <w:rPr>
          <w:rFonts w:cstheme="minorHAnsi"/>
          <w:sz w:val="24"/>
          <w:szCs w:val="24"/>
        </w:rPr>
        <w:t xml:space="preserve">. </w:t>
      </w:r>
      <w:r w:rsidRPr="00C61D72">
        <w:rPr>
          <w:rFonts w:cstheme="minorHAnsi"/>
          <w:sz w:val="24"/>
          <w:szCs w:val="24"/>
        </w:rPr>
        <w:t xml:space="preserve"> Regular </w:t>
      </w:r>
      <w:r w:rsidRPr="00C61D72">
        <w:rPr>
          <w:rFonts w:cstheme="minorHAnsi"/>
          <w:sz w:val="24"/>
          <w:szCs w:val="24"/>
        </w:rPr>
        <w:lastRenderedPageBreak/>
        <w:t>site visits (at least every six months), announced or unannounced, will be performed throughout the period during which the program is operating.</w:t>
      </w:r>
    </w:p>
    <w:p w14:paraId="428EDA67" w14:textId="77777777" w:rsidR="002F2954" w:rsidRPr="00B20201" w:rsidRDefault="002F2954" w:rsidP="00B20201">
      <w:pPr>
        <w:pStyle w:val="ListParagraph"/>
        <w:spacing w:after="200" w:line="240" w:lineRule="auto"/>
        <w:rPr>
          <w:rFonts w:cstheme="minorHAnsi"/>
          <w:sz w:val="24"/>
          <w:szCs w:val="24"/>
        </w:rPr>
      </w:pPr>
    </w:p>
    <w:p w14:paraId="600D5BE1" w14:textId="77777777" w:rsidR="00706971" w:rsidRPr="004C34E0" w:rsidRDefault="00706971" w:rsidP="00B20201">
      <w:pPr>
        <w:pStyle w:val="ListParagraph"/>
        <w:numPr>
          <w:ilvl w:val="0"/>
          <w:numId w:val="18"/>
        </w:numPr>
        <w:ind w:left="360" w:hanging="360"/>
        <w:rPr>
          <w:rFonts w:cstheme="minorHAnsi"/>
          <w:b/>
          <w:sz w:val="24"/>
          <w:szCs w:val="24"/>
        </w:rPr>
      </w:pPr>
      <w:r w:rsidRPr="004C34E0">
        <w:rPr>
          <w:rFonts w:cstheme="minorHAnsi"/>
          <w:b/>
          <w:sz w:val="24"/>
          <w:szCs w:val="24"/>
        </w:rPr>
        <w:t>Programmatic Requirements</w:t>
      </w:r>
    </w:p>
    <w:p w14:paraId="7B8A9F3A" w14:textId="4B483B18" w:rsidR="00334E49" w:rsidRDefault="00236AA1" w:rsidP="001F6CB6">
      <w:pPr>
        <w:keepNext/>
        <w:spacing w:line="240" w:lineRule="auto"/>
        <w:rPr>
          <w:rFonts w:cstheme="minorHAnsi"/>
          <w:sz w:val="24"/>
          <w:szCs w:val="24"/>
        </w:rPr>
      </w:pPr>
      <w:r w:rsidRPr="00F94FE8">
        <w:rPr>
          <w:rFonts w:cstheme="minorHAnsi"/>
          <w:b/>
          <w:sz w:val="24"/>
          <w:szCs w:val="24"/>
        </w:rPr>
        <w:t>Requirement 1</w:t>
      </w:r>
      <w:r w:rsidR="00334E49" w:rsidRPr="00F94FE8">
        <w:rPr>
          <w:rFonts w:cstheme="minorHAnsi"/>
          <w:b/>
          <w:sz w:val="24"/>
          <w:szCs w:val="24"/>
        </w:rPr>
        <w:t>:</w:t>
      </w:r>
      <w:r w:rsidR="00334E49" w:rsidRPr="00F94FE8">
        <w:rPr>
          <w:rFonts w:cstheme="minorHAnsi"/>
          <w:sz w:val="24"/>
          <w:szCs w:val="24"/>
        </w:rPr>
        <w:t xml:space="preserve"> </w:t>
      </w:r>
      <w:r w:rsidR="001F6CB6" w:rsidRPr="00F94FE8">
        <w:rPr>
          <w:rFonts w:cstheme="minorHAnsi"/>
          <w:sz w:val="24"/>
          <w:szCs w:val="24"/>
        </w:rPr>
        <w:t>CHR programs are required to provide appropriate disposal of used hypodermic needles and syringes.</w:t>
      </w:r>
    </w:p>
    <w:p w14:paraId="7716BFBF" w14:textId="6798493B" w:rsidR="002F2954" w:rsidRPr="002F2954" w:rsidRDefault="002F2954" w:rsidP="00C61D72">
      <w:pPr>
        <w:pStyle w:val="ListParagraph"/>
        <w:keepNext/>
        <w:numPr>
          <w:ilvl w:val="0"/>
          <w:numId w:val="27"/>
        </w:numPr>
        <w:spacing w:line="240" w:lineRule="auto"/>
        <w:rPr>
          <w:rFonts w:cstheme="minorHAnsi"/>
          <w:sz w:val="24"/>
          <w:szCs w:val="24"/>
        </w:rPr>
      </w:pPr>
      <w:r w:rsidRPr="00F94FE8">
        <w:rPr>
          <w:rFonts w:cstheme="minorHAnsi"/>
          <w:sz w:val="24"/>
          <w:szCs w:val="24"/>
        </w:rPr>
        <w:t>Programs should collect and dispose of used needles and syringes in accordance with federal, state, and local laws and regulations an</w:t>
      </w:r>
      <w:r w:rsidR="006C5CB9">
        <w:rPr>
          <w:rFonts w:cstheme="minorHAnsi"/>
          <w:sz w:val="24"/>
          <w:szCs w:val="24"/>
        </w:rPr>
        <w:t>d p</w:t>
      </w:r>
      <w:r w:rsidRPr="00F94FE8">
        <w:rPr>
          <w:rFonts w:cstheme="minorHAnsi"/>
          <w:sz w:val="24"/>
          <w:szCs w:val="24"/>
        </w:rPr>
        <w:t>rovide safe disposal containers (sharps containers, heavy plastic containers such as those used for laundry detergent</w:t>
      </w:r>
      <w:r w:rsidR="00395726">
        <w:rPr>
          <w:rFonts w:cstheme="minorHAnsi"/>
          <w:sz w:val="24"/>
          <w:szCs w:val="24"/>
        </w:rPr>
        <w:t>)</w:t>
      </w:r>
      <w:r w:rsidRPr="00F94FE8">
        <w:rPr>
          <w:rFonts w:cstheme="minorHAnsi"/>
          <w:sz w:val="24"/>
          <w:szCs w:val="24"/>
        </w:rPr>
        <w:t>, and proper instruction on the use and lawful disposal of these containers</w:t>
      </w:r>
      <w:r>
        <w:rPr>
          <w:rFonts w:cstheme="minorHAnsi"/>
          <w:sz w:val="24"/>
          <w:szCs w:val="24"/>
        </w:rPr>
        <w:t xml:space="preserve">. </w:t>
      </w:r>
      <w:r w:rsidRPr="00F94FE8">
        <w:rPr>
          <w:rFonts w:cstheme="minorHAnsi"/>
          <w:sz w:val="24"/>
          <w:szCs w:val="24"/>
        </w:rPr>
        <w:t xml:space="preserve"> Programs are responsible for ensuring that they research and abide by these requirements</w:t>
      </w:r>
      <w:r>
        <w:rPr>
          <w:rFonts w:cstheme="minorHAnsi"/>
          <w:sz w:val="24"/>
          <w:szCs w:val="24"/>
        </w:rPr>
        <w:t>;</w:t>
      </w:r>
    </w:p>
    <w:p w14:paraId="09033671" w14:textId="77777777" w:rsidR="002F2954" w:rsidRDefault="002F2954" w:rsidP="002F2954">
      <w:pPr>
        <w:pStyle w:val="ListParagraph"/>
        <w:keepNext/>
        <w:numPr>
          <w:ilvl w:val="0"/>
          <w:numId w:val="27"/>
        </w:numPr>
        <w:spacing w:line="240" w:lineRule="auto"/>
        <w:rPr>
          <w:rFonts w:cstheme="minorHAnsi"/>
          <w:sz w:val="24"/>
          <w:szCs w:val="24"/>
        </w:rPr>
      </w:pPr>
      <w:r w:rsidRPr="00271C1A">
        <w:rPr>
          <w:rFonts w:cstheme="minorHAnsi"/>
          <w:sz w:val="24"/>
          <w:szCs w:val="24"/>
        </w:rPr>
        <w:t xml:space="preserve">Programs will use clearly labeled, rigid, puncture-resistant containers specifically designed for sharps disposal when collecting needles and syringes from participants;  </w:t>
      </w:r>
    </w:p>
    <w:p w14:paraId="5D3717EE" w14:textId="583E4BA0" w:rsidR="002F2954" w:rsidRDefault="002F2954" w:rsidP="002F2954">
      <w:pPr>
        <w:pStyle w:val="ListParagraph"/>
        <w:keepNext/>
        <w:numPr>
          <w:ilvl w:val="0"/>
          <w:numId w:val="27"/>
        </w:numPr>
        <w:spacing w:line="240" w:lineRule="auto"/>
        <w:rPr>
          <w:rFonts w:cstheme="minorHAnsi"/>
          <w:sz w:val="24"/>
          <w:szCs w:val="24"/>
        </w:rPr>
      </w:pPr>
      <w:r w:rsidRPr="00271C1A">
        <w:rPr>
          <w:rFonts w:cstheme="minorHAnsi"/>
          <w:sz w:val="24"/>
          <w:szCs w:val="24"/>
        </w:rPr>
        <w:t>Programs</w:t>
      </w:r>
      <w:r w:rsidR="006C5CB9">
        <w:rPr>
          <w:rFonts w:cstheme="minorHAnsi"/>
          <w:sz w:val="24"/>
          <w:szCs w:val="24"/>
        </w:rPr>
        <w:t xml:space="preserve"> </w:t>
      </w:r>
      <w:r w:rsidRPr="00271C1A">
        <w:rPr>
          <w:rFonts w:cstheme="minorHAnsi"/>
          <w:sz w:val="24"/>
          <w:szCs w:val="24"/>
        </w:rPr>
        <w:t>must provide written proof (e.g., contract, purchase order) of an agreement with the entity that serves as their disposal service for these items before providing services (before or at the time of the pre-operational site visit); and</w:t>
      </w:r>
    </w:p>
    <w:p w14:paraId="1A8B6733" w14:textId="597244C1" w:rsidR="00B20201" w:rsidRPr="002F2954" w:rsidRDefault="002F2954" w:rsidP="00C61D72">
      <w:pPr>
        <w:pStyle w:val="ListParagraph"/>
        <w:numPr>
          <w:ilvl w:val="0"/>
          <w:numId w:val="27"/>
        </w:numPr>
        <w:spacing w:after="200" w:line="240" w:lineRule="auto"/>
      </w:pPr>
      <w:r w:rsidRPr="00271C1A">
        <w:rPr>
          <w:rFonts w:cstheme="minorHAnsi"/>
          <w:sz w:val="24"/>
          <w:szCs w:val="24"/>
        </w:rPr>
        <w:t xml:space="preserve">VDH funded programs must track and report </w:t>
      </w:r>
      <w:r w:rsidR="006C5CB9">
        <w:rPr>
          <w:rFonts w:cstheme="minorHAnsi"/>
          <w:sz w:val="24"/>
          <w:szCs w:val="24"/>
        </w:rPr>
        <w:t xml:space="preserve">on the number of syringes returned for disposal. </w:t>
      </w:r>
    </w:p>
    <w:p w14:paraId="05514ECA" w14:textId="4B0FA2BD" w:rsidR="003C152E" w:rsidRPr="00F94FE8" w:rsidRDefault="00236AA1" w:rsidP="002C4B11">
      <w:pPr>
        <w:rPr>
          <w:rFonts w:cstheme="minorHAnsi"/>
          <w:sz w:val="24"/>
          <w:szCs w:val="24"/>
        </w:rPr>
      </w:pPr>
      <w:r w:rsidRPr="00F94FE8">
        <w:rPr>
          <w:rFonts w:cstheme="minorHAnsi"/>
          <w:b/>
          <w:sz w:val="24"/>
          <w:szCs w:val="24"/>
        </w:rPr>
        <w:t>Requirement 2</w:t>
      </w:r>
      <w:r w:rsidR="002C4B11" w:rsidRPr="00F94FE8">
        <w:rPr>
          <w:rFonts w:cstheme="minorHAnsi"/>
          <w:sz w:val="24"/>
          <w:szCs w:val="24"/>
        </w:rPr>
        <w:t xml:space="preserve">:   </w:t>
      </w:r>
      <w:r w:rsidR="00090B0C" w:rsidRPr="00F94FE8">
        <w:rPr>
          <w:rFonts w:cstheme="minorHAnsi"/>
          <w:sz w:val="24"/>
          <w:szCs w:val="24"/>
        </w:rPr>
        <w:t>CHR</w:t>
      </w:r>
      <w:r w:rsidR="002C4B11" w:rsidRPr="00F94FE8">
        <w:rPr>
          <w:rFonts w:cstheme="minorHAnsi"/>
          <w:sz w:val="24"/>
          <w:szCs w:val="24"/>
        </w:rPr>
        <w:t xml:space="preserve"> programs must provide at no cost to the participant, new and sterile hypodermic needles and syringes in quantities sufficient to ensure</w:t>
      </w:r>
      <w:r w:rsidR="00EA031E">
        <w:rPr>
          <w:rFonts w:cstheme="minorHAnsi"/>
          <w:sz w:val="24"/>
          <w:szCs w:val="24"/>
        </w:rPr>
        <w:t>, to the best of their abilities, that</w:t>
      </w:r>
      <w:r w:rsidR="002C4B11" w:rsidRPr="00F94FE8">
        <w:rPr>
          <w:rFonts w:cstheme="minorHAnsi"/>
          <w:sz w:val="24"/>
          <w:szCs w:val="24"/>
        </w:rPr>
        <w:t xml:space="preserve"> needles, syringes and other injection su</w:t>
      </w:r>
      <w:r w:rsidR="00B80E51" w:rsidRPr="00F94FE8">
        <w:rPr>
          <w:rFonts w:cstheme="minorHAnsi"/>
          <w:sz w:val="24"/>
          <w:szCs w:val="24"/>
        </w:rPr>
        <w:t>pplies are not shared or reused.</w:t>
      </w:r>
    </w:p>
    <w:p w14:paraId="1C84C4E3" w14:textId="03081C2E" w:rsidR="003C152E" w:rsidRPr="00EB6986" w:rsidRDefault="00B80E51" w:rsidP="00EB6986">
      <w:pPr>
        <w:pStyle w:val="ListParagraph"/>
        <w:numPr>
          <w:ilvl w:val="0"/>
          <w:numId w:val="20"/>
        </w:numPr>
        <w:rPr>
          <w:rFonts w:cstheme="minorHAnsi"/>
          <w:sz w:val="24"/>
          <w:szCs w:val="24"/>
        </w:rPr>
      </w:pPr>
      <w:r w:rsidRPr="00EB6986">
        <w:rPr>
          <w:rFonts w:cstheme="minorHAnsi"/>
          <w:sz w:val="24"/>
          <w:szCs w:val="24"/>
        </w:rPr>
        <w:t>Programs should not impose restrictions such as a 1:1 exchange without VDH approval</w:t>
      </w:r>
      <w:r w:rsidR="00334111">
        <w:rPr>
          <w:rFonts w:cstheme="minorHAnsi"/>
          <w:sz w:val="24"/>
          <w:szCs w:val="24"/>
        </w:rPr>
        <w:t xml:space="preserve">.  </w:t>
      </w:r>
      <w:r w:rsidRPr="00EB6986">
        <w:rPr>
          <w:rFonts w:cstheme="minorHAnsi"/>
          <w:sz w:val="24"/>
          <w:szCs w:val="24"/>
        </w:rPr>
        <w:t xml:space="preserve"> However, programs can establish a </w:t>
      </w:r>
      <w:r w:rsidR="00FB1B1E" w:rsidRPr="00EB6986">
        <w:rPr>
          <w:rFonts w:cstheme="minorHAnsi"/>
          <w:sz w:val="24"/>
          <w:szCs w:val="24"/>
        </w:rPr>
        <w:t xml:space="preserve">maximum number of syringes distributed </w:t>
      </w:r>
      <w:r w:rsidRPr="00EB6986">
        <w:rPr>
          <w:rFonts w:cstheme="minorHAnsi"/>
          <w:sz w:val="24"/>
          <w:szCs w:val="24"/>
        </w:rPr>
        <w:t xml:space="preserve">per visit </w:t>
      </w:r>
      <w:r w:rsidR="00FB1B1E" w:rsidRPr="00EB6986">
        <w:rPr>
          <w:rFonts w:cstheme="minorHAnsi"/>
          <w:sz w:val="24"/>
          <w:szCs w:val="24"/>
        </w:rPr>
        <w:t>based on supply limitations</w:t>
      </w:r>
      <w:r w:rsidR="00D62EF6">
        <w:rPr>
          <w:rFonts w:cstheme="minorHAnsi"/>
          <w:sz w:val="24"/>
          <w:szCs w:val="24"/>
        </w:rPr>
        <w:t>;</w:t>
      </w:r>
    </w:p>
    <w:p w14:paraId="2A8804A3" w14:textId="692DAFE1" w:rsidR="003C152E" w:rsidRPr="00EB6986" w:rsidRDefault="00673A36" w:rsidP="00EB6986">
      <w:pPr>
        <w:pStyle w:val="ListParagraph"/>
        <w:numPr>
          <w:ilvl w:val="0"/>
          <w:numId w:val="20"/>
        </w:numPr>
        <w:rPr>
          <w:rFonts w:cstheme="minorHAnsi"/>
          <w:sz w:val="24"/>
          <w:szCs w:val="24"/>
        </w:rPr>
      </w:pPr>
      <w:r w:rsidRPr="00EB6986">
        <w:rPr>
          <w:rFonts w:cstheme="minorHAnsi"/>
          <w:sz w:val="24"/>
          <w:szCs w:val="24"/>
        </w:rPr>
        <w:t>Programs must obtain and distribute single-use, medical-grade, sterile hypodermic needles and syringes appropriate for substances injected by their participants</w:t>
      </w:r>
      <w:r w:rsidR="00D62EF6">
        <w:rPr>
          <w:rFonts w:cstheme="minorHAnsi"/>
          <w:sz w:val="24"/>
          <w:szCs w:val="24"/>
        </w:rPr>
        <w:t>;</w:t>
      </w:r>
    </w:p>
    <w:p w14:paraId="517B2C0E" w14:textId="18C13A29" w:rsidR="003C152E" w:rsidRPr="00EB6986" w:rsidRDefault="00673A36" w:rsidP="00EB6986">
      <w:pPr>
        <w:pStyle w:val="ListParagraph"/>
        <w:numPr>
          <w:ilvl w:val="0"/>
          <w:numId w:val="20"/>
        </w:numPr>
        <w:rPr>
          <w:rFonts w:cstheme="minorHAnsi"/>
          <w:sz w:val="24"/>
          <w:szCs w:val="24"/>
        </w:rPr>
      </w:pPr>
      <w:r w:rsidRPr="00EB6986">
        <w:rPr>
          <w:rFonts w:cstheme="minorHAnsi"/>
          <w:sz w:val="24"/>
          <w:szCs w:val="24"/>
        </w:rPr>
        <w:t>Programs must provide quantities sufficient to ensure that needles, syringes, and other injection supplies are not shared or reused</w:t>
      </w:r>
      <w:r w:rsidR="00D62EF6">
        <w:rPr>
          <w:rFonts w:cstheme="minorHAnsi"/>
          <w:sz w:val="24"/>
          <w:szCs w:val="24"/>
        </w:rPr>
        <w:t>; and</w:t>
      </w:r>
    </w:p>
    <w:p w14:paraId="22353031" w14:textId="5677211A" w:rsidR="002C4B11" w:rsidRPr="00EB6986" w:rsidRDefault="00FC24FC" w:rsidP="00EB6986">
      <w:pPr>
        <w:pStyle w:val="ListParagraph"/>
        <w:numPr>
          <w:ilvl w:val="0"/>
          <w:numId w:val="20"/>
        </w:numPr>
        <w:rPr>
          <w:rFonts w:cstheme="minorHAnsi"/>
          <w:sz w:val="24"/>
          <w:szCs w:val="24"/>
        </w:rPr>
      </w:pPr>
      <w:r w:rsidRPr="00EB6986">
        <w:rPr>
          <w:rFonts w:cstheme="minorHAnsi"/>
          <w:sz w:val="24"/>
          <w:szCs w:val="24"/>
        </w:rPr>
        <w:t>All p</w:t>
      </w:r>
      <w:r w:rsidR="00673A36" w:rsidRPr="00EB6986">
        <w:rPr>
          <w:rFonts w:cstheme="minorHAnsi"/>
          <w:sz w:val="24"/>
          <w:szCs w:val="24"/>
        </w:rPr>
        <w:t>rograms must track and report</w:t>
      </w:r>
      <w:r w:rsidR="006C5CB9">
        <w:rPr>
          <w:rFonts w:cstheme="minorHAnsi"/>
          <w:sz w:val="24"/>
          <w:szCs w:val="24"/>
        </w:rPr>
        <w:t xml:space="preserve"> on the number of syringes/needles distributed to participants. </w:t>
      </w:r>
      <w:r w:rsidR="00334111">
        <w:rPr>
          <w:rFonts w:cstheme="minorHAnsi"/>
          <w:sz w:val="24"/>
          <w:szCs w:val="24"/>
        </w:rPr>
        <w:t xml:space="preserve">  </w:t>
      </w:r>
      <w:r w:rsidR="002C4B11" w:rsidRPr="00EB6986">
        <w:rPr>
          <w:rFonts w:cstheme="minorHAnsi"/>
          <w:sz w:val="24"/>
          <w:szCs w:val="24"/>
        </w:rPr>
        <w:t xml:space="preserve"> </w:t>
      </w:r>
    </w:p>
    <w:p w14:paraId="7ACBE600" w14:textId="40CDC952" w:rsidR="003C152E" w:rsidRPr="00F94FE8" w:rsidRDefault="00236AA1" w:rsidP="00FB1B1E">
      <w:pPr>
        <w:shd w:val="clear" w:color="auto" w:fill="FFFFFF"/>
        <w:spacing w:before="100" w:beforeAutospacing="1" w:after="100" w:afterAutospacing="1" w:line="270" w:lineRule="atLeast"/>
        <w:rPr>
          <w:rFonts w:eastAsia="Times New Roman" w:cstheme="minorHAnsi"/>
          <w:color w:val="333333"/>
          <w:sz w:val="24"/>
          <w:szCs w:val="24"/>
        </w:rPr>
      </w:pPr>
      <w:r w:rsidRPr="00F94FE8">
        <w:rPr>
          <w:rFonts w:eastAsia="Times New Roman" w:cstheme="minorHAnsi"/>
          <w:b/>
          <w:color w:val="333333"/>
          <w:sz w:val="24"/>
          <w:szCs w:val="24"/>
        </w:rPr>
        <w:t>Requirement 3</w:t>
      </w:r>
      <w:r w:rsidR="00FB1B1E" w:rsidRPr="00F94FE8">
        <w:rPr>
          <w:rFonts w:eastAsia="Times New Roman" w:cstheme="minorHAnsi"/>
          <w:color w:val="333333"/>
          <w:sz w:val="24"/>
          <w:szCs w:val="24"/>
        </w:rPr>
        <w:t xml:space="preserve">:  </w:t>
      </w:r>
      <w:r w:rsidR="00090B0C" w:rsidRPr="00F94FE8">
        <w:rPr>
          <w:rFonts w:eastAsia="Times New Roman" w:cstheme="minorHAnsi"/>
          <w:color w:val="333333"/>
          <w:sz w:val="24"/>
          <w:szCs w:val="24"/>
        </w:rPr>
        <w:t>CHR</w:t>
      </w:r>
      <w:r w:rsidR="00FB1B1E" w:rsidRPr="00F94FE8">
        <w:rPr>
          <w:rFonts w:eastAsia="Times New Roman" w:cstheme="minorHAnsi"/>
          <w:color w:val="333333"/>
          <w:sz w:val="24"/>
          <w:szCs w:val="24"/>
        </w:rPr>
        <w:t xml:space="preserve"> sites must provide reasonable and adequate security to their program site, program equipment and supplies and program personnel</w:t>
      </w:r>
      <w:r w:rsidR="00334111">
        <w:rPr>
          <w:rFonts w:eastAsia="Times New Roman" w:cstheme="minorHAnsi"/>
          <w:color w:val="333333"/>
          <w:sz w:val="24"/>
          <w:szCs w:val="24"/>
        </w:rPr>
        <w:t xml:space="preserve">.  </w:t>
      </w:r>
    </w:p>
    <w:p w14:paraId="270E4B32" w14:textId="68238099" w:rsidR="00FC24FC" w:rsidRPr="00EB6986" w:rsidRDefault="008336A5" w:rsidP="00EB6986">
      <w:pPr>
        <w:pStyle w:val="ListParagraph"/>
        <w:numPr>
          <w:ilvl w:val="0"/>
          <w:numId w:val="21"/>
        </w:numPr>
        <w:shd w:val="clear" w:color="auto" w:fill="FFFFFF"/>
        <w:spacing w:before="100" w:beforeAutospacing="1" w:after="100" w:afterAutospacing="1" w:line="270" w:lineRule="atLeast"/>
        <w:rPr>
          <w:rFonts w:eastAsia="Times New Roman" w:cstheme="minorHAnsi"/>
          <w:color w:val="333333"/>
          <w:sz w:val="24"/>
          <w:szCs w:val="24"/>
        </w:rPr>
      </w:pPr>
      <w:r w:rsidRPr="00EB6986">
        <w:rPr>
          <w:rFonts w:eastAsia="Times New Roman" w:cstheme="minorHAnsi"/>
          <w:color w:val="333333"/>
          <w:sz w:val="24"/>
          <w:szCs w:val="24"/>
        </w:rPr>
        <w:t>In keeping with VDH’s mission to prote</w:t>
      </w:r>
      <w:r w:rsidR="00FC24FC" w:rsidRPr="00EB6986">
        <w:rPr>
          <w:rFonts w:eastAsia="Times New Roman" w:cstheme="minorHAnsi"/>
          <w:color w:val="333333"/>
          <w:sz w:val="24"/>
          <w:szCs w:val="24"/>
        </w:rPr>
        <w:t>ct the health of all Virginians</w:t>
      </w:r>
      <w:r w:rsidR="00301D4F" w:rsidRPr="00EB6986">
        <w:rPr>
          <w:rFonts w:eastAsia="Times New Roman" w:cstheme="minorHAnsi"/>
          <w:color w:val="333333"/>
          <w:sz w:val="24"/>
          <w:szCs w:val="24"/>
        </w:rPr>
        <w:t>,</w:t>
      </w:r>
    </w:p>
    <w:p w14:paraId="33A1DDD7" w14:textId="742A1FC4" w:rsidR="00063D8F" w:rsidRDefault="007B274E" w:rsidP="00FC24FC">
      <w:pPr>
        <w:pStyle w:val="ListParagraph"/>
        <w:numPr>
          <w:ilvl w:val="1"/>
          <w:numId w:val="5"/>
        </w:numPr>
        <w:shd w:val="clear" w:color="auto" w:fill="FFFFFF"/>
        <w:spacing w:before="100" w:beforeAutospacing="1" w:after="100" w:afterAutospacing="1" w:line="270" w:lineRule="atLeast"/>
        <w:rPr>
          <w:rFonts w:eastAsia="Times New Roman" w:cstheme="minorHAnsi"/>
          <w:color w:val="333333"/>
          <w:sz w:val="24"/>
          <w:szCs w:val="24"/>
        </w:rPr>
      </w:pPr>
      <w:r>
        <w:rPr>
          <w:rFonts w:eastAsia="Times New Roman" w:cstheme="minorHAnsi"/>
          <w:color w:val="333333"/>
          <w:sz w:val="24"/>
          <w:szCs w:val="24"/>
        </w:rPr>
        <w:t>W</w:t>
      </w:r>
      <w:r w:rsidRPr="007B274E">
        <w:rPr>
          <w:rFonts w:eastAsia="Times New Roman" w:cstheme="minorHAnsi"/>
          <w:color w:val="333333"/>
          <w:sz w:val="24"/>
          <w:szCs w:val="24"/>
        </w:rPr>
        <w:t xml:space="preserve">ithin </w:t>
      </w:r>
      <w:r>
        <w:rPr>
          <w:rFonts w:eastAsia="Times New Roman" w:cstheme="minorHAnsi"/>
          <w:color w:val="333333"/>
          <w:sz w:val="24"/>
          <w:szCs w:val="24"/>
        </w:rPr>
        <w:t>six months of initiating CHR</w:t>
      </w:r>
      <w:r w:rsidRPr="007B274E">
        <w:rPr>
          <w:rFonts w:eastAsia="Times New Roman" w:cstheme="minorHAnsi"/>
          <w:color w:val="333333"/>
          <w:sz w:val="24"/>
          <w:szCs w:val="24"/>
        </w:rPr>
        <w:t xml:space="preserve">, all </w:t>
      </w:r>
      <w:r>
        <w:rPr>
          <w:rFonts w:eastAsia="Times New Roman" w:cstheme="minorHAnsi"/>
          <w:color w:val="333333"/>
          <w:sz w:val="24"/>
          <w:szCs w:val="24"/>
        </w:rPr>
        <w:t>program staff</w:t>
      </w:r>
      <w:r w:rsidRPr="007B274E">
        <w:rPr>
          <w:rFonts w:eastAsia="Times New Roman" w:cstheme="minorHAnsi"/>
          <w:color w:val="333333"/>
          <w:sz w:val="24"/>
          <w:szCs w:val="24"/>
        </w:rPr>
        <w:t xml:space="preserve"> must provide evidence that they have received the complete Hepatitis B (HBV) vaccination series or declined vaccination. Test counselors who do not want to receive the HBV vaccine may sign a waiver declaring that they have been offered vaccin</w:t>
      </w:r>
      <w:r>
        <w:rPr>
          <w:rFonts w:eastAsia="Times New Roman" w:cstheme="minorHAnsi"/>
          <w:color w:val="333333"/>
          <w:sz w:val="24"/>
          <w:szCs w:val="24"/>
        </w:rPr>
        <w:t xml:space="preserve">ation and declined </w:t>
      </w:r>
      <w:r w:rsidR="00487A1A">
        <w:rPr>
          <w:rFonts w:eastAsia="Times New Roman" w:cstheme="minorHAnsi"/>
          <w:color w:val="333333"/>
          <w:sz w:val="24"/>
          <w:szCs w:val="24"/>
        </w:rPr>
        <w:lastRenderedPageBreak/>
        <w:t>(Attachment 1</w:t>
      </w:r>
      <w:r w:rsidRPr="007B274E">
        <w:rPr>
          <w:rFonts w:eastAsia="Times New Roman" w:cstheme="minorHAnsi"/>
          <w:color w:val="333333"/>
          <w:sz w:val="24"/>
          <w:szCs w:val="24"/>
        </w:rPr>
        <w:t>). Vaccination records or waiver of vaccination must be kept in the tester’s personnel or volunteer file.</w:t>
      </w:r>
    </w:p>
    <w:p w14:paraId="5D0B8F41" w14:textId="518BB454" w:rsidR="00FB1B1E" w:rsidRPr="00F94FE8" w:rsidRDefault="00B46873" w:rsidP="00FC24FC">
      <w:pPr>
        <w:pStyle w:val="ListParagraph"/>
        <w:numPr>
          <w:ilvl w:val="1"/>
          <w:numId w:val="5"/>
        </w:numPr>
        <w:shd w:val="clear" w:color="auto" w:fill="FFFFFF"/>
        <w:spacing w:before="100" w:beforeAutospacing="1" w:after="100" w:afterAutospacing="1" w:line="270" w:lineRule="atLeast"/>
        <w:rPr>
          <w:rFonts w:eastAsia="Times New Roman" w:cstheme="minorHAnsi"/>
          <w:color w:val="333333"/>
          <w:sz w:val="24"/>
          <w:szCs w:val="24"/>
        </w:rPr>
      </w:pPr>
      <w:r>
        <w:rPr>
          <w:rFonts w:eastAsia="Times New Roman" w:cstheme="minorHAnsi"/>
          <w:color w:val="333333"/>
          <w:sz w:val="24"/>
          <w:szCs w:val="24"/>
        </w:rPr>
        <w:t>CHR site staff</w:t>
      </w:r>
      <w:r w:rsidR="00063D8F">
        <w:rPr>
          <w:rFonts w:eastAsia="Times New Roman" w:cstheme="minorHAnsi"/>
          <w:color w:val="333333"/>
          <w:sz w:val="24"/>
          <w:szCs w:val="24"/>
        </w:rPr>
        <w:t xml:space="preserve"> must complete a DDP Security and Confidentiality Agreement</w:t>
      </w:r>
      <w:r>
        <w:rPr>
          <w:rFonts w:eastAsia="Times New Roman" w:cstheme="minorHAnsi"/>
          <w:color w:val="333333"/>
          <w:sz w:val="24"/>
          <w:szCs w:val="24"/>
        </w:rPr>
        <w:t xml:space="preserve"> (Attachment 2)</w:t>
      </w:r>
      <w:r w:rsidR="00063D8F">
        <w:rPr>
          <w:rFonts w:eastAsia="Times New Roman" w:cstheme="minorHAnsi"/>
          <w:color w:val="333333"/>
          <w:sz w:val="24"/>
          <w:szCs w:val="24"/>
        </w:rPr>
        <w:t>;</w:t>
      </w:r>
      <w:r w:rsidR="00334111">
        <w:rPr>
          <w:rFonts w:eastAsia="Times New Roman" w:cstheme="minorHAnsi"/>
          <w:color w:val="333333"/>
          <w:sz w:val="24"/>
          <w:szCs w:val="24"/>
        </w:rPr>
        <w:t xml:space="preserve">  </w:t>
      </w:r>
      <w:r w:rsidR="008336A5" w:rsidRPr="00F94FE8">
        <w:rPr>
          <w:rFonts w:eastAsia="Times New Roman" w:cstheme="minorHAnsi"/>
          <w:color w:val="333333"/>
          <w:sz w:val="24"/>
          <w:szCs w:val="24"/>
        </w:rPr>
        <w:t xml:space="preserve"> </w:t>
      </w:r>
    </w:p>
    <w:p w14:paraId="1F8398D7" w14:textId="73ABF26F" w:rsidR="00B625E0" w:rsidRPr="00F94FE8" w:rsidRDefault="008336A5" w:rsidP="00FC24FC">
      <w:pPr>
        <w:pStyle w:val="ListParagraph"/>
        <w:numPr>
          <w:ilvl w:val="1"/>
          <w:numId w:val="5"/>
        </w:numPr>
        <w:shd w:val="clear" w:color="auto" w:fill="FFFFFF"/>
        <w:spacing w:before="100" w:beforeAutospacing="1" w:after="100" w:afterAutospacing="1" w:line="270" w:lineRule="atLeast"/>
        <w:rPr>
          <w:rFonts w:eastAsia="Times New Roman" w:cstheme="minorHAnsi"/>
          <w:color w:val="333333"/>
          <w:sz w:val="24"/>
          <w:szCs w:val="24"/>
        </w:rPr>
      </w:pPr>
      <w:r w:rsidRPr="00F94FE8">
        <w:rPr>
          <w:rFonts w:eastAsia="Times New Roman" w:cstheme="minorHAnsi"/>
          <w:color w:val="333333"/>
          <w:sz w:val="24"/>
          <w:szCs w:val="24"/>
        </w:rPr>
        <w:t>Sites must comply with OSHA, A</w:t>
      </w:r>
      <w:r w:rsidR="00063D8F">
        <w:rPr>
          <w:rFonts w:eastAsia="Times New Roman" w:cstheme="minorHAnsi"/>
          <w:color w:val="333333"/>
          <w:sz w:val="24"/>
          <w:szCs w:val="24"/>
        </w:rPr>
        <w:t xml:space="preserve">mericans with </w:t>
      </w:r>
      <w:r w:rsidRPr="00F94FE8">
        <w:rPr>
          <w:rFonts w:eastAsia="Times New Roman" w:cstheme="minorHAnsi"/>
          <w:color w:val="333333"/>
          <w:sz w:val="24"/>
          <w:szCs w:val="24"/>
        </w:rPr>
        <w:t>D</w:t>
      </w:r>
      <w:r w:rsidR="00063D8F">
        <w:rPr>
          <w:rFonts w:eastAsia="Times New Roman" w:cstheme="minorHAnsi"/>
          <w:color w:val="333333"/>
          <w:sz w:val="24"/>
          <w:szCs w:val="24"/>
        </w:rPr>
        <w:t xml:space="preserve">isabilities </w:t>
      </w:r>
      <w:r w:rsidRPr="00F94FE8">
        <w:rPr>
          <w:rFonts w:eastAsia="Times New Roman" w:cstheme="minorHAnsi"/>
          <w:color w:val="333333"/>
          <w:sz w:val="24"/>
          <w:szCs w:val="24"/>
        </w:rPr>
        <w:t>A</w:t>
      </w:r>
      <w:r w:rsidR="00063D8F">
        <w:rPr>
          <w:rFonts w:eastAsia="Times New Roman" w:cstheme="minorHAnsi"/>
          <w:color w:val="333333"/>
          <w:sz w:val="24"/>
          <w:szCs w:val="24"/>
        </w:rPr>
        <w:t>ct</w:t>
      </w:r>
      <w:r w:rsidR="00D62EF6">
        <w:rPr>
          <w:rFonts w:eastAsia="Times New Roman" w:cstheme="minorHAnsi"/>
          <w:color w:val="333333"/>
          <w:sz w:val="24"/>
          <w:szCs w:val="24"/>
        </w:rPr>
        <w:t>;</w:t>
      </w:r>
      <w:r w:rsidR="00334111">
        <w:rPr>
          <w:rFonts w:eastAsia="Times New Roman" w:cstheme="minorHAnsi"/>
          <w:color w:val="333333"/>
          <w:sz w:val="24"/>
          <w:szCs w:val="24"/>
        </w:rPr>
        <w:t xml:space="preserve"> </w:t>
      </w:r>
    </w:p>
    <w:p w14:paraId="168B3CFC" w14:textId="06228AAC" w:rsidR="008336A5" w:rsidRPr="00F94FE8" w:rsidRDefault="00B625E0" w:rsidP="00FC24FC">
      <w:pPr>
        <w:pStyle w:val="ListParagraph"/>
        <w:numPr>
          <w:ilvl w:val="1"/>
          <w:numId w:val="5"/>
        </w:numPr>
        <w:shd w:val="clear" w:color="auto" w:fill="FFFFFF"/>
        <w:spacing w:before="100" w:beforeAutospacing="1" w:after="100" w:afterAutospacing="1" w:line="270" w:lineRule="atLeast"/>
        <w:rPr>
          <w:rFonts w:eastAsia="Times New Roman" w:cstheme="minorHAnsi"/>
          <w:color w:val="333333"/>
          <w:sz w:val="24"/>
          <w:szCs w:val="24"/>
        </w:rPr>
      </w:pPr>
      <w:r w:rsidRPr="00F94FE8">
        <w:rPr>
          <w:rFonts w:eastAsia="Times New Roman" w:cstheme="minorHAnsi"/>
          <w:color w:val="333333"/>
          <w:sz w:val="24"/>
          <w:szCs w:val="24"/>
        </w:rPr>
        <w:t xml:space="preserve">Program staff must receive </w:t>
      </w:r>
      <w:r w:rsidR="00FD31CA" w:rsidRPr="00F94FE8">
        <w:rPr>
          <w:rFonts w:eastAsia="Times New Roman" w:cstheme="minorHAnsi"/>
          <w:color w:val="333333"/>
          <w:sz w:val="24"/>
          <w:szCs w:val="24"/>
        </w:rPr>
        <w:t>universal precautions trainings</w:t>
      </w:r>
      <w:r w:rsidR="00334111">
        <w:rPr>
          <w:rFonts w:eastAsia="Times New Roman" w:cstheme="minorHAnsi"/>
          <w:color w:val="333333"/>
          <w:sz w:val="24"/>
          <w:szCs w:val="24"/>
        </w:rPr>
        <w:t xml:space="preserve">.  </w:t>
      </w:r>
      <w:r w:rsidR="00FD31CA" w:rsidRPr="00F94FE8">
        <w:rPr>
          <w:rFonts w:eastAsia="Times New Roman" w:cstheme="minorHAnsi"/>
          <w:color w:val="333333"/>
          <w:sz w:val="24"/>
          <w:szCs w:val="24"/>
        </w:rPr>
        <w:t>VDH can provide assistance in obtaining this training</w:t>
      </w:r>
      <w:r w:rsidR="00D62EF6">
        <w:rPr>
          <w:rFonts w:eastAsia="Times New Roman" w:cstheme="minorHAnsi"/>
          <w:color w:val="333333"/>
          <w:sz w:val="24"/>
          <w:szCs w:val="24"/>
        </w:rPr>
        <w:t>;</w:t>
      </w:r>
      <w:r w:rsidR="00334111">
        <w:rPr>
          <w:rFonts w:eastAsia="Times New Roman" w:cstheme="minorHAnsi"/>
          <w:color w:val="333333"/>
          <w:sz w:val="24"/>
          <w:szCs w:val="24"/>
        </w:rPr>
        <w:t xml:space="preserve">  </w:t>
      </w:r>
    </w:p>
    <w:p w14:paraId="76AF50F5" w14:textId="4DF5391B" w:rsidR="008336A5" w:rsidRPr="00F94FE8" w:rsidRDefault="008336A5" w:rsidP="00FC24FC">
      <w:pPr>
        <w:pStyle w:val="ListParagraph"/>
        <w:numPr>
          <w:ilvl w:val="1"/>
          <w:numId w:val="5"/>
        </w:numPr>
        <w:shd w:val="clear" w:color="auto" w:fill="FFFFFF"/>
        <w:spacing w:before="100" w:beforeAutospacing="1" w:after="100" w:afterAutospacing="1" w:line="270" w:lineRule="atLeast"/>
        <w:rPr>
          <w:rFonts w:eastAsia="Times New Roman" w:cstheme="minorHAnsi"/>
          <w:color w:val="333333"/>
          <w:sz w:val="24"/>
          <w:szCs w:val="24"/>
        </w:rPr>
      </w:pPr>
      <w:r w:rsidRPr="00F94FE8">
        <w:rPr>
          <w:rFonts w:eastAsia="Times New Roman" w:cstheme="minorHAnsi"/>
          <w:color w:val="333333"/>
          <w:sz w:val="24"/>
          <w:szCs w:val="24"/>
        </w:rPr>
        <w:t>Program staff should receive blood-borne pathogen education</w:t>
      </w:r>
      <w:r w:rsidR="00334111">
        <w:rPr>
          <w:rFonts w:eastAsia="Times New Roman" w:cstheme="minorHAnsi"/>
          <w:color w:val="333333"/>
          <w:sz w:val="24"/>
          <w:szCs w:val="24"/>
        </w:rPr>
        <w:t xml:space="preserve">. </w:t>
      </w:r>
      <w:r w:rsidR="00686773">
        <w:rPr>
          <w:rFonts w:eastAsia="Times New Roman" w:cstheme="minorHAnsi"/>
          <w:color w:val="333333"/>
          <w:sz w:val="24"/>
          <w:szCs w:val="24"/>
        </w:rPr>
        <w:t xml:space="preserve"> </w:t>
      </w:r>
      <w:r w:rsidR="0076597F" w:rsidRPr="00F94FE8">
        <w:rPr>
          <w:rFonts w:eastAsia="Times New Roman" w:cstheme="minorHAnsi"/>
          <w:color w:val="333333"/>
          <w:sz w:val="24"/>
          <w:szCs w:val="24"/>
        </w:rPr>
        <w:t>VDH can provide assistance in obtaining this training</w:t>
      </w:r>
      <w:r w:rsidR="00D62EF6">
        <w:rPr>
          <w:rFonts w:eastAsia="Times New Roman" w:cstheme="minorHAnsi"/>
          <w:color w:val="333333"/>
          <w:sz w:val="24"/>
          <w:szCs w:val="24"/>
        </w:rPr>
        <w:t>;</w:t>
      </w:r>
      <w:r w:rsidR="00334111">
        <w:rPr>
          <w:rFonts w:eastAsia="Times New Roman" w:cstheme="minorHAnsi"/>
          <w:color w:val="333333"/>
          <w:sz w:val="24"/>
          <w:szCs w:val="24"/>
        </w:rPr>
        <w:t xml:space="preserve">  </w:t>
      </w:r>
    </w:p>
    <w:p w14:paraId="3EC1B6CC" w14:textId="3DC24658" w:rsidR="00B625E0" w:rsidRPr="00F94FE8" w:rsidRDefault="00B625E0" w:rsidP="00FC24FC">
      <w:pPr>
        <w:pStyle w:val="ListParagraph"/>
        <w:numPr>
          <w:ilvl w:val="1"/>
          <w:numId w:val="5"/>
        </w:numPr>
        <w:shd w:val="clear" w:color="auto" w:fill="FFFFFF"/>
        <w:spacing w:before="100" w:beforeAutospacing="1" w:after="100" w:afterAutospacing="1" w:line="270" w:lineRule="atLeast"/>
        <w:rPr>
          <w:rFonts w:eastAsia="Times New Roman" w:cstheme="minorHAnsi"/>
          <w:color w:val="333333"/>
          <w:sz w:val="24"/>
          <w:szCs w:val="24"/>
        </w:rPr>
      </w:pPr>
      <w:r w:rsidRPr="00F94FE8">
        <w:rPr>
          <w:rFonts w:eastAsia="Times New Roman" w:cstheme="minorHAnsi"/>
          <w:color w:val="333333"/>
          <w:sz w:val="24"/>
          <w:szCs w:val="24"/>
        </w:rPr>
        <w:t xml:space="preserve">Participant records must be keep locked in a secure area, with three-levels of protection (locked file cabinet, </w:t>
      </w:r>
      <w:r w:rsidR="0000384C">
        <w:rPr>
          <w:rFonts w:eastAsia="Times New Roman" w:cstheme="minorHAnsi"/>
          <w:color w:val="333333"/>
          <w:sz w:val="24"/>
          <w:szCs w:val="24"/>
        </w:rPr>
        <w:t xml:space="preserve">in a </w:t>
      </w:r>
      <w:r w:rsidRPr="00F94FE8">
        <w:rPr>
          <w:rFonts w:eastAsia="Times New Roman" w:cstheme="minorHAnsi"/>
          <w:color w:val="333333"/>
          <w:sz w:val="24"/>
          <w:szCs w:val="24"/>
        </w:rPr>
        <w:t xml:space="preserve">locked room </w:t>
      </w:r>
      <w:r w:rsidR="0000384C">
        <w:rPr>
          <w:rFonts w:eastAsia="Times New Roman" w:cstheme="minorHAnsi"/>
          <w:color w:val="333333"/>
          <w:sz w:val="24"/>
          <w:szCs w:val="24"/>
        </w:rPr>
        <w:t>in a</w:t>
      </w:r>
      <w:r w:rsidRPr="00F94FE8">
        <w:rPr>
          <w:rFonts w:eastAsia="Times New Roman" w:cstheme="minorHAnsi"/>
          <w:color w:val="333333"/>
          <w:sz w:val="24"/>
          <w:szCs w:val="24"/>
        </w:rPr>
        <w:t xml:space="preserve"> locked building</w:t>
      </w:r>
      <w:r w:rsidR="0000384C">
        <w:rPr>
          <w:rFonts w:eastAsia="Times New Roman" w:cstheme="minorHAnsi"/>
          <w:color w:val="333333"/>
          <w:sz w:val="24"/>
          <w:szCs w:val="24"/>
        </w:rPr>
        <w:t xml:space="preserve"> or office</w:t>
      </w:r>
      <w:r w:rsidRPr="00F94FE8">
        <w:rPr>
          <w:rFonts w:eastAsia="Times New Roman" w:cstheme="minorHAnsi"/>
          <w:color w:val="333333"/>
          <w:sz w:val="24"/>
          <w:szCs w:val="24"/>
        </w:rPr>
        <w:t>)</w:t>
      </w:r>
      <w:r w:rsidR="00D62EF6">
        <w:rPr>
          <w:rFonts w:eastAsia="Times New Roman" w:cstheme="minorHAnsi"/>
          <w:color w:val="333333"/>
          <w:sz w:val="24"/>
          <w:szCs w:val="24"/>
        </w:rPr>
        <w:t>;</w:t>
      </w:r>
    </w:p>
    <w:p w14:paraId="5EDAC548" w14:textId="35979D5F" w:rsidR="00673A36" w:rsidRPr="00F94FE8" w:rsidRDefault="00673A36" w:rsidP="00FC24FC">
      <w:pPr>
        <w:pStyle w:val="ListParagraph"/>
        <w:numPr>
          <w:ilvl w:val="1"/>
          <w:numId w:val="5"/>
        </w:numPr>
        <w:spacing w:after="200" w:line="240" w:lineRule="auto"/>
        <w:rPr>
          <w:rFonts w:cstheme="minorHAnsi"/>
          <w:sz w:val="24"/>
          <w:szCs w:val="24"/>
        </w:rPr>
      </w:pPr>
      <w:r w:rsidRPr="00F94FE8">
        <w:rPr>
          <w:rFonts w:cstheme="minorHAnsi"/>
          <w:sz w:val="24"/>
          <w:szCs w:val="24"/>
        </w:rPr>
        <w:t>Programs must submit a security plan to VDH</w:t>
      </w:r>
      <w:r w:rsidR="00D62EF6">
        <w:rPr>
          <w:rFonts w:cstheme="minorHAnsi"/>
          <w:sz w:val="24"/>
          <w:szCs w:val="24"/>
        </w:rPr>
        <w:t>;</w:t>
      </w:r>
    </w:p>
    <w:p w14:paraId="09CF52AC" w14:textId="147D183C" w:rsidR="00673A36" w:rsidRDefault="00673A36" w:rsidP="00FC24FC">
      <w:pPr>
        <w:pStyle w:val="ListParagraph"/>
        <w:numPr>
          <w:ilvl w:val="1"/>
          <w:numId w:val="5"/>
        </w:numPr>
        <w:spacing w:after="200" w:line="240" w:lineRule="auto"/>
        <w:rPr>
          <w:rFonts w:cstheme="minorHAnsi"/>
          <w:sz w:val="24"/>
          <w:szCs w:val="24"/>
        </w:rPr>
      </w:pPr>
      <w:r w:rsidRPr="00F94FE8">
        <w:rPr>
          <w:rFonts w:cstheme="minorHAnsi"/>
          <w:sz w:val="24"/>
          <w:szCs w:val="24"/>
        </w:rPr>
        <w:t>Programs must offer local law enforcement the opportunity to review their security plan</w:t>
      </w:r>
      <w:r w:rsidR="00D62EF6">
        <w:rPr>
          <w:rFonts w:cstheme="minorHAnsi"/>
          <w:sz w:val="24"/>
          <w:szCs w:val="24"/>
        </w:rPr>
        <w:t>; and</w:t>
      </w:r>
    </w:p>
    <w:p w14:paraId="2AB328FE" w14:textId="382263BF" w:rsidR="00AB7248" w:rsidRDefault="00AB7248" w:rsidP="00FC24FC">
      <w:pPr>
        <w:pStyle w:val="ListParagraph"/>
        <w:numPr>
          <w:ilvl w:val="1"/>
          <w:numId w:val="5"/>
        </w:numPr>
        <w:spacing w:after="200" w:line="240" w:lineRule="auto"/>
        <w:rPr>
          <w:rFonts w:cstheme="minorHAnsi"/>
          <w:sz w:val="24"/>
          <w:szCs w:val="24"/>
        </w:rPr>
      </w:pPr>
      <w:r>
        <w:rPr>
          <w:rFonts w:cstheme="minorHAnsi"/>
          <w:sz w:val="24"/>
          <w:szCs w:val="24"/>
        </w:rPr>
        <w:t>Street and mobile outreach and staffing of fixed sites should include at least two program personnel</w:t>
      </w:r>
      <w:r w:rsidR="00334111">
        <w:rPr>
          <w:rFonts w:cstheme="minorHAnsi"/>
          <w:sz w:val="24"/>
          <w:szCs w:val="24"/>
        </w:rPr>
        <w:t xml:space="preserve">. </w:t>
      </w:r>
      <w:r>
        <w:rPr>
          <w:rFonts w:cstheme="minorHAnsi"/>
          <w:sz w:val="24"/>
          <w:szCs w:val="24"/>
        </w:rPr>
        <w:t xml:space="preserve"> Home visits, counseling sessions, and other meetings requiring confidentiality and privacy do not require two individuals</w:t>
      </w:r>
      <w:r w:rsidR="00334111">
        <w:rPr>
          <w:rFonts w:cstheme="minorHAnsi"/>
          <w:sz w:val="24"/>
          <w:szCs w:val="24"/>
        </w:rPr>
        <w:t xml:space="preserve">. </w:t>
      </w:r>
      <w:r>
        <w:rPr>
          <w:rFonts w:cstheme="minorHAnsi"/>
          <w:sz w:val="24"/>
          <w:szCs w:val="24"/>
        </w:rPr>
        <w:t xml:space="preserve"> Programs should provide precautions that these visits be conducted in the safest way possible and </w:t>
      </w:r>
      <w:r w:rsidR="00FF6FD1">
        <w:rPr>
          <w:rFonts w:cstheme="minorHAnsi"/>
          <w:sz w:val="24"/>
          <w:szCs w:val="24"/>
        </w:rPr>
        <w:t>describe these precautions in their safety plan.</w:t>
      </w:r>
    </w:p>
    <w:p w14:paraId="7F5A806E" w14:textId="5BDD73AB" w:rsidR="00CC5364" w:rsidRPr="00F94FE8" w:rsidRDefault="00236AA1" w:rsidP="00F562F8">
      <w:pPr>
        <w:shd w:val="clear" w:color="auto" w:fill="FFFFFF"/>
        <w:spacing w:before="100" w:beforeAutospacing="1" w:after="100" w:afterAutospacing="1" w:line="270" w:lineRule="atLeast"/>
        <w:rPr>
          <w:rFonts w:eastAsia="Times New Roman" w:cstheme="minorHAnsi"/>
          <w:color w:val="333333"/>
          <w:sz w:val="24"/>
          <w:szCs w:val="24"/>
        </w:rPr>
      </w:pPr>
      <w:r w:rsidRPr="00F94FE8">
        <w:rPr>
          <w:rFonts w:eastAsia="Times New Roman" w:cstheme="minorHAnsi"/>
          <w:b/>
          <w:color w:val="333333"/>
          <w:sz w:val="24"/>
          <w:szCs w:val="24"/>
        </w:rPr>
        <w:t>Requirement 4</w:t>
      </w:r>
      <w:r w:rsidR="00207E13" w:rsidRPr="00F94FE8">
        <w:rPr>
          <w:rFonts w:eastAsia="Times New Roman" w:cstheme="minorHAnsi"/>
          <w:b/>
          <w:color w:val="333333"/>
          <w:sz w:val="24"/>
          <w:szCs w:val="24"/>
        </w:rPr>
        <w:t>:</w:t>
      </w:r>
      <w:r w:rsidR="00207E13" w:rsidRPr="00F94FE8">
        <w:rPr>
          <w:rFonts w:eastAsia="Times New Roman" w:cstheme="minorHAnsi"/>
          <w:color w:val="333333"/>
          <w:sz w:val="24"/>
          <w:szCs w:val="24"/>
        </w:rPr>
        <w:t xml:space="preserve">  </w:t>
      </w:r>
      <w:r w:rsidR="00090B0C" w:rsidRPr="00C85501">
        <w:rPr>
          <w:rFonts w:eastAsia="Times New Roman" w:cstheme="minorHAnsi"/>
          <w:color w:val="333333"/>
          <w:sz w:val="24"/>
          <w:szCs w:val="24"/>
        </w:rPr>
        <w:t>CHR</w:t>
      </w:r>
      <w:r w:rsidR="00207E13" w:rsidRPr="00C85501">
        <w:rPr>
          <w:rFonts w:eastAsia="Times New Roman" w:cstheme="minorHAnsi"/>
          <w:color w:val="333333"/>
          <w:sz w:val="24"/>
          <w:szCs w:val="24"/>
        </w:rPr>
        <w:t xml:space="preserve"> sites must provide</w:t>
      </w:r>
      <w:r w:rsidR="00CC5364" w:rsidRPr="00C85501">
        <w:rPr>
          <w:rFonts w:eastAsia="Times New Roman" w:cstheme="minorHAnsi"/>
          <w:color w:val="333333"/>
          <w:sz w:val="24"/>
          <w:szCs w:val="24"/>
        </w:rPr>
        <w:t xml:space="preserve"> educational materials concerning </w:t>
      </w:r>
      <w:r w:rsidR="00CC5364" w:rsidRPr="00C85501">
        <w:rPr>
          <w:rFonts w:eastAsia="Times New Roman" w:cstheme="minorHAnsi"/>
          <w:iCs/>
          <w:color w:val="333333"/>
          <w:sz w:val="24"/>
          <w:szCs w:val="24"/>
        </w:rPr>
        <w:t xml:space="preserve">(a) substance use disorder prevention, (b) overdose </w:t>
      </w:r>
      <w:r w:rsidR="00CC5364" w:rsidRPr="00C85501">
        <w:rPr>
          <w:rFonts w:eastAsia="Times New Roman" w:cstheme="minorHAnsi"/>
          <w:color w:val="333333"/>
          <w:sz w:val="24"/>
          <w:szCs w:val="24"/>
        </w:rPr>
        <w:t>prevention</w:t>
      </w:r>
      <w:r w:rsidR="00CC5364" w:rsidRPr="00C85501">
        <w:rPr>
          <w:rFonts w:eastAsia="Times New Roman" w:cstheme="minorHAnsi"/>
          <w:iCs/>
          <w:color w:val="333333"/>
          <w:sz w:val="24"/>
          <w:szCs w:val="24"/>
        </w:rPr>
        <w:t>, (c) the prevention of transmission of HIV, viral hepatitis, and other blood-borne diseases, (d) available mental health treatment options, including referrals for mental health treatment,</w:t>
      </w:r>
      <w:r w:rsidR="00CC5364" w:rsidRPr="00C85501">
        <w:rPr>
          <w:rFonts w:eastAsia="Times New Roman" w:cstheme="minorHAnsi"/>
          <w:color w:val="333333"/>
          <w:sz w:val="24"/>
          <w:szCs w:val="24"/>
        </w:rPr>
        <w:t xml:space="preserve"> and</w:t>
      </w:r>
      <w:r w:rsidR="00CC5364" w:rsidRPr="00C85501">
        <w:rPr>
          <w:rFonts w:eastAsia="Times New Roman" w:cstheme="minorHAnsi"/>
          <w:iCs/>
          <w:color w:val="333333"/>
          <w:sz w:val="24"/>
          <w:szCs w:val="24"/>
        </w:rPr>
        <w:t xml:space="preserve"> (e) available substance use disorder</w:t>
      </w:r>
      <w:r w:rsidR="00CC5364" w:rsidRPr="00C85501">
        <w:rPr>
          <w:rFonts w:eastAsia="Times New Roman" w:cstheme="minorHAnsi"/>
          <w:color w:val="333333"/>
          <w:sz w:val="24"/>
          <w:szCs w:val="24"/>
        </w:rPr>
        <w:t xml:space="preserve"> treatment</w:t>
      </w:r>
      <w:r w:rsidR="00CC5364" w:rsidRPr="00C85501">
        <w:rPr>
          <w:rFonts w:eastAsia="Times New Roman" w:cstheme="minorHAnsi"/>
          <w:iCs/>
          <w:color w:val="333333"/>
          <w:sz w:val="24"/>
          <w:szCs w:val="24"/>
        </w:rPr>
        <w:t xml:space="preserve"> options, which shall include options for medication assisted treatment of substance use disorder, including referrals for treatment</w:t>
      </w:r>
      <w:r w:rsidR="00207E13" w:rsidRPr="00C85501">
        <w:rPr>
          <w:rFonts w:eastAsia="Times New Roman" w:cstheme="minorHAnsi"/>
          <w:color w:val="333333"/>
          <w:sz w:val="24"/>
          <w:szCs w:val="24"/>
        </w:rPr>
        <w:t xml:space="preserve"> to participants.</w:t>
      </w:r>
    </w:p>
    <w:p w14:paraId="35DF1650" w14:textId="77777777" w:rsidR="00063D8F" w:rsidRDefault="002F2954" w:rsidP="00C61D72">
      <w:pPr>
        <w:pStyle w:val="ListParagraph"/>
        <w:numPr>
          <w:ilvl w:val="0"/>
          <w:numId w:val="28"/>
        </w:numPr>
        <w:shd w:val="clear" w:color="auto" w:fill="FFFFFF"/>
        <w:spacing w:before="100" w:beforeAutospacing="1" w:after="100" w:afterAutospacing="1" w:line="270" w:lineRule="atLeast"/>
        <w:rPr>
          <w:rFonts w:eastAsia="Times New Roman" w:cstheme="minorHAnsi"/>
          <w:color w:val="333333"/>
          <w:sz w:val="24"/>
          <w:szCs w:val="24"/>
        </w:rPr>
      </w:pPr>
      <w:r>
        <w:rPr>
          <w:rFonts w:eastAsia="Times New Roman" w:cstheme="minorHAnsi"/>
          <w:color w:val="333333"/>
          <w:sz w:val="24"/>
          <w:szCs w:val="24"/>
        </w:rPr>
        <w:t>E</w:t>
      </w:r>
      <w:r w:rsidR="001A665D" w:rsidRPr="00C61D72">
        <w:rPr>
          <w:rFonts w:eastAsia="Times New Roman" w:cstheme="minorHAnsi"/>
          <w:color w:val="333333"/>
          <w:sz w:val="24"/>
          <w:szCs w:val="24"/>
        </w:rPr>
        <w:t>ducational materials that inform participants about prevention and treatment</w:t>
      </w:r>
      <w:r w:rsidR="0000384C" w:rsidRPr="00C61D72">
        <w:rPr>
          <w:rFonts w:eastAsia="Times New Roman" w:cstheme="minorHAnsi"/>
          <w:color w:val="333333"/>
          <w:sz w:val="24"/>
          <w:szCs w:val="24"/>
        </w:rPr>
        <w:t xml:space="preserve"> of HIV, </w:t>
      </w:r>
      <w:r w:rsidR="003C152E" w:rsidRPr="00C61D72">
        <w:rPr>
          <w:rFonts w:eastAsia="Times New Roman" w:cstheme="minorHAnsi"/>
          <w:color w:val="333333"/>
          <w:sz w:val="24"/>
          <w:szCs w:val="24"/>
        </w:rPr>
        <w:t>HCV</w:t>
      </w:r>
      <w:r w:rsidR="0000384C" w:rsidRPr="00C61D72">
        <w:rPr>
          <w:rFonts w:eastAsia="Times New Roman" w:cstheme="minorHAnsi"/>
          <w:color w:val="333333"/>
          <w:sz w:val="24"/>
          <w:szCs w:val="24"/>
        </w:rPr>
        <w:t xml:space="preserve"> and other blood-borne pathogens</w:t>
      </w:r>
      <w:r w:rsidR="001A665D" w:rsidRPr="00C61D72">
        <w:rPr>
          <w:rFonts w:eastAsia="Times New Roman" w:cstheme="minorHAnsi"/>
          <w:color w:val="333333"/>
          <w:sz w:val="24"/>
          <w:szCs w:val="24"/>
        </w:rPr>
        <w:t xml:space="preserve"> </w:t>
      </w:r>
    </w:p>
    <w:p w14:paraId="5167D62B" w14:textId="4CD6188C" w:rsidR="002F2954" w:rsidRPr="00C61D72" w:rsidRDefault="00063D8F" w:rsidP="00C61D72">
      <w:pPr>
        <w:pStyle w:val="ListParagraph"/>
        <w:numPr>
          <w:ilvl w:val="0"/>
          <w:numId w:val="28"/>
        </w:numPr>
        <w:shd w:val="clear" w:color="auto" w:fill="FFFFFF"/>
        <w:spacing w:before="100" w:beforeAutospacing="1" w:after="100" w:afterAutospacing="1" w:line="270" w:lineRule="atLeast"/>
        <w:rPr>
          <w:rFonts w:eastAsia="Times New Roman" w:cstheme="minorHAnsi"/>
          <w:color w:val="333333"/>
          <w:sz w:val="24"/>
          <w:szCs w:val="24"/>
        </w:rPr>
      </w:pPr>
      <w:r>
        <w:rPr>
          <w:rFonts w:eastAsia="Times New Roman" w:cstheme="minorHAnsi"/>
          <w:color w:val="333333"/>
          <w:sz w:val="24"/>
          <w:szCs w:val="24"/>
        </w:rPr>
        <w:t>M</w:t>
      </w:r>
      <w:r w:rsidR="001A665D" w:rsidRPr="00C61D72">
        <w:rPr>
          <w:rFonts w:eastAsia="Times New Roman" w:cstheme="minorHAnsi"/>
          <w:color w:val="333333"/>
          <w:sz w:val="24"/>
          <w:szCs w:val="24"/>
        </w:rPr>
        <w:t>aterials must reinforce harm reduction counseling described above and include information about where and how participants can access substance use disorder treatment</w:t>
      </w:r>
      <w:r>
        <w:rPr>
          <w:rFonts w:eastAsia="Times New Roman" w:cstheme="minorHAnsi"/>
          <w:color w:val="333333"/>
          <w:sz w:val="24"/>
          <w:szCs w:val="24"/>
        </w:rPr>
        <w:t>;</w:t>
      </w:r>
      <w:r w:rsidR="00686773" w:rsidRPr="00C61D72">
        <w:rPr>
          <w:rFonts w:eastAsia="Times New Roman" w:cstheme="minorHAnsi"/>
          <w:color w:val="333333"/>
          <w:sz w:val="24"/>
          <w:szCs w:val="24"/>
        </w:rPr>
        <w:t xml:space="preserve"> </w:t>
      </w:r>
    </w:p>
    <w:p w14:paraId="5AFD8DBB" w14:textId="3942C854" w:rsidR="002F2954" w:rsidRPr="00C61D72" w:rsidRDefault="00207E13" w:rsidP="00C61D72">
      <w:pPr>
        <w:pStyle w:val="ListParagraph"/>
        <w:numPr>
          <w:ilvl w:val="0"/>
          <w:numId w:val="28"/>
        </w:numPr>
        <w:shd w:val="clear" w:color="auto" w:fill="FFFFFF"/>
        <w:spacing w:before="100" w:beforeAutospacing="1" w:after="100" w:afterAutospacing="1" w:line="270" w:lineRule="atLeast"/>
        <w:rPr>
          <w:rFonts w:eastAsia="Times New Roman" w:cstheme="minorHAnsi"/>
          <w:color w:val="333333"/>
          <w:sz w:val="24"/>
          <w:szCs w:val="24"/>
        </w:rPr>
      </w:pPr>
      <w:r w:rsidRPr="00C61D72">
        <w:rPr>
          <w:rFonts w:eastAsia="Times New Roman" w:cstheme="minorHAnsi"/>
          <w:color w:val="333333"/>
          <w:sz w:val="24"/>
          <w:szCs w:val="24"/>
        </w:rPr>
        <w:t xml:space="preserve">Materials distributed pertaining to the above topics must be from trusted </w:t>
      </w:r>
      <w:r w:rsidR="001A665D" w:rsidRPr="00C61D72">
        <w:rPr>
          <w:rFonts w:eastAsia="Times New Roman" w:cstheme="minorHAnsi"/>
          <w:color w:val="333333"/>
          <w:sz w:val="24"/>
          <w:szCs w:val="24"/>
        </w:rPr>
        <w:t xml:space="preserve">scientific </w:t>
      </w:r>
      <w:r w:rsidRPr="00C61D72">
        <w:rPr>
          <w:rFonts w:eastAsia="Times New Roman" w:cstheme="minorHAnsi"/>
          <w:color w:val="333333"/>
          <w:sz w:val="24"/>
          <w:szCs w:val="24"/>
        </w:rPr>
        <w:t>sources and contain the most current scientific knowledge</w:t>
      </w:r>
      <w:r w:rsidR="00334111" w:rsidRPr="00C61D72">
        <w:rPr>
          <w:rFonts w:eastAsia="Times New Roman" w:cstheme="minorHAnsi"/>
          <w:color w:val="333333"/>
          <w:sz w:val="24"/>
          <w:szCs w:val="24"/>
        </w:rPr>
        <w:t xml:space="preserve">.  </w:t>
      </w:r>
      <w:r w:rsidRPr="00C61D72">
        <w:rPr>
          <w:rFonts w:eastAsia="Times New Roman" w:cstheme="minorHAnsi"/>
          <w:color w:val="333333"/>
          <w:sz w:val="24"/>
          <w:szCs w:val="24"/>
        </w:rPr>
        <w:t>Trusted sources would include the CDC, S</w:t>
      </w:r>
      <w:r w:rsidR="00D201BF">
        <w:rPr>
          <w:rFonts w:eastAsia="Times New Roman" w:cstheme="minorHAnsi"/>
          <w:color w:val="333333"/>
          <w:sz w:val="24"/>
          <w:szCs w:val="24"/>
        </w:rPr>
        <w:t xml:space="preserve">ubstance </w:t>
      </w:r>
      <w:r w:rsidRPr="00C61D72">
        <w:rPr>
          <w:rFonts w:eastAsia="Times New Roman" w:cstheme="minorHAnsi"/>
          <w:color w:val="333333"/>
          <w:sz w:val="24"/>
          <w:szCs w:val="24"/>
        </w:rPr>
        <w:t>A</w:t>
      </w:r>
      <w:r w:rsidR="00D201BF">
        <w:rPr>
          <w:rFonts w:eastAsia="Times New Roman" w:cstheme="minorHAnsi"/>
          <w:color w:val="333333"/>
          <w:sz w:val="24"/>
          <w:szCs w:val="24"/>
        </w:rPr>
        <w:t xml:space="preserve">buse and </w:t>
      </w:r>
      <w:r w:rsidRPr="00C61D72">
        <w:rPr>
          <w:rFonts w:eastAsia="Times New Roman" w:cstheme="minorHAnsi"/>
          <w:color w:val="333333"/>
          <w:sz w:val="24"/>
          <w:szCs w:val="24"/>
        </w:rPr>
        <w:t>M</w:t>
      </w:r>
      <w:r w:rsidR="00D201BF">
        <w:rPr>
          <w:rFonts w:eastAsia="Times New Roman" w:cstheme="minorHAnsi"/>
          <w:color w:val="333333"/>
          <w:sz w:val="24"/>
          <w:szCs w:val="24"/>
        </w:rPr>
        <w:t xml:space="preserve">ental </w:t>
      </w:r>
      <w:r w:rsidRPr="00C61D72">
        <w:rPr>
          <w:rFonts w:eastAsia="Times New Roman" w:cstheme="minorHAnsi"/>
          <w:color w:val="333333"/>
          <w:sz w:val="24"/>
          <w:szCs w:val="24"/>
        </w:rPr>
        <w:t>H</w:t>
      </w:r>
      <w:r w:rsidR="00D201BF">
        <w:rPr>
          <w:rFonts w:eastAsia="Times New Roman" w:cstheme="minorHAnsi"/>
          <w:color w:val="333333"/>
          <w:sz w:val="24"/>
          <w:szCs w:val="24"/>
        </w:rPr>
        <w:t xml:space="preserve">ealth Services </w:t>
      </w:r>
      <w:r w:rsidRPr="00C61D72">
        <w:rPr>
          <w:rFonts w:eastAsia="Times New Roman" w:cstheme="minorHAnsi"/>
          <w:color w:val="333333"/>
          <w:sz w:val="24"/>
          <w:szCs w:val="24"/>
        </w:rPr>
        <w:t>A</w:t>
      </w:r>
      <w:r w:rsidR="00D201BF">
        <w:rPr>
          <w:rFonts w:eastAsia="Times New Roman" w:cstheme="minorHAnsi"/>
          <w:color w:val="333333"/>
          <w:sz w:val="24"/>
          <w:szCs w:val="24"/>
        </w:rPr>
        <w:t>dministration</w:t>
      </w:r>
      <w:r w:rsidRPr="00C61D72">
        <w:rPr>
          <w:rFonts w:eastAsia="Times New Roman" w:cstheme="minorHAnsi"/>
          <w:color w:val="333333"/>
          <w:sz w:val="24"/>
          <w:szCs w:val="24"/>
        </w:rPr>
        <w:t xml:space="preserve">, </w:t>
      </w:r>
      <w:r w:rsidR="00D201BF" w:rsidRPr="00C61D72">
        <w:rPr>
          <w:rFonts w:eastAsia="Times New Roman" w:cstheme="minorHAnsi"/>
          <w:color w:val="333333"/>
          <w:sz w:val="24"/>
          <w:szCs w:val="24"/>
        </w:rPr>
        <w:t>N</w:t>
      </w:r>
      <w:r w:rsidR="00D201BF">
        <w:rPr>
          <w:rFonts w:eastAsia="Times New Roman" w:cstheme="minorHAnsi"/>
          <w:color w:val="333333"/>
          <w:sz w:val="24"/>
          <w:szCs w:val="24"/>
        </w:rPr>
        <w:t>ational Institute of Drug Abuse,</w:t>
      </w:r>
      <w:r w:rsidR="00DB31B0" w:rsidRPr="00C61D72">
        <w:rPr>
          <w:rFonts w:eastAsia="Times New Roman" w:cstheme="minorHAnsi"/>
          <w:color w:val="333333"/>
          <w:sz w:val="24"/>
          <w:szCs w:val="24"/>
        </w:rPr>
        <w:t xml:space="preserve"> VDH and other state health departments, </w:t>
      </w:r>
      <w:r w:rsidRPr="00C61D72">
        <w:rPr>
          <w:rFonts w:eastAsia="Times New Roman" w:cstheme="minorHAnsi"/>
          <w:color w:val="333333"/>
          <w:sz w:val="24"/>
          <w:szCs w:val="24"/>
        </w:rPr>
        <w:t xml:space="preserve">the </w:t>
      </w:r>
      <w:r w:rsidR="00DB31B0" w:rsidRPr="00C61D72">
        <w:rPr>
          <w:rFonts w:eastAsia="Times New Roman" w:cstheme="minorHAnsi"/>
          <w:color w:val="333333"/>
          <w:sz w:val="24"/>
          <w:szCs w:val="24"/>
        </w:rPr>
        <w:t>Harm Reduction</w:t>
      </w:r>
      <w:r w:rsidRPr="00C61D72">
        <w:rPr>
          <w:rFonts w:eastAsia="Times New Roman" w:cstheme="minorHAnsi"/>
          <w:color w:val="333333"/>
          <w:sz w:val="24"/>
          <w:szCs w:val="24"/>
        </w:rPr>
        <w:t xml:space="preserve"> Coalition and peer-reviewed journals, among other</w:t>
      </w:r>
      <w:r w:rsidR="00D62EF6" w:rsidRPr="00C61D72">
        <w:rPr>
          <w:rFonts w:eastAsia="Times New Roman" w:cstheme="minorHAnsi"/>
          <w:color w:val="333333"/>
          <w:sz w:val="24"/>
          <w:szCs w:val="24"/>
        </w:rPr>
        <w:t>s; and</w:t>
      </w:r>
    </w:p>
    <w:p w14:paraId="3099F06F" w14:textId="67912F02" w:rsidR="00207E13" w:rsidRPr="00150A2A" w:rsidRDefault="0000384C" w:rsidP="00C61D72">
      <w:pPr>
        <w:pStyle w:val="ListParagraph"/>
        <w:numPr>
          <w:ilvl w:val="0"/>
          <w:numId w:val="28"/>
        </w:numPr>
        <w:shd w:val="clear" w:color="auto" w:fill="FFFFFF"/>
        <w:spacing w:before="100" w:beforeAutospacing="1" w:after="100" w:afterAutospacing="1" w:line="270" w:lineRule="atLeast"/>
        <w:rPr>
          <w:rFonts w:eastAsia="Times New Roman" w:cstheme="minorHAnsi"/>
          <w:color w:val="333333"/>
          <w:sz w:val="24"/>
          <w:szCs w:val="24"/>
        </w:rPr>
      </w:pPr>
      <w:r w:rsidRPr="00C61D72">
        <w:rPr>
          <w:rFonts w:eastAsia="Times New Roman" w:cstheme="minorHAnsi"/>
          <w:color w:val="333333"/>
          <w:sz w:val="24"/>
          <w:szCs w:val="24"/>
        </w:rPr>
        <w:t xml:space="preserve">VDH funded </w:t>
      </w:r>
      <w:r w:rsidR="00090B0C" w:rsidRPr="00C61D72">
        <w:rPr>
          <w:rFonts w:eastAsia="Times New Roman" w:cstheme="minorHAnsi"/>
          <w:color w:val="333333"/>
          <w:sz w:val="24"/>
          <w:szCs w:val="24"/>
        </w:rPr>
        <w:t>CHR</w:t>
      </w:r>
      <w:r w:rsidR="00207E13" w:rsidRPr="00C61D72">
        <w:rPr>
          <w:rFonts w:eastAsia="Times New Roman" w:cstheme="minorHAnsi"/>
          <w:color w:val="333333"/>
          <w:sz w:val="24"/>
          <w:szCs w:val="24"/>
        </w:rPr>
        <w:t xml:space="preserve"> sites wishing to produce their own </w:t>
      </w:r>
      <w:r w:rsidR="00673A36" w:rsidRPr="00C61D72">
        <w:rPr>
          <w:rFonts w:eastAsia="Times New Roman" w:cstheme="minorHAnsi"/>
          <w:color w:val="333333"/>
          <w:sz w:val="24"/>
          <w:szCs w:val="24"/>
        </w:rPr>
        <w:t xml:space="preserve">harm reduction educational </w:t>
      </w:r>
      <w:r w:rsidR="00207E13" w:rsidRPr="00C61D72">
        <w:rPr>
          <w:rFonts w:eastAsia="Times New Roman" w:cstheme="minorHAnsi"/>
          <w:color w:val="333333"/>
          <w:sz w:val="24"/>
          <w:szCs w:val="24"/>
        </w:rPr>
        <w:t>materials should adhere to copyright laws and submit finished materials to the VDH/DDP Materials Review Board before printing and distribution</w:t>
      </w:r>
      <w:r w:rsidR="00334111" w:rsidRPr="00C61D72">
        <w:rPr>
          <w:rFonts w:eastAsia="Times New Roman" w:cstheme="minorHAnsi"/>
          <w:color w:val="333333"/>
          <w:sz w:val="24"/>
          <w:szCs w:val="24"/>
        </w:rPr>
        <w:t xml:space="preserve">.  </w:t>
      </w:r>
      <w:r w:rsidR="0076597F" w:rsidRPr="00C61D72">
        <w:rPr>
          <w:rFonts w:eastAsia="Times New Roman" w:cstheme="minorHAnsi"/>
          <w:color w:val="333333"/>
          <w:sz w:val="24"/>
          <w:szCs w:val="24"/>
        </w:rPr>
        <w:t xml:space="preserve"> More information on materials review can be found at: </w:t>
      </w:r>
      <w:hyperlink r:id="rId17" w:tgtFrame="_blank" w:history="1">
        <w:r w:rsidR="00FA369F" w:rsidRPr="002F2954">
          <w:rPr>
            <w:rStyle w:val="Hyperlink"/>
            <w:rFonts w:cstheme="minorHAnsi"/>
            <w:color w:val="1155CC"/>
            <w:sz w:val="24"/>
            <w:szCs w:val="24"/>
            <w:shd w:val="clear" w:color="auto" w:fill="FFFFFF"/>
          </w:rPr>
          <w:t>https://www.vdh.virginia.gov/disease-prevention/resources/</w:t>
        </w:r>
      </w:hyperlink>
      <w:r w:rsidR="00FA369F" w:rsidRPr="00C61D72">
        <w:rPr>
          <w:rFonts w:cstheme="minorHAnsi"/>
          <w:color w:val="222222"/>
          <w:sz w:val="24"/>
          <w:szCs w:val="24"/>
          <w:shd w:val="clear" w:color="auto" w:fill="FFFFFF"/>
        </w:rPr>
        <w:t>.</w:t>
      </w:r>
    </w:p>
    <w:p w14:paraId="47C5501E" w14:textId="77777777" w:rsidR="00150A2A" w:rsidRPr="00C61D72" w:rsidRDefault="00150A2A" w:rsidP="00B46873">
      <w:pPr>
        <w:pStyle w:val="ListParagraph"/>
        <w:shd w:val="clear" w:color="auto" w:fill="FFFFFF"/>
        <w:spacing w:before="100" w:beforeAutospacing="1" w:after="100" w:afterAutospacing="1" w:line="270" w:lineRule="atLeast"/>
        <w:rPr>
          <w:rFonts w:eastAsia="Times New Roman" w:cstheme="minorHAnsi"/>
          <w:color w:val="333333"/>
          <w:sz w:val="24"/>
          <w:szCs w:val="24"/>
        </w:rPr>
      </w:pPr>
    </w:p>
    <w:p w14:paraId="1CA9947D" w14:textId="612F42D7" w:rsidR="00CC5364" w:rsidRPr="00F94FE8" w:rsidRDefault="00236AA1" w:rsidP="002F4CCD">
      <w:pPr>
        <w:shd w:val="clear" w:color="auto" w:fill="FFFFFF"/>
        <w:spacing w:before="100" w:beforeAutospacing="1" w:after="100" w:afterAutospacing="1" w:line="270" w:lineRule="atLeast"/>
        <w:rPr>
          <w:rFonts w:eastAsia="Times New Roman" w:cstheme="minorHAnsi"/>
          <w:color w:val="333333"/>
          <w:sz w:val="24"/>
          <w:szCs w:val="24"/>
        </w:rPr>
      </w:pPr>
      <w:r w:rsidRPr="00F94FE8">
        <w:rPr>
          <w:rFonts w:eastAsia="Times New Roman" w:cstheme="minorHAnsi"/>
          <w:b/>
          <w:color w:val="333333"/>
          <w:sz w:val="24"/>
          <w:szCs w:val="24"/>
        </w:rPr>
        <w:lastRenderedPageBreak/>
        <w:t>Requirement 5</w:t>
      </w:r>
      <w:r w:rsidR="002F4CCD" w:rsidRPr="00F94FE8">
        <w:rPr>
          <w:rFonts w:eastAsia="Times New Roman" w:cstheme="minorHAnsi"/>
          <w:b/>
          <w:color w:val="333333"/>
          <w:sz w:val="24"/>
          <w:szCs w:val="24"/>
        </w:rPr>
        <w:t>:</w:t>
      </w:r>
      <w:r w:rsidR="002F4CCD" w:rsidRPr="00F94FE8">
        <w:rPr>
          <w:rFonts w:eastAsia="Times New Roman" w:cstheme="minorHAnsi"/>
          <w:color w:val="333333"/>
          <w:sz w:val="24"/>
          <w:szCs w:val="24"/>
        </w:rPr>
        <w:t xml:space="preserve">  </w:t>
      </w:r>
      <w:r w:rsidR="00090B0C" w:rsidRPr="00F94FE8">
        <w:rPr>
          <w:rFonts w:eastAsia="Times New Roman" w:cstheme="minorHAnsi"/>
          <w:color w:val="333333"/>
          <w:sz w:val="24"/>
          <w:szCs w:val="24"/>
        </w:rPr>
        <w:t>CHR</w:t>
      </w:r>
      <w:r w:rsidR="002F4CCD" w:rsidRPr="00F94FE8">
        <w:rPr>
          <w:rFonts w:eastAsia="Times New Roman" w:cstheme="minorHAnsi"/>
          <w:color w:val="333333"/>
          <w:sz w:val="24"/>
          <w:szCs w:val="24"/>
        </w:rPr>
        <w:t xml:space="preserve"> sites must provide their participants </w:t>
      </w:r>
      <w:r w:rsidR="00CC5364" w:rsidRPr="00F94FE8">
        <w:rPr>
          <w:rFonts w:eastAsia="Times New Roman" w:cstheme="minorHAnsi"/>
          <w:color w:val="333333"/>
          <w:sz w:val="24"/>
          <w:szCs w:val="24"/>
        </w:rPr>
        <w:t>access to overdose prevention kits</w:t>
      </w:r>
      <w:r w:rsidR="00CC5364" w:rsidRPr="00F94FE8">
        <w:rPr>
          <w:rFonts w:eastAsia="Times New Roman" w:cstheme="minorHAnsi"/>
          <w:i/>
          <w:iCs/>
          <w:color w:val="333333"/>
          <w:sz w:val="24"/>
          <w:szCs w:val="24"/>
        </w:rPr>
        <w:t xml:space="preserve"> </w:t>
      </w:r>
      <w:r w:rsidR="00CC5364" w:rsidRPr="003009E6">
        <w:rPr>
          <w:rFonts w:eastAsia="Times New Roman" w:cstheme="minorHAnsi"/>
          <w:iCs/>
          <w:color w:val="333333"/>
          <w:sz w:val="24"/>
          <w:szCs w:val="24"/>
        </w:rPr>
        <w:t>that contain naloxone or other opioid antagonist approved by the U.S</w:t>
      </w:r>
      <w:r w:rsidR="00334111" w:rsidRPr="003009E6">
        <w:rPr>
          <w:rFonts w:eastAsia="Times New Roman" w:cstheme="minorHAnsi"/>
          <w:iCs/>
          <w:color w:val="333333"/>
          <w:sz w:val="24"/>
          <w:szCs w:val="24"/>
        </w:rPr>
        <w:t xml:space="preserve">.  </w:t>
      </w:r>
      <w:r w:rsidR="00CC5364" w:rsidRPr="003009E6">
        <w:rPr>
          <w:rFonts w:eastAsia="Times New Roman" w:cstheme="minorHAnsi"/>
          <w:iCs/>
          <w:color w:val="333333"/>
          <w:sz w:val="24"/>
          <w:szCs w:val="24"/>
        </w:rPr>
        <w:t>Food and Drug Administration for opioid overdose reversal</w:t>
      </w:r>
      <w:r w:rsidR="00334111" w:rsidRPr="003009E6">
        <w:rPr>
          <w:rFonts w:eastAsia="Times New Roman" w:cstheme="minorHAnsi"/>
          <w:color w:val="333333"/>
          <w:sz w:val="24"/>
          <w:szCs w:val="24"/>
        </w:rPr>
        <w:t>.</w:t>
      </w:r>
      <w:r w:rsidR="00334111">
        <w:rPr>
          <w:rFonts w:eastAsia="Times New Roman" w:cstheme="minorHAnsi"/>
          <w:color w:val="333333"/>
          <w:sz w:val="24"/>
          <w:szCs w:val="24"/>
        </w:rPr>
        <w:t xml:space="preserve">  Access can be by direct distribution to participants or by referring participants to a community partner that provides naloxone or another FDA approved opioid antagonist.</w:t>
      </w:r>
    </w:p>
    <w:p w14:paraId="30B241CC" w14:textId="6F28E52F" w:rsidR="002F4CCD" w:rsidRDefault="00236AA1" w:rsidP="002F4CCD">
      <w:pPr>
        <w:shd w:val="clear" w:color="auto" w:fill="FFFFFF"/>
        <w:spacing w:before="100" w:beforeAutospacing="1" w:after="100" w:afterAutospacing="1" w:line="270" w:lineRule="atLeast"/>
        <w:rPr>
          <w:rFonts w:eastAsia="Times New Roman" w:cstheme="minorHAnsi"/>
          <w:color w:val="333333"/>
          <w:sz w:val="24"/>
          <w:szCs w:val="24"/>
        </w:rPr>
      </w:pPr>
      <w:r w:rsidRPr="00F94FE8">
        <w:rPr>
          <w:rFonts w:eastAsia="Times New Roman" w:cstheme="minorHAnsi"/>
          <w:b/>
          <w:color w:val="333333"/>
          <w:sz w:val="24"/>
          <w:szCs w:val="24"/>
        </w:rPr>
        <w:t>Requirement 6</w:t>
      </w:r>
      <w:r w:rsidR="002F4CCD" w:rsidRPr="00F94FE8">
        <w:rPr>
          <w:rFonts w:eastAsia="Times New Roman" w:cstheme="minorHAnsi"/>
          <w:b/>
          <w:color w:val="333333"/>
          <w:sz w:val="24"/>
          <w:szCs w:val="24"/>
        </w:rPr>
        <w:t>:</w:t>
      </w:r>
      <w:r w:rsidR="002F4CCD" w:rsidRPr="00F94FE8">
        <w:rPr>
          <w:rFonts w:eastAsia="Times New Roman" w:cstheme="minorHAnsi"/>
          <w:color w:val="333333"/>
          <w:sz w:val="24"/>
          <w:szCs w:val="24"/>
        </w:rPr>
        <w:t xml:space="preserve">  </w:t>
      </w:r>
      <w:r w:rsidR="00090B0C" w:rsidRPr="00F94FE8">
        <w:rPr>
          <w:rFonts w:eastAsia="Times New Roman" w:cstheme="minorHAnsi"/>
          <w:color w:val="333333"/>
          <w:sz w:val="24"/>
          <w:szCs w:val="24"/>
        </w:rPr>
        <w:t>CHR</w:t>
      </w:r>
      <w:r w:rsidR="002F4CCD" w:rsidRPr="00F94FE8">
        <w:rPr>
          <w:rFonts w:eastAsia="Times New Roman" w:cstheme="minorHAnsi"/>
          <w:color w:val="333333"/>
          <w:sz w:val="24"/>
          <w:szCs w:val="24"/>
        </w:rPr>
        <w:t xml:space="preserve"> sites must provide </w:t>
      </w:r>
      <w:r w:rsidR="00CC5364" w:rsidRPr="00F94FE8">
        <w:rPr>
          <w:rFonts w:eastAsia="Times New Roman" w:cstheme="minorHAnsi"/>
          <w:color w:val="333333"/>
          <w:sz w:val="24"/>
          <w:szCs w:val="24"/>
        </w:rPr>
        <w:t xml:space="preserve">individual </w:t>
      </w:r>
      <w:r w:rsidR="00090B0C" w:rsidRPr="00F94FE8">
        <w:rPr>
          <w:rFonts w:eastAsia="Times New Roman" w:cstheme="minorHAnsi"/>
          <w:color w:val="333333"/>
          <w:sz w:val="24"/>
          <w:szCs w:val="24"/>
        </w:rPr>
        <w:t>CHR</w:t>
      </w:r>
      <w:r w:rsidR="00CC5364" w:rsidRPr="00F94FE8">
        <w:rPr>
          <w:rFonts w:eastAsia="Times New Roman" w:cstheme="minorHAnsi"/>
          <w:color w:val="333333"/>
          <w:sz w:val="24"/>
          <w:szCs w:val="24"/>
        </w:rPr>
        <w:t xml:space="preserve"> counseling</w:t>
      </w:r>
      <w:r w:rsidR="00CC5364" w:rsidRPr="00F94FE8">
        <w:rPr>
          <w:rFonts w:eastAsia="Times New Roman" w:cstheme="minorHAnsi"/>
          <w:i/>
          <w:iCs/>
          <w:color w:val="333333"/>
          <w:sz w:val="24"/>
          <w:szCs w:val="24"/>
        </w:rPr>
        <w:t xml:space="preserve">, </w:t>
      </w:r>
      <w:r w:rsidR="00CC5364" w:rsidRPr="003009E6">
        <w:rPr>
          <w:rFonts w:eastAsia="Times New Roman" w:cstheme="minorHAnsi"/>
          <w:iCs/>
          <w:color w:val="333333"/>
          <w:sz w:val="24"/>
          <w:szCs w:val="24"/>
        </w:rPr>
        <w:t>including individual consultations regarding appropriate mental health or substance use disorder treatment</w:t>
      </w:r>
      <w:r w:rsidR="00334111">
        <w:rPr>
          <w:rFonts w:eastAsia="Times New Roman" w:cstheme="minorHAnsi"/>
          <w:color w:val="333333"/>
          <w:sz w:val="24"/>
          <w:szCs w:val="24"/>
        </w:rPr>
        <w:t xml:space="preserve">. </w:t>
      </w:r>
      <w:r w:rsidR="0076597F" w:rsidRPr="00F94FE8">
        <w:rPr>
          <w:rFonts w:eastAsia="Times New Roman" w:cstheme="minorHAnsi"/>
          <w:color w:val="333333"/>
          <w:sz w:val="24"/>
          <w:szCs w:val="24"/>
        </w:rPr>
        <w:t xml:space="preserve"> VDH can connect sites to training programs that include how to counsel participants.</w:t>
      </w:r>
    </w:p>
    <w:p w14:paraId="32DF2F03" w14:textId="520C021A" w:rsidR="00D201BF" w:rsidRPr="008769E3" w:rsidRDefault="00D201BF" w:rsidP="008769E3">
      <w:pPr>
        <w:shd w:val="clear" w:color="auto" w:fill="FFFFFF"/>
        <w:spacing w:before="100" w:beforeAutospacing="1" w:after="100" w:afterAutospacing="1" w:line="270" w:lineRule="atLeast"/>
        <w:rPr>
          <w:rFonts w:eastAsia="Times New Roman" w:cstheme="minorHAnsi"/>
          <w:color w:val="333333"/>
          <w:sz w:val="24"/>
          <w:szCs w:val="24"/>
        </w:rPr>
      </w:pPr>
      <w:r w:rsidRPr="008769E3">
        <w:rPr>
          <w:rFonts w:eastAsia="Times New Roman" w:cstheme="minorHAnsi"/>
          <w:color w:val="333333"/>
          <w:sz w:val="24"/>
          <w:szCs w:val="24"/>
        </w:rPr>
        <w:t>Individual harm reduction counseling that addresses actions and behavioral changes that reduce or eliminate use of drugs, injuries caused by drugs (e.g., overdose, tissue damage), and transmission of infections via sex and injection drug use</w:t>
      </w:r>
      <w:r>
        <w:rPr>
          <w:rFonts w:eastAsia="Times New Roman" w:cstheme="minorHAnsi"/>
          <w:color w:val="333333"/>
          <w:sz w:val="24"/>
          <w:szCs w:val="24"/>
        </w:rPr>
        <w:t>.</w:t>
      </w:r>
    </w:p>
    <w:p w14:paraId="0650408C" w14:textId="62FF6B42" w:rsidR="00D201BF" w:rsidRDefault="00236AA1" w:rsidP="008769E3">
      <w:pPr>
        <w:shd w:val="clear" w:color="auto" w:fill="FFFFFF"/>
        <w:spacing w:before="100" w:beforeAutospacing="1" w:after="100" w:afterAutospacing="1" w:line="270" w:lineRule="atLeast"/>
        <w:rPr>
          <w:rFonts w:eastAsia="Times New Roman" w:cstheme="minorHAnsi"/>
          <w:color w:val="333333"/>
          <w:sz w:val="24"/>
          <w:szCs w:val="24"/>
        </w:rPr>
      </w:pPr>
      <w:r w:rsidRPr="00F94FE8">
        <w:rPr>
          <w:rFonts w:eastAsia="Times New Roman" w:cstheme="minorHAnsi"/>
          <w:b/>
          <w:color w:val="333333"/>
          <w:sz w:val="24"/>
          <w:szCs w:val="24"/>
        </w:rPr>
        <w:t>Requirement 7</w:t>
      </w:r>
      <w:r w:rsidR="00090B0C" w:rsidRPr="00F94FE8">
        <w:rPr>
          <w:rFonts w:eastAsia="Times New Roman" w:cstheme="minorHAnsi"/>
          <w:b/>
          <w:color w:val="333333"/>
          <w:sz w:val="24"/>
          <w:szCs w:val="24"/>
        </w:rPr>
        <w:t>:</w:t>
      </w:r>
      <w:r w:rsidR="00090B0C" w:rsidRPr="00F94FE8">
        <w:rPr>
          <w:rFonts w:eastAsia="Times New Roman" w:cstheme="minorHAnsi"/>
          <w:color w:val="333333"/>
          <w:sz w:val="24"/>
          <w:szCs w:val="24"/>
        </w:rPr>
        <w:t xml:space="preserve">  </w:t>
      </w:r>
      <w:r w:rsidR="00D201BF" w:rsidRPr="008769E3">
        <w:rPr>
          <w:sz w:val="24"/>
          <w:szCs w:val="24"/>
        </w:rPr>
        <w:t>People age 18 and older, who are at risk for harm or injury due to using and/or injecting substances may enroll in CHR services, without regard to income or insurance status</w:t>
      </w:r>
      <w:r w:rsidR="00D201BF" w:rsidRPr="00F94FE8" w:rsidDel="00D201BF">
        <w:rPr>
          <w:rFonts w:eastAsia="Times New Roman" w:cstheme="minorHAnsi"/>
          <w:color w:val="333333"/>
          <w:sz w:val="24"/>
          <w:szCs w:val="24"/>
        </w:rPr>
        <w:t xml:space="preserve"> </w:t>
      </w:r>
    </w:p>
    <w:p w14:paraId="5277D73E" w14:textId="77777777" w:rsidR="00BB5869" w:rsidRPr="000C49B0" w:rsidRDefault="00BB5869" w:rsidP="008769E3">
      <w:pPr>
        <w:shd w:val="clear" w:color="auto" w:fill="FFFFFF"/>
        <w:spacing w:before="100" w:beforeAutospacing="1" w:after="100" w:afterAutospacing="1" w:line="270" w:lineRule="atLeast"/>
        <w:rPr>
          <w:rFonts w:eastAsia="Times New Roman" w:cstheme="minorHAnsi"/>
          <w:color w:val="333333"/>
          <w:sz w:val="24"/>
          <w:szCs w:val="24"/>
        </w:rPr>
      </w:pPr>
      <w:r w:rsidRPr="000C49B0">
        <w:rPr>
          <w:rFonts w:eastAsia="Times New Roman" w:cstheme="minorHAnsi"/>
          <w:color w:val="333333"/>
          <w:sz w:val="24"/>
          <w:szCs w:val="24"/>
        </w:rPr>
        <w:t>At the first visit, CHR program personnel must, at a minimum, collect the following information:  a name, and the age, gender, and zip code of residence of the participant.</w:t>
      </w:r>
    </w:p>
    <w:p w14:paraId="01B4A6A0" w14:textId="01DB0BA9" w:rsidR="00BB5869" w:rsidRDefault="00090B0C" w:rsidP="00BB5869">
      <w:pPr>
        <w:pStyle w:val="ListParagraph"/>
        <w:numPr>
          <w:ilvl w:val="0"/>
          <w:numId w:val="23"/>
        </w:numPr>
        <w:shd w:val="clear" w:color="auto" w:fill="FFFFFF"/>
        <w:spacing w:before="100" w:beforeAutospacing="1" w:after="100" w:afterAutospacing="1" w:line="270" w:lineRule="atLeast"/>
        <w:rPr>
          <w:rFonts w:eastAsia="Times New Roman" w:cstheme="minorHAnsi"/>
          <w:color w:val="333333"/>
          <w:sz w:val="24"/>
          <w:szCs w:val="24"/>
        </w:rPr>
      </w:pPr>
      <w:r w:rsidRPr="000C49B0">
        <w:rPr>
          <w:rFonts w:eastAsia="Times New Roman" w:cstheme="minorHAnsi"/>
          <w:color w:val="333333"/>
          <w:sz w:val="24"/>
          <w:szCs w:val="24"/>
        </w:rPr>
        <w:t xml:space="preserve">CHR sites must provide participants a means of </w:t>
      </w:r>
      <w:r w:rsidR="00CC5364" w:rsidRPr="000C49B0">
        <w:rPr>
          <w:rFonts w:eastAsia="Times New Roman" w:cstheme="minorHAnsi"/>
          <w:color w:val="333333"/>
          <w:sz w:val="24"/>
          <w:szCs w:val="24"/>
        </w:rPr>
        <w:t>verification</w:t>
      </w:r>
      <w:r w:rsidR="00BB5869">
        <w:rPr>
          <w:rFonts w:eastAsia="Times New Roman" w:cstheme="minorHAnsi"/>
          <w:color w:val="333333"/>
          <w:sz w:val="24"/>
          <w:szCs w:val="24"/>
        </w:rPr>
        <w:t>,</w:t>
      </w:r>
      <w:r w:rsidR="00CC5364" w:rsidRPr="000C49B0">
        <w:rPr>
          <w:rFonts w:eastAsia="Times New Roman" w:cstheme="minorHAnsi"/>
          <w:color w:val="333333"/>
          <w:sz w:val="24"/>
          <w:szCs w:val="24"/>
        </w:rPr>
        <w:t xml:space="preserve"> </w:t>
      </w:r>
      <w:r w:rsidR="00BB5869">
        <w:rPr>
          <w:rFonts w:eastAsia="Times New Roman" w:cstheme="minorHAnsi"/>
          <w:color w:val="333333"/>
          <w:sz w:val="24"/>
          <w:szCs w:val="24"/>
        </w:rPr>
        <w:t>such as an identification</w:t>
      </w:r>
      <w:r w:rsidR="00BB5869" w:rsidRPr="000C49B0">
        <w:rPr>
          <w:rFonts w:eastAsia="Times New Roman" w:cstheme="minorHAnsi"/>
          <w:color w:val="333333"/>
          <w:sz w:val="24"/>
          <w:szCs w:val="24"/>
        </w:rPr>
        <w:t xml:space="preserve"> card</w:t>
      </w:r>
      <w:r w:rsidR="00BB5869">
        <w:rPr>
          <w:rFonts w:eastAsia="Times New Roman" w:cstheme="minorHAnsi"/>
          <w:color w:val="333333"/>
          <w:sz w:val="24"/>
          <w:szCs w:val="24"/>
        </w:rPr>
        <w:t>,</w:t>
      </w:r>
      <w:r w:rsidR="00BB5869" w:rsidRPr="000C49B0">
        <w:rPr>
          <w:rFonts w:eastAsia="Times New Roman" w:cstheme="minorHAnsi"/>
          <w:color w:val="333333"/>
          <w:sz w:val="24"/>
          <w:szCs w:val="24"/>
        </w:rPr>
        <w:t xml:space="preserve"> </w:t>
      </w:r>
      <w:r w:rsidR="00CC5364" w:rsidRPr="000C49B0">
        <w:rPr>
          <w:rFonts w:eastAsia="Times New Roman" w:cstheme="minorHAnsi"/>
          <w:color w:val="333333"/>
          <w:sz w:val="24"/>
          <w:szCs w:val="24"/>
        </w:rPr>
        <w:t xml:space="preserve">that a hypodermic needle or syringe or other injection supplies were obtained from </w:t>
      </w:r>
      <w:r w:rsidR="00BB5869">
        <w:rPr>
          <w:rFonts w:eastAsia="Times New Roman" w:cstheme="minorHAnsi"/>
          <w:color w:val="333333"/>
          <w:sz w:val="24"/>
          <w:szCs w:val="24"/>
        </w:rPr>
        <w:t>the</w:t>
      </w:r>
      <w:r w:rsidR="00CC5364" w:rsidRPr="000C49B0">
        <w:rPr>
          <w:rFonts w:eastAsia="Times New Roman" w:cstheme="minorHAnsi"/>
          <w:color w:val="333333"/>
          <w:sz w:val="24"/>
          <w:szCs w:val="24"/>
        </w:rPr>
        <w:t xml:space="preserve"> </w:t>
      </w:r>
      <w:r w:rsidRPr="000C49B0">
        <w:rPr>
          <w:rFonts w:eastAsia="Times New Roman" w:cstheme="minorHAnsi"/>
          <w:color w:val="333333"/>
          <w:sz w:val="24"/>
          <w:szCs w:val="24"/>
        </w:rPr>
        <w:t>CHR</w:t>
      </w:r>
      <w:r w:rsidR="00CC5364" w:rsidRPr="000C49B0">
        <w:rPr>
          <w:rFonts w:eastAsia="Times New Roman" w:cstheme="minorHAnsi"/>
          <w:color w:val="333333"/>
          <w:sz w:val="24"/>
          <w:szCs w:val="24"/>
        </w:rPr>
        <w:t xml:space="preserve"> prog</w:t>
      </w:r>
      <w:r w:rsidRPr="000C49B0">
        <w:rPr>
          <w:rFonts w:eastAsia="Times New Roman" w:cstheme="minorHAnsi"/>
          <w:color w:val="333333"/>
          <w:sz w:val="24"/>
          <w:szCs w:val="24"/>
        </w:rPr>
        <w:t>ram,</w:t>
      </w:r>
      <w:r w:rsidR="00D62EF6">
        <w:rPr>
          <w:rFonts w:eastAsia="Times New Roman" w:cstheme="minorHAnsi"/>
          <w:color w:val="333333"/>
          <w:sz w:val="24"/>
          <w:szCs w:val="24"/>
        </w:rPr>
        <w:t>;</w:t>
      </w:r>
      <w:r w:rsidR="00BB5869" w:rsidRPr="00BB5869">
        <w:rPr>
          <w:rFonts w:eastAsia="Times New Roman" w:cstheme="minorHAnsi"/>
          <w:color w:val="333333"/>
          <w:sz w:val="24"/>
          <w:szCs w:val="24"/>
        </w:rPr>
        <w:t xml:space="preserve"> </w:t>
      </w:r>
    </w:p>
    <w:p w14:paraId="41930667" w14:textId="6C34CC6E" w:rsidR="00CC5364" w:rsidRPr="000C49B0" w:rsidRDefault="00BB5869" w:rsidP="00BB5869">
      <w:pPr>
        <w:pStyle w:val="ListParagraph"/>
        <w:numPr>
          <w:ilvl w:val="0"/>
          <w:numId w:val="23"/>
        </w:numPr>
        <w:shd w:val="clear" w:color="auto" w:fill="FFFFFF"/>
        <w:spacing w:before="100" w:beforeAutospacing="1" w:after="100" w:afterAutospacing="1" w:line="270" w:lineRule="atLeast"/>
        <w:rPr>
          <w:rFonts w:eastAsia="Times New Roman" w:cstheme="minorHAnsi"/>
          <w:color w:val="333333"/>
          <w:sz w:val="24"/>
          <w:szCs w:val="24"/>
        </w:rPr>
      </w:pPr>
      <w:r w:rsidRPr="00F94FE8">
        <w:rPr>
          <w:rFonts w:eastAsia="Times New Roman" w:cstheme="minorHAnsi"/>
          <w:color w:val="333333"/>
          <w:sz w:val="24"/>
          <w:szCs w:val="24"/>
        </w:rPr>
        <w:t>ID cards should have the name of the CHR site and a phone number to reach a staff member who can provide verifications</w:t>
      </w:r>
      <w:r>
        <w:rPr>
          <w:rFonts w:eastAsia="Times New Roman" w:cstheme="minorHAnsi"/>
          <w:color w:val="333333"/>
          <w:sz w:val="24"/>
          <w:szCs w:val="24"/>
        </w:rPr>
        <w:t>.</w:t>
      </w:r>
    </w:p>
    <w:p w14:paraId="1D0A6076" w14:textId="647FF184" w:rsidR="00361D4F" w:rsidRPr="000C49B0" w:rsidRDefault="0000384C" w:rsidP="000C49B0">
      <w:pPr>
        <w:pStyle w:val="ListParagraph"/>
        <w:numPr>
          <w:ilvl w:val="0"/>
          <w:numId w:val="23"/>
        </w:numPr>
        <w:shd w:val="clear" w:color="auto" w:fill="FFFFFF"/>
        <w:spacing w:before="100" w:beforeAutospacing="1" w:after="100" w:afterAutospacing="1" w:line="270" w:lineRule="atLeast"/>
        <w:rPr>
          <w:rFonts w:eastAsia="Times New Roman" w:cstheme="minorHAnsi"/>
          <w:color w:val="333333"/>
          <w:sz w:val="24"/>
          <w:szCs w:val="24"/>
        </w:rPr>
      </w:pPr>
      <w:r w:rsidRPr="000C49B0">
        <w:rPr>
          <w:rFonts w:eastAsia="Times New Roman" w:cstheme="minorHAnsi"/>
          <w:color w:val="333333"/>
          <w:sz w:val="24"/>
          <w:szCs w:val="24"/>
        </w:rPr>
        <w:t xml:space="preserve">CHR sites </w:t>
      </w:r>
      <w:r w:rsidRPr="00D201BF">
        <w:rPr>
          <w:rFonts w:eastAsia="Times New Roman" w:cstheme="minorHAnsi"/>
          <w:color w:val="333333"/>
          <w:sz w:val="24"/>
          <w:szCs w:val="24"/>
        </w:rPr>
        <w:t xml:space="preserve">should </w:t>
      </w:r>
      <w:r w:rsidR="00D201BF" w:rsidRPr="008769E3">
        <w:rPr>
          <w:sz w:val="24"/>
          <w:szCs w:val="24"/>
        </w:rPr>
        <w:t>assess the frequency, volume and type of substances injected</w:t>
      </w:r>
      <w:r w:rsidR="00D201BF">
        <w:t xml:space="preserve"> </w:t>
      </w:r>
      <w:r w:rsidR="00EA031E" w:rsidRPr="000C49B0">
        <w:rPr>
          <w:rFonts w:eastAsia="Times New Roman" w:cstheme="minorHAnsi"/>
          <w:color w:val="333333"/>
          <w:sz w:val="24"/>
          <w:szCs w:val="24"/>
        </w:rPr>
        <w:t>in order to meet the supply</w:t>
      </w:r>
      <w:r w:rsidR="00BB5869">
        <w:rPr>
          <w:rFonts w:eastAsia="Times New Roman" w:cstheme="minorHAnsi"/>
          <w:color w:val="333333"/>
          <w:sz w:val="24"/>
          <w:szCs w:val="24"/>
        </w:rPr>
        <w:t xml:space="preserve"> and harm reduction</w:t>
      </w:r>
      <w:r w:rsidR="00EA031E" w:rsidRPr="000C49B0">
        <w:rPr>
          <w:rFonts w:eastAsia="Times New Roman" w:cstheme="minorHAnsi"/>
          <w:color w:val="333333"/>
          <w:sz w:val="24"/>
          <w:szCs w:val="24"/>
        </w:rPr>
        <w:t xml:space="preserve"> needs of participants</w:t>
      </w:r>
      <w:r w:rsidR="00D62EF6">
        <w:rPr>
          <w:rFonts w:eastAsia="Times New Roman" w:cstheme="minorHAnsi"/>
          <w:color w:val="333333"/>
          <w:sz w:val="24"/>
          <w:szCs w:val="24"/>
        </w:rPr>
        <w:t>;</w:t>
      </w:r>
      <w:r w:rsidR="00D201BF">
        <w:rPr>
          <w:rFonts w:eastAsia="Times New Roman" w:cstheme="minorHAnsi"/>
          <w:color w:val="333333"/>
          <w:sz w:val="24"/>
          <w:szCs w:val="24"/>
        </w:rPr>
        <w:t xml:space="preserve"> an</w:t>
      </w:r>
    </w:p>
    <w:p w14:paraId="29AB680E" w14:textId="77777777" w:rsidR="00D201BF" w:rsidRPr="000C49B0" w:rsidRDefault="00D201BF" w:rsidP="00D201BF">
      <w:pPr>
        <w:pStyle w:val="ListParagraph"/>
        <w:numPr>
          <w:ilvl w:val="0"/>
          <w:numId w:val="23"/>
        </w:numPr>
        <w:shd w:val="clear" w:color="auto" w:fill="FFFFFF"/>
        <w:spacing w:before="100" w:beforeAutospacing="1" w:after="100" w:afterAutospacing="1" w:line="270" w:lineRule="atLeast"/>
        <w:rPr>
          <w:rFonts w:eastAsia="Times New Roman" w:cstheme="minorHAnsi"/>
          <w:color w:val="333333"/>
          <w:sz w:val="24"/>
          <w:szCs w:val="24"/>
        </w:rPr>
      </w:pPr>
      <w:r w:rsidRPr="000C49B0">
        <w:rPr>
          <w:rFonts w:eastAsia="Times New Roman" w:cstheme="minorHAnsi"/>
          <w:color w:val="333333"/>
          <w:sz w:val="24"/>
          <w:szCs w:val="24"/>
        </w:rPr>
        <w:t>The program will provide CHR counseling and required services as specified in its approved application.  The program will maintain documentation that demonstrates counseling and services are provided as required.  VDH will review documentation during subsequent site visits.</w:t>
      </w:r>
    </w:p>
    <w:p w14:paraId="02581CD4" w14:textId="2533698F" w:rsidR="00361D4F" w:rsidRPr="00C61D72" w:rsidRDefault="00361D4F" w:rsidP="008769E3">
      <w:pPr>
        <w:pStyle w:val="ListParagraph"/>
        <w:shd w:val="clear" w:color="auto" w:fill="FFFFFF"/>
        <w:spacing w:before="100" w:beforeAutospacing="1" w:after="100" w:afterAutospacing="1" w:line="270" w:lineRule="atLeast"/>
        <w:rPr>
          <w:rFonts w:eastAsia="Times New Roman" w:cstheme="minorHAnsi"/>
          <w:color w:val="333333"/>
          <w:sz w:val="24"/>
          <w:szCs w:val="24"/>
        </w:rPr>
      </w:pPr>
    </w:p>
    <w:p w14:paraId="20981B55" w14:textId="2E9C9DC8" w:rsidR="001A665D" w:rsidRPr="00F94FE8" w:rsidRDefault="001A665D" w:rsidP="001A665D">
      <w:pPr>
        <w:spacing w:line="240" w:lineRule="auto"/>
        <w:rPr>
          <w:rFonts w:cstheme="minorHAnsi"/>
          <w:sz w:val="24"/>
          <w:szCs w:val="24"/>
        </w:rPr>
      </w:pPr>
      <w:r w:rsidRPr="00C85501">
        <w:rPr>
          <w:rFonts w:cstheme="minorHAnsi"/>
          <w:b/>
          <w:sz w:val="24"/>
          <w:szCs w:val="24"/>
        </w:rPr>
        <w:t>Requirement 8</w:t>
      </w:r>
      <w:r w:rsidR="00301D4F">
        <w:rPr>
          <w:rFonts w:cstheme="minorHAnsi"/>
          <w:sz w:val="24"/>
          <w:szCs w:val="24"/>
        </w:rPr>
        <w:t xml:space="preserve">:  </w:t>
      </w:r>
      <w:r w:rsidRPr="00F94FE8">
        <w:rPr>
          <w:rFonts w:cstheme="minorHAnsi"/>
          <w:sz w:val="24"/>
          <w:szCs w:val="24"/>
        </w:rPr>
        <w:t>CHR programs must be able to verify that a hypodermic needle, syringe, or other injection supplies were obtained from their program</w:t>
      </w:r>
      <w:r w:rsidR="00334111">
        <w:rPr>
          <w:rFonts w:cstheme="minorHAnsi"/>
          <w:sz w:val="24"/>
          <w:szCs w:val="24"/>
        </w:rPr>
        <w:t xml:space="preserve">.  </w:t>
      </w:r>
      <w:r w:rsidR="00EA031E">
        <w:rPr>
          <w:rFonts w:cstheme="minorHAnsi"/>
          <w:sz w:val="24"/>
          <w:szCs w:val="24"/>
        </w:rPr>
        <w:t>Supplies do not ha</w:t>
      </w:r>
      <w:r w:rsidR="00154905">
        <w:rPr>
          <w:rFonts w:cstheme="minorHAnsi"/>
          <w:sz w:val="24"/>
          <w:szCs w:val="24"/>
        </w:rPr>
        <w:t>ve to be individually labeled</w:t>
      </w:r>
      <w:r w:rsidR="00334111">
        <w:rPr>
          <w:rFonts w:cstheme="minorHAnsi"/>
          <w:sz w:val="24"/>
          <w:szCs w:val="24"/>
        </w:rPr>
        <w:t xml:space="preserve">. </w:t>
      </w:r>
      <w:r w:rsidR="00154905">
        <w:rPr>
          <w:rFonts w:cstheme="minorHAnsi"/>
          <w:sz w:val="24"/>
          <w:szCs w:val="24"/>
        </w:rPr>
        <w:t xml:space="preserve"> Sites may choose to label bags supplies come in or include a business card with supplies</w:t>
      </w:r>
      <w:r w:rsidR="00334111">
        <w:rPr>
          <w:rFonts w:cstheme="minorHAnsi"/>
          <w:sz w:val="24"/>
          <w:szCs w:val="24"/>
        </w:rPr>
        <w:t xml:space="preserve">.  </w:t>
      </w:r>
      <w:r w:rsidR="00154905">
        <w:rPr>
          <w:rFonts w:cstheme="minorHAnsi"/>
          <w:sz w:val="24"/>
          <w:szCs w:val="24"/>
        </w:rPr>
        <w:t xml:space="preserve"> At minimum sites should be able to document supply manufacture</w:t>
      </w:r>
      <w:r w:rsidR="00BB5869">
        <w:rPr>
          <w:rFonts w:cstheme="minorHAnsi"/>
          <w:sz w:val="24"/>
          <w:szCs w:val="24"/>
        </w:rPr>
        <w:t>r</w:t>
      </w:r>
      <w:r w:rsidR="00154905">
        <w:rPr>
          <w:rFonts w:cstheme="minorHAnsi"/>
          <w:sz w:val="24"/>
          <w:szCs w:val="24"/>
        </w:rPr>
        <w:t xml:space="preserve">s/brand names, are distributed </w:t>
      </w:r>
      <w:r w:rsidR="00BB5869">
        <w:rPr>
          <w:rFonts w:cstheme="minorHAnsi"/>
          <w:sz w:val="24"/>
          <w:szCs w:val="24"/>
        </w:rPr>
        <w:t>by</w:t>
      </w:r>
      <w:r w:rsidR="00154905">
        <w:rPr>
          <w:rFonts w:cstheme="minorHAnsi"/>
          <w:sz w:val="24"/>
          <w:szCs w:val="24"/>
        </w:rPr>
        <w:t xml:space="preserve"> their CHR program</w:t>
      </w:r>
      <w:r w:rsidR="00BB5869">
        <w:rPr>
          <w:rFonts w:cstheme="minorHAnsi"/>
          <w:sz w:val="24"/>
          <w:szCs w:val="24"/>
        </w:rPr>
        <w:t>.</w:t>
      </w:r>
    </w:p>
    <w:p w14:paraId="4622CBE4" w14:textId="3175F5C5" w:rsidR="001A665D" w:rsidRPr="00F94FE8" w:rsidRDefault="001A665D" w:rsidP="001A665D">
      <w:pPr>
        <w:spacing w:line="240" w:lineRule="auto"/>
        <w:rPr>
          <w:rFonts w:cstheme="minorHAnsi"/>
          <w:sz w:val="24"/>
          <w:szCs w:val="24"/>
        </w:rPr>
      </w:pPr>
      <w:r w:rsidRPr="00C85501">
        <w:rPr>
          <w:rFonts w:cstheme="minorHAnsi"/>
          <w:b/>
          <w:sz w:val="24"/>
          <w:szCs w:val="24"/>
        </w:rPr>
        <w:t>Requirement 9</w:t>
      </w:r>
      <w:r w:rsidR="00301D4F">
        <w:rPr>
          <w:rFonts w:cstheme="minorHAnsi"/>
          <w:b/>
          <w:sz w:val="24"/>
          <w:szCs w:val="24"/>
        </w:rPr>
        <w:t>:</w:t>
      </w:r>
      <w:r w:rsidR="00686773">
        <w:rPr>
          <w:rFonts w:cstheme="minorHAnsi"/>
          <w:b/>
          <w:sz w:val="24"/>
          <w:szCs w:val="24"/>
        </w:rPr>
        <w:t xml:space="preserve">  </w:t>
      </w:r>
      <w:r w:rsidRPr="00F94FE8">
        <w:rPr>
          <w:rFonts w:cstheme="minorHAnsi"/>
          <w:sz w:val="24"/>
          <w:szCs w:val="24"/>
        </w:rPr>
        <w:t>CHR programs must be able to verify which personnel the program authorizes to purchase, transport, distribute, and collect hypodermic needles and syringes.</w:t>
      </w:r>
    </w:p>
    <w:p w14:paraId="51BFF7AF" w14:textId="79EA8C9B" w:rsidR="001A665D" w:rsidRPr="00C85501" w:rsidRDefault="001A665D" w:rsidP="00C85501">
      <w:pPr>
        <w:spacing w:after="200" w:line="240" w:lineRule="auto"/>
        <w:rPr>
          <w:rFonts w:cstheme="minorHAnsi"/>
          <w:sz w:val="24"/>
          <w:szCs w:val="24"/>
        </w:rPr>
      </w:pPr>
      <w:r w:rsidRPr="00C85501">
        <w:rPr>
          <w:rFonts w:cstheme="minorHAnsi"/>
          <w:sz w:val="24"/>
          <w:szCs w:val="24"/>
        </w:rPr>
        <w:t>Programs must develop a documentation process that shows an individual is a program staff (including volunteers) such as an identification card</w:t>
      </w:r>
      <w:r w:rsidR="00334111">
        <w:rPr>
          <w:rFonts w:cstheme="minorHAnsi"/>
          <w:sz w:val="24"/>
          <w:szCs w:val="24"/>
        </w:rPr>
        <w:t xml:space="preserve">. </w:t>
      </w:r>
      <w:r w:rsidRPr="00C85501">
        <w:rPr>
          <w:rFonts w:cstheme="minorHAnsi"/>
          <w:sz w:val="24"/>
          <w:szCs w:val="24"/>
        </w:rPr>
        <w:t xml:space="preserve"> The documentation should list the duties that staff member can perform</w:t>
      </w:r>
      <w:r w:rsidR="00334111">
        <w:rPr>
          <w:rFonts w:cstheme="minorHAnsi"/>
          <w:sz w:val="24"/>
          <w:szCs w:val="24"/>
        </w:rPr>
        <w:t xml:space="preserve">.  </w:t>
      </w:r>
    </w:p>
    <w:p w14:paraId="129EA2E5" w14:textId="15367B7F" w:rsidR="002F2954" w:rsidRDefault="00FC24FC" w:rsidP="002F2954">
      <w:pPr>
        <w:shd w:val="clear" w:color="auto" w:fill="FFFFFF"/>
        <w:spacing w:before="100" w:beforeAutospacing="1" w:after="100" w:afterAutospacing="1" w:line="240" w:lineRule="auto"/>
        <w:rPr>
          <w:rFonts w:eastAsia="Times New Roman" w:cstheme="minorHAnsi"/>
          <w:color w:val="333333"/>
          <w:sz w:val="24"/>
          <w:szCs w:val="24"/>
        </w:rPr>
      </w:pPr>
      <w:r w:rsidRPr="00C85501">
        <w:rPr>
          <w:rFonts w:eastAsia="Times New Roman" w:cstheme="minorHAnsi"/>
          <w:b/>
          <w:color w:val="333333"/>
          <w:sz w:val="24"/>
          <w:szCs w:val="24"/>
        </w:rPr>
        <w:lastRenderedPageBreak/>
        <w:t>Requirement 10:</w:t>
      </w:r>
      <w:r>
        <w:rPr>
          <w:rFonts w:eastAsia="Times New Roman" w:cstheme="minorHAnsi"/>
          <w:color w:val="333333"/>
          <w:sz w:val="24"/>
          <w:szCs w:val="24"/>
        </w:rPr>
        <w:t xml:space="preserve">  All VDH funded site must distribute condoms to participants</w:t>
      </w:r>
      <w:r w:rsidR="00334111">
        <w:rPr>
          <w:rFonts w:eastAsia="Times New Roman" w:cstheme="minorHAnsi"/>
          <w:color w:val="333333"/>
          <w:sz w:val="24"/>
          <w:szCs w:val="24"/>
        </w:rPr>
        <w:t>.</w:t>
      </w:r>
      <w:r w:rsidR="002F2954">
        <w:rPr>
          <w:rFonts w:eastAsia="Times New Roman" w:cstheme="minorHAnsi"/>
          <w:color w:val="333333"/>
          <w:sz w:val="24"/>
          <w:szCs w:val="24"/>
        </w:rPr>
        <w:t xml:space="preserve">  </w:t>
      </w:r>
      <w:r>
        <w:rPr>
          <w:rFonts w:eastAsia="Times New Roman" w:cstheme="minorHAnsi"/>
          <w:color w:val="333333"/>
          <w:sz w:val="24"/>
          <w:szCs w:val="24"/>
        </w:rPr>
        <w:t xml:space="preserve">Unfunded sites </w:t>
      </w:r>
      <w:r w:rsidRPr="008D206A">
        <w:rPr>
          <w:rFonts w:eastAsia="Times New Roman" w:cstheme="minorHAnsi"/>
          <w:color w:val="333333"/>
          <w:sz w:val="24"/>
          <w:szCs w:val="24"/>
        </w:rPr>
        <w:t>may also distribute condoms</w:t>
      </w:r>
      <w:r w:rsidR="002F2954">
        <w:rPr>
          <w:rFonts w:eastAsia="Times New Roman" w:cstheme="minorHAnsi"/>
          <w:color w:val="333333"/>
          <w:sz w:val="24"/>
          <w:szCs w:val="24"/>
        </w:rPr>
        <w:t xml:space="preserve">.  </w:t>
      </w:r>
      <w:r w:rsidRPr="008D206A">
        <w:rPr>
          <w:rFonts w:eastAsia="Times New Roman" w:cstheme="minorHAnsi"/>
          <w:color w:val="333333"/>
          <w:sz w:val="24"/>
          <w:szCs w:val="24"/>
        </w:rPr>
        <w:t>Condom and lubricants are available free of charge if sites register for VDH’s condom distribution program</w:t>
      </w:r>
      <w:r w:rsidR="00334111">
        <w:rPr>
          <w:rFonts w:eastAsia="Times New Roman" w:cstheme="minorHAnsi"/>
          <w:color w:val="333333"/>
          <w:sz w:val="24"/>
          <w:szCs w:val="24"/>
        </w:rPr>
        <w:t xml:space="preserve">.  </w:t>
      </w:r>
      <w:r w:rsidR="008D206A" w:rsidRPr="008D206A">
        <w:rPr>
          <w:rFonts w:cstheme="minorHAnsi"/>
          <w:sz w:val="24"/>
          <w:szCs w:val="24"/>
        </w:rPr>
        <w:t xml:space="preserve">If you would like to participate, please contact </w:t>
      </w:r>
      <w:r w:rsidR="008D206A" w:rsidRPr="008D206A">
        <w:rPr>
          <w:rStyle w:val="Strong"/>
          <w:rFonts w:cstheme="minorHAnsi"/>
          <w:sz w:val="24"/>
          <w:szCs w:val="24"/>
        </w:rPr>
        <w:t>Beth Marschak</w:t>
      </w:r>
      <w:r w:rsidR="008D206A" w:rsidRPr="008D206A">
        <w:rPr>
          <w:rFonts w:cstheme="minorHAnsi"/>
          <w:sz w:val="24"/>
          <w:szCs w:val="24"/>
        </w:rPr>
        <w:t xml:space="preserve"> at </w:t>
      </w:r>
      <w:hyperlink r:id="rId18" w:history="1">
        <w:r w:rsidR="008D206A" w:rsidRPr="008D206A">
          <w:rPr>
            <w:rStyle w:val="Hyperlink"/>
            <w:rFonts w:cstheme="minorHAnsi"/>
            <w:sz w:val="24"/>
            <w:szCs w:val="24"/>
          </w:rPr>
          <w:t>elizabeth.marschak@vdh.virginia.gov</w:t>
        </w:r>
      </w:hyperlink>
      <w:r w:rsidR="008D206A" w:rsidRPr="008D206A">
        <w:rPr>
          <w:rFonts w:cstheme="minorHAnsi"/>
          <w:sz w:val="24"/>
          <w:szCs w:val="24"/>
        </w:rPr>
        <w:t xml:space="preserve"> or (804) 864-8008.</w:t>
      </w:r>
    </w:p>
    <w:p w14:paraId="5F0B8752" w14:textId="77777777" w:rsidR="00150A2A" w:rsidRDefault="00150A2A" w:rsidP="00150A2A">
      <w:pPr>
        <w:shd w:val="clear" w:color="auto" w:fill="FFFFFF"/>
        <w:spacing w:before="100" w:beforeAutospacing="1" w:after="100" w:afterAutospacing="1" w:line="240" w:lineRule="auto"/>
        <w:rPr>
          <w:rFonts w:eastAsia="Times New Roman" w:cstheme="minorHAnsi"/>
          <w:color w:val="333333"/>
          <w:sz w:val="24"/>
          <w:szCs w:val="24"/>
        </w:rPr>
      </w:pPr>
    </w:p>
    <w:p w14:paraId="072DEEF5" w14:textId="280BCEAE" w:rsidR="00154F91" w:rsidRPr="00150A2A" w:rsidRDefault="008D206A" w:rsidP="00150A2A">
      <w:pPr>
        <w:pStyle w:val="ListParagraph"/>
        <w:numPr>
          <w:ilvl w:val="0"/>
          <w:numId w:val="18"/>
        </w:numPr>
        <w:shd w:val="clear" w:color="auto" w:fill="FFFFFF"/>
        <w:spacing w:before="100" w:beforeAutospacing="1" w:after="100" w:afterAutospacing="1" w:line="240" w:lineRule="auto"/>
        <w:ind w:left="360" w:hanging="360"/>
        <w:rPr>
          <w:rFonts w:eastAsia="Times New Roman" w:cstheme="minorHAnsi"/>
          <w:b/>
          <w:color w:val="333333"/>
          <w:sz w:val="24"/>
          <w:szCs w:val="24"/>
        </w:rPr>
      </w:pPr>
      <w:r w:rsidRPr="00150A2A">
        <w:rPr>
          <w:rFonts w:eastAsia="Times New Roman" w:cstheme="minorHAnsi"/>
          <w:b/>
          <w:color w:val="333333"/>
          <w:sz w:val="24"/>
          <w:szCs w:val="24"/>
        </w:rPr>
        <w:t xml:space="preserve">Data </w:t>
      </w:r>
      <w:r w:rsidR="00154F91" w:rsidRPr="00150A2A">
        <w:rPr>
          <w:rFonts w:eastAsia="Times New Roman" w:cstheme="minorHAnsi"/>
          <w:b/>
          <w:color w:val="333333"/>
          <w:sz w:val="24"/>
          <w:szCs w:val="24"/>
        </w:rPr>
        <w:t>Reporting Requirements</w:t>
      </w:r>
      <w:r w:rsidRPr="00150A2A">
        <w:rPr>
          <w:rFonts w:eastAsia="Times New Roman" w:cstheme="minorHAnsi"/>
          <w:b/>
          <w:color w:val="333333"/>
          <w:sz w:val="24"/>
          <w:szCs w:val="24"/>
        </w:rPr>
        <w:t>:</w:t>
      </w:r>
    </w:p>
    <w:p w14:paraId="6C19FED0" w14:textId="77777777" w:rsidR="003268E8" w:rsidRDefault="003268E8" w:rsidP="003268E8">
      <w:pPr>
        <w:rPr>
          <w:rFonts w:eastAsia="Times New Roman" w:cstheme="minorHAnsi"/>
          <w:color w:val="333333"/>
          <w:sz w:val="24"/>
          <w:szCs w:val="24"/>
        </w:rPr>
      </w:pPr>
      <w:r>
        <w:rPr>
          <w:rFonts w:eastAsia="Times New Roman" w:cstheme="minorHAnsi"/>
          <w:color w:val="333333"/>
          <w:sz w:val="24"/>
          <w:szCs w:val="24"/>
        </w:rPr>
        <w:t xml:space="preserve">By July 1 each year for the preceding calendar year, </w:t>
      </w:r>
      <w:r w:rsidR="00154F91" w:rsidRPr="00F94FE8">
        <w:rPr>
          <w:rFonts w:eastAsia="Times New Roman" w:cstheme="minorHAnsi"/>
          <w:color w:val="333333"/>
          <w:sz w:val="24"/>
          <w:szCs w:val="24"/>
        </w:rPr>
        <w:t>CHR sites must colle</w:t>
      </w:r>
      <w:r w:rsidR="00DC2580">
        <w:rPr>
          <w:rFonts w:eastAsia="Times New Roman" w:cstheme="minorHAnsi"/>
          <w:color w:val="333333"/>
          <w:sz w:val="24"/>
          <w:szCs w:val="24"/>
        </w:rPr>
        <w:t xml:space="preserve">ct and report </w:t>
      </w:r>
      <w:r>
        <w:rPr>
          <w:rFonts w:eastAsia="Times New Roman" w:cstheme="minorHAnsi"/>
          <w:color w:val="333333"/>
          <w:sz w:val="24"/>
          <w:szCs w:val="24"/>
        </w:rPr>
        <w:t xml:space="preserve">the following </w:t>
      </w:r>
      <w:r w:rsidR="00DC2580">
        <w:rPr>
          <w:rFonts w:eastAsia="Times New Roman" w:cstheme="minorHAnsi"/>
          <w:color w:val="333333"/>
          <w:sz w:val="24"/>
          <w:szCs w:val="24"/>
        </w:rPr>
        <w:t>data to VDH</w:t>
      </w:r>
      <w:r>
        <w:rPr>
          <w:rFonts w:eastAsia="Times New Roman" w:cstheme="minorHAnsi"/>
          <w:color w:val="333333"/>
          <w:sz w:val="24"/>
          <w:szCs w:val="24"/>
        </w:rPr>
        <w:t>:</w:t>
      </w:r>
    </w:p>
    <w:p w14:paraId="60A6D488" w14:textId="495DD5E0" w:rsidR="003268E8" w:rsidRDefault="003268E8" w:rsidP="008769E3">
      <w:pPr>
        <w:pStyle w:val="ListParagraph"/>
        <w:numPr>
          <w:ilvl w:val="0"/>
          <w:numId w:val="29"/>
        </w:numPr>
        <w:rPr>
          <w:rFonts w:eastAsia="Times New Roman" w:cstheme="minorHAnsi"/>
          <w:color w:val="333333"/>
          <w:sz w:val="24"/>
          <w:szCs w:val="24"/>
        </w:rPr>
      </w:pPr>
      <w:r w:rsidRPr="008769E3">
        <w:rPr>
          <w:rFonts w:eastAsia="Times New Roman" w:cstheme="minorHAnsi"/>
          <w:color w:val="333333"/>
          <w:sz w:val="24"/>
          <w:szCs w:val="24"/>
        </w:rPr>
        <w:t xml:space="preserve"> the number of individuals served by the </w:t>
      </w:r>
      <w:r w:rsidRPr="003268E8">
        <w:rPr>
          <w:rFonts w:eastAsia="Times New Roman" w:cstheme="minorHAnsi"/>
          <w:color w:val="333333"/>
          <w:sz w:val="24"/>
          <w:szCs w:val="24"/>
        </w:rPr>
        <w:t>program;</w:t>
      </w:r>
    </w:p>
    <w:p w14:paraId="4434E7EA" w14:textId="1D35A951" w:rsidR="003268E8" w:rsidRDefault="003268E8" w:rsidP="008769E3">
      <w:pPr>
        <w:pStyle w:val="ListParagraph"/>
        <w:numPr>
          <w:ilvl w:val="0"/>
          <w:numId w:val="29"/>
        </w:numPr>
        <w:rPr>
          <w:rFonts w:eastAsia="Times New Roman" w:cstheme="minorHAnsi"/>
          <w:color w:val="333333"/>
          <w:sz w:val="24"/>
          <w:szCs w:val="24"/>
        </w:rPr>
      </w:pPr>
      <w:r w:rsidRPr="003268E8">
        <w:rPr>
          <w:rFonts w:eastAsia="Times New Roman" w:cstheme="minorHAnsi"/>
          <w:color w:val="333333"/>
          <w:sz w:val="24"/>
          <w:szCs w:val="24"/>
        </w:rPr>
        <w:t>the number of needles, hypodermic syringes, and other injection supplies distributed by the</w:t>
      </w:r>
      <w:r>
        <w:rPr>
          <w:rFonts w:eastAsia="Times New Roman" w:cstheme="minorHAnsi"/>
          <w:color w:val="333333"/>
          <w:sz w:val="24"/>
          <w:szCs w:val="24"/>
        </w:rPr>
        <w:t xml:space="preserve"> </w:t>
      </w:r>
      <w:r w:rsidRPr="008769E3">
        <w:rPr>
          <w:rFonts w:eastAsia="Times New Roman" w:cstheme="minorHAnsi"/>
          <w:color w:val="333333"/>
          <w:sz w:val="24"/>
          <w:szCs w:val="24"/>
        </w:rPr>
        <w:t>program;</w:t>
      </w:r>
    </w:p>
    <w:p w14:paraId="7AFEDDC6" w14:textId="55DBB717" w:rsidR="003268E8" w:rsidRDefault="003268E8" w:rsidP="008769E3">
      <w:pPr>
        <w:pStyle w:val="ListParagraph"/>
        <w:numPr>
          <w:ilvl w:val="0"/>
          <w:numId w:val="29"/>
        </w:numPr>
        <w:rPr>
          <w:rFonts w:eastAsia="Times New Roman" w:cstheme="minorHAnsi"/>
          <w:color w:val="333333"/>
          <w:sz w:val="24"/>
          <w:szCs w:val="24"/>
        </w:rPr>
      </w:pPr>
      <w:r w:rsidRPr="008769E3">
        <w:rPr>
          <w:rFonts w:eastAsia="Times New Roman" w:cstheme="minorHAnsi"/>
          <w:color w:val="333333"/>
          <w:sz w:val="24"/>
          <w:szCs w:val="24"/>
        </w:rPr>
        <w:t xml:space="preserve">the number of overdose prevention kits </w:t>
      </w:r>
      <w:r w:rsidRPr="003268E8">
        <w:rPr>
          <w:rFonts w:eastAsia="Times New Roman" w:cstheme="minorHAnsi"/>
          <w:color w:val="333333"/>
          <w:sz w:val="24"/>
          <w:szCs w:val="24"/>
        </w:rPr>
        <w:t xml:space="preserve">distributed by the program; </w:t>
      </w:r>
      <w:r>
        <w:rPr>
          <w:rFonts w:eastAsia="Times New Roman" w:cstheme="minorHAnsi"/>
          <w:color w:val="333333"/>
          <w:sz w:val="24"/>
          <w:szCs w:val="24"/>
        </w:rPr>
        <w:t>and</w:t>
      </w:r>
    </w:p>
    <w:p w14:paraId="4C94CBAB" w14:textId="0DA0F530" w:rsidR="003268E8" w:rsidRPr="003268E8" w:rsidRDefault="003268E8" w:rsidP="008769E3">
      <w:pPr>
        <w:pStyle w:val="ListParagraph"/>
        <w:numPr>
          <w:ilvl w:val="0"/>
          <w:numId w:val="29"/>
        </w:numPr>
        <w:rPr>
          <w:rFonts w:eastAsia="Times New Roman" w:cstheme="minorHAnsi"/>
          <w:color w:val="333333"/>
          <w:sz w:val="24"/>
          <w:szCs w:val="24"/>
        </w:rPr>
      </w:pPr>
      <w:r w:rsidRPr="003268E8">
        <w:rPr>
          <w:rFonts w:eastAsia="Times New Roman" w:cstheme="minorHAnsi"/>
          <w:color w:val="333333"/>
          <w:sz w:val="24"/>
          <w:szCs w:val="24"/>
        </w:rPr>
        <w:t>the number and</w:t>
      </w:r>
      <w:r w:rsidRPr="008769E3">
        <w:rPr>
          <w:rFonts w:eastAsia="Times New Roman" w:cstheme="minorHAnsi"/>
          <w:color w:val="333333"/>
          <w:sz w:val="24"/>
          <w:szCs w:val="24"/>
        </w:rPr>
        <w:t xml:space="preserve"> type of referrals to mental health or substance use disorder treatment services provided to individuals</w:t>
      </w:r>
      <w:r w:rsidRPr="003268E8">
        <w:rPr>
          <w:rFonts w:eastAsia="Times New Roman" w:cstheme="minorHAnsi"/>
          <w:color w:val="333333"/>
          <w:sz w:val="24"/>
          <w:szCs w:val="24"/>
        </w:rPr>
        <w:t xml:space="preserve"> served by the program, including the number of individuals referred to programs that provide naloxone or other opioid antagonists approved by the FDA.</w:t>
      </w:r>
    </w:p>
    <w:p w14:paraId="3208CC93" w14:textId="15ED3756" w:rsidR="00D62EF6" w:rsidRDefault="00154F91" w:rsidP="003268E8">
      <w:pPr>
        <w:rPr>
          <w:rFonts w:eastAsia="Times New Roman" w:cstheme="minorHAnsi"/>
          <w:color w:val="333333"/>
          <w:sz w:val="24"/>
          <w:szCs w:val="24"/>
        </w:rPr>
      </w:pPr>
      <w:r w:rsidRPr="00F94FE8">
        <w:rPr>
          <w:rFonts w:eastAsia="Times New Roman" w:cstheme="minorHAnsi"/>
          <w:color w:val="333333"/>
          <w:sz w:val="24"/>
          <w:szCs w:val="24"/>
        </w:rPr>
        <w:t>Frequency and amount of dat</w:t>
      </w:r>
      <w:r w:rsidR="00095B0B" w:rsidRPr="00F94FE8">
        <w:rPr>
          <w:rFonts w:eastAsia="Times New Roman" w:cstheme="minorHAnsi"/>
          <w:color w:val="333333"/>
          <w:sz w:val="24"/>
          <w:szCs w:val="24"/>
        </w:rPr>
        <w:t xml:space="preserve">a depends on the type of site, VDH funded or </w:t>
      </w:r>
      <w:r w:rsidR="00DC2580">
        <w:rPr>
          <w:rFonts w:eastAsia="Times New Roman" w:cstheme="minorHAnsi"/>
          <w:color w:val="333333"/>
          <w:sz w:val="24"/>
          <w:szCs w:val="24"/>
        </w:rPr>
        <w:t>VDH non-</w:t>
      </w:r>
      <w:r w:rsidR="00095B0B" w:rsidRPr="00F94FE8">
        <w:rPr>
          <w:rFonts w:eastAsia="Times New Roman" w:cstheme="minorHAnsi"/>
          <w:color w:val="333333"/>
          <w:sz w:val="24"/>
          <w:szCs w:val="24"/>
        </w:rPr>
        <w:t>unfunded</w:t>
      </w:r>
      <w:r w:rsidR="00334111">
        <w:rPr>
          <w:rFonts w:eastAsia="Times New Roman" w:cstheme="minorHAnsi"/>
          <w:color w:val="333333"/>
          <w:sz w:val="24"/>
          <w:szCs w:val="24"/>
        </w:rPr>
        <w:t xml:space="preserve">. </w:t>
      </w:r>
      <w:r w:rsidR="00095B0B" w:rsidRPr="00F94FE8">
        <w:rPr>
          <w:rFonts w:eastAsia="Times New Roman" w:cstheme="minorHAnsi"/>
          <w:color w:val="333333"/>
          <w:sz w:val="24"/>
          <w:szCs w:val="24"/>
        </w:rPr>
        <w:t xml:space="preserve"> All sites performing HIV and HCV testing will report testing/referral and linkage data in their CHR report, as well as in accordance to their HIV/HCV testing contract</w:t>
      </w:r>
      <w:r w:rsidR="00334111">
        <w:rPr>
          <w:rFonts w:eastAsia="Times New Roman" w:cstheme="minorHAnsi"/>
          <w:color w:val="333333"/>
          <w:sz w:val="24"/>
          <w:szCs w:val="24"/>
        </w:rPr>
        <w:t xml:space="preserve">. </w:t>
      </w:r>
    </w:p>
    <w:p w14:paraId="6EF74B2A" w14:textId="629664F8" w:rsidR="00154F91" w:rsidRDefault="008D206A" w:rsidP="00312D53">
      <w:pPr>
        <w:shd w:val="clear" w:color="auto" w:fill="FFFFFF"/>
        <w:spacing w:before="100" w:beforeAutospacing="1" w:after="100" w:afterAutospacing="1" w:line="270" w:lineRule="atLeast"/>
        <w:rPr>
          <w:rFonts w:eastAsia="Times New Roman" w:cstheme="minorHAnsi"/>
          <w:color w:val="333333"/>
          <w:sz w:val="24"/>
          <w:szCs w:val="24"/>
        </w:rPr>
      </w:pPr>
      <w:r>
        <w:rPr>
          <w:rFonts w:eastAsia="Times New Roman" w:cstheme="minorHAnsi"/>
          <w:color w:val="333333"/>
          <w:sz w:val="24"/>
          <w:szCs w:val="24"/>
        </w:rPr>
        <w:t>VDH funded sites will enter program data monthly and submit a narrative report on a quarterly basis</w:t>
      </w:r>
      <w:r w:rsidR="00334111">
        <w:rPr>
          <w:rFonts w:eastAsia="Times New Roman" w:cstheme="minorHAnsi"/>
          <w:color w:val="333333"/>
          <w:sz w:val="24"/>
          <w:szCs w:val="24"/>
        </w:rPr>
        <w:t xml:space="preserve">. </w:t>
      </w:r>
      <w:r>
        <w:rPr>
          <w:rFonts w:eastAsia="Times New Roman" w:cstheme="minorHAnsi"/>
          <w:color w:val="333333"/>
          <w:sz w:val="24"/>
          <w:szCs w:val="24"/>
        </w:rPr>
        <w:t xml:space="preserve"> Unfunded sites are encouraged to enter data on a monthly basis</w:t>
      </w:r>
      <w:r w:rsidR="003268E8">
        <w:rPr>
          <w:rFonts w:eastAsia="Times New Roman" w:cstheme="minorHAnsi"/>
          <w:color w:val="333333"/>
          <w:sz w:val="24"/>
          <w:szCs w:val="24"/>
        </w:rPr>
        <w:t xml:space="preserve"> to enhance the information available supporting the </w:t>
      </w:r>
      <w:r w:rsidR="00D201BF">
        <w:rPr>
          <w:rFonts w:eastAsia="Times New Roman" w:cstheme="minorHAnsi"/>
          <w:color w:val="333333"/>
          <w:sz w:val="24"/>
          <w:szCs w:val="24"/>
        </w:rPr>
        <w:t>i</w:t>
      </w:r>
      <w:r w:rsidR="003268E8">
        <w:rPr>
          <w:rFonts w:eastAsia="Times New Roman" w:cstheme="minorHAnsi"/>
          <w:color w:val="333333"/>
          <w:sz w:val="24"/>
          <w:szCs w:val="24"/>
        </w:rPr>
        <w:t>mpact of CHR services</w:t>
      </w:r>
      <w:r w:rsidR="006C5CB9">
        <w:rPr>
          <w:rFonts w:eastAsia="Times New Roman" w:cstheme="minorHAnsi"/>
          <w:color w:val="333333"/>
          <w:sz w:val="24"/>
          <w:szCs w:val="24"/>
        </w:rPr>
        <w:t xml:space="preserve">, </w:t>
      </w:r>
      <w:r>
        <w:rPr>
          <w:rFonts w:eastAsia="Times New Roman" w:cstheme="minorHAnsi"/>
          <w:color w:val="333333"/>
          <w:sz w:val="24"/>
          <w:szCs w:val="24"/>
        </w:rPr>
        <w:t xml:space="preserve">but are required to report on the </w:t>
      </w:r>
      <w:r w:rsidR="006C5CB9">
        <w:rPr>
          <w:rFonts w:eastAsia="Times New Roman" w:cstheme="minorHAnsi"/>
          <w:color w:val="333333"/>
          <w:sz w:val="24"/>
          <w:szCs w:val="24"/>
        </w:rPr>
        <w:t xml:space="preserve">mandatory </w:t>
      </w:r>
      <w:r>
        <w:rPr>
          <w:rFonts w:eastAsia="Times New Roman" w:cstheme="minorHAnsi"/>
          <w:color w:val="333333"/>
          <w:sz w:val="24"/>
          <w:szCs w:val="24"/>
        </w:rPr>
        <w:t>variable</w:t>
      </w:r>
      <w:r w:rsidR="006C5CB9">
        <w:rPr>
          <w:rFonts w:eastAsia="Times New Roman" w:cstheme="minorHAnsi"/>
          <w:color w:val="333333"/>
          <w:sz w:val="24"/>
          <w:szCs w:val="24"/>
        </w:rPr>
        <w:t>s</w:t>
      </w:r>
      <w:r>
        <w:rPr>
          <w:rFonts w:eastAsia="Times New Roman" w:cstheme="minorHAnsi"/>
          <w:color w:val="333333"/>
          <w:sz w:val="24"/>
          <w:szCs w:val="24"/>
        </w:rPr>
        <w:t xml:space="preserve"> listed in </w:t>
      </w:r>
      <w:r w:rsidR="00D201BF">
        <w:rPr>
          <w:rFonts w:eastAsia="Times New Roman" w:cstheme="minorHAnsi"/>
          <w:color w:val="333333"/>
          <w:sz w:val="24"/>
          <w:szCs w:val="24"/>
        </w:rPr>
        <w:t>Table 1</w:t>
      </w:r>
      <w:r>
        <w:rPr>
          <w:rFonts w:eastAsia="Times New Roman" w:cstheme="minorHAnsi"/>
          <w:color w:val="333333"/>
          <w:sz w:val="24"/>
          <w:szCs w:val="24"/>
        </w:rPr>
        <w:t xml:space="preserve"> </w:t>
      </w:r>
      <w:r w:rsidR="00D201BF">
        <w:rPr>
          <w:rFonts w:eastAsia="Times New Roman" w:cstheme="minorHAnsi"/>
          <w:color w:val="333333"/>
          <w:sz w:val="24"/>
          <w:szCs w:val="24"/>
        </w:rPr>
        <w:t>o</w:t>
      </w:r>
      <w:r>
        <w:rPr>
          <w:rFonts w:eastAsia="Times New Roman" w:cstheme="minorHAnsi"/>
          <w:color w:val="333333"/>
          <w:sz w:val="24"/>
          <w:szCs w:val="24"/>
        </w:rPr>
        <w:t>n an annual basis</w:t>
      </w:r>
      <w:r w:rsidR="00334111">
        <w:rPr>
          <w:rFonts w:eastAsia="Times New Roman" w:cstheme="minorHAnsi"/>
          <w:color w:val="333333"/>
          <w:sz w:val="24"/>
          <w:szCs w:val="24"/>
        </w:rPr>
        <w:t xml:space="preserve">.  </w:t>
      </w:r>
    </w:p>
    <w:p w14:paraId="0154C0B3" w14:textId="2225745D" w:rsidR="008D206A" w:rsidRPr="00F94FE8" w:rsidRDefault="008D206A" w:rsidP="00312D53">
      <w:pPr>
        <w:shd w:val="clear" w:color="auto" w:fill="FFFFFF"/>
        <w:spacing w:before="100" w:beforeAutospacing="1" w:after="100" w:afterAutospacing="1" w:line="270" w:lineRule="atLeast"/>
        <w:rPr>
          <w:rFonts w:eastAsia="Times New Roman" w:cstheme="minorHAnsi"/>
          <w:color w:val="333333"/>
          <w:sz w:val="24"/>
          <w:szCs w:val="24"/>
        </w:rPr>
      </w:pPr>
      <w:r>
        <w:rPr>
          <w:rFonts w:eastAsia="Times New Roman" w:cstheme="minorHAnsi"/>
          <w:color w:val="333333"/>
          <w:sz w:val="24"/>
          <w:szCs w:val="24"/>
        </w:rPr>
        <w:t>Funded sites are required to use VDH’s data entry system</w:t>
      </w:r>
      <w:r w:rsidR="00334111">
        <w:rPr>
          <w:rFonts w:eastAsia="Times New Roman" w:cstheme="minorHAnsi"/>
          <w:color w:val="333333"/>
          <w:sz w:val="24"/>
          <w:szCs w:val="24"/>
        </w:rPr>
        <w:t xml:space="preserve">.  </w:t>
      </w:r>
      <w:r>
        <w:rPr>
          <w:rFonts w:eastAsia="Times New Roman" w:cstheme="minorHAnsi"/>
          <w:color w:val="333333"/>
          <w:sz w:val="24"/>
          <w:szCs w:val="24"/>
        </w:rPr>
        <w:t xml:space="preserve">Unfunded site are strongly </w:t>
      </w:r>
      <w:r w:rsidR="00790162">
        <w:rPr>
          <w:rFonts w:eastAsia="Times New Roman" w:cstheme="minorHAnsi"/>
          <w:color w:val="333333"/>
          <w:sz w:val="24"/>
          <w:szCs w:val="24"/>
        </w:rPr>
        <w:t xml:space="preserve">encouraged </w:t>
      </w:r>
      <w:r>
        <w:rPr>
          <w:rFonts w:eastAsia="Times New Roman" w:cstheme="minorHAnsi"/>
          <w:color w:val="333333"/>
          <w:sz w:val="24"/>
          <w:szCs w:val="24"/>
        </w:rPr>
        <w:t>to use the same system</w:t>
      </w:r>
      <w:r w:rsidR="00334111">
        <w:rPr>
          <w:rFonts w:eastAsia="Times New Roman" w:cstheme="minorHAnsi"/>
          <w:color w:val="333333"/>
          <w:sz w:val="24"/>
          <w:szCs w:val="24"/>
        </w:rPr>
        <w:t xml:space="preserve">. </w:t>
      </w:r>
      <w:r>
        <w:rPr>
          <w:rFonts w:eastAsia="Times New Roman" w:cstheme="minorHAnsi"/>
          <w:color w:val="333333"/>
          <w:sz w:val="24"/>
          <w:szCs w:val="24"/>
        </w:rPr>
        <w:t xml:space="preserve"> VDH will offer training and assistance to those who use this system.</w:t>
      </w:r>
    </w:p>
    <w:p w14:paraId="6C63F70F" w14:textId="7E56C140" w:rsidR="00CC5364" w:rsidRDefault="004C34E0">
      <w:pPr>
        <w:rPr>
          <w:sz w:val="20"/>
          <w:szCs w:val="20"/>
        </w:rPr>
      </w:pPr>
      <w:r>
        <w:rPr>
          <w:rFonts w:eastAsia="Times New Roman" w:cstheme="minorHAnsi"/>
          <w:color w:val="333333"/>
          <w:sz w:val="24"/>
          <w:szCs w:val="24"/>
        </w:rPr>
        <w:t>Sites funded by VDH will be required to enter data on a monthly basis and submit a written progress report quarterly</w:t>
      </w:r>
      <w:r w:rsidR="00334111">
        <w:rPr>
          <w:sz w:val="20"/>
          <w:szCs w:val="20"/>
        </w:rPr>
        <w:t xml:space="preserve">.  </w:t>
      </w:r>
    </w:p>
    <w:p w14:paraId="61946500" w14:textId="32A493B1" w:rsidR="00154F91" w:rsidRDefault="00154F91"/>
    <w:p w14:paraId="14F39927" w14:textId="15CAB16E" w:rsidR="00154F91" w:rsidRDefault="004F0634">
      <w:pPr>
        <w:rPr>
          <w:rStyle w:val="Hyperlink"/>
        </w:rPr>
      </w:pPr>
      <w:r w:rsidRPr="004F0634">
        <w:t xml:space="preserve">Additional information including application forms are available at </w:t>
      </w:r>
      <w:hyperlink r:id="rId19" w:history="1">
        <w:r w:rsidRPr="004F0634">
          <w:rPr>
            <w:rStyle w:val="Hyperlink"/>
          </w:rPr>
          <w:t>www.vdh.virginia.gov/diease-prevention/CHR</w:t>
        </w:r>
      </w:hyperlink>
    </w:p>
    <w:p w14:paraId="1C058F52" w14:textId="38DA2B33" w:rsidR="007B274E" w:rsidRDefault="007B274E">
      <w:pPr>
        <w:rPr>
          <w:rStyle w:val="Hyperlink"/>
        </w:rPr>
      </w:pPr>
    </w:p>
    <w:p w14:paraId="24B80F5B" w14:textId="59DDDE02" w:rsidR="007B274E" w:rsidRDefault="007B274E">
      <w:pPr>
        <w:rPr>
          <w:rStyle w:val="Hyperlink"/>
        </w:rPr>
      </w:pPr>
    </w:p>
    <w:p w14:paraId="2F9ADF73" w14:textId="29D5C40E" w:rsidR="007B274E" w:rsidRDefault="007B274E">
      <w:pPr>
        <w:rPr>
          <w:rStyle w:val="Hyperlink"/>
        </w:rPr>
      </w:pPr>
    </w:p>
    <w:p w14:paraId="1FF1D4F5" w14:textId="4E31D126" w:rsidR="007B274E" w:rsidRPr="00B46873" w:rsidRDefault="007B274E" w:rsidP="007B274E">
      <w:pPr>
        <w:jc w:val="center"/>
        <w:rPr>
          <w:rStyle w:val="Hyperlink"/>
          <w:b/>
          <w:color w:val="000000" w:themeColor="text1"/>
        </w:rPr>
      </w:pPr>
      <w:r w:rsidRPr="00B46873">
        <w:rPr>
          <w:rStyle w:val="Hyperlink"/>
          <w:b/>
          <w:color w:val="000000" w:themeColor="text1"/>
        </w:rPr>
        <w:t>Attachment 1:</w:t>
      </w:r>
    </w:p>
    <w:p w14:paraId="09F46BE3" w14:textId="77777777" w:rsidR="007B274E" w:rsidRPr="00B46873" w:rsidRDefault="007B274E">
      <w:pPr>
        <w:rPr>
          <w:rStyle w:val="Hyperlink"/>
          <w:color w:val="000000" w:themeColor="text1"/>
        </w:rPr>
      </w:pPr>
    </w:p>
    <w:p w14:paraId="092A460C" w14:textId="43F0DA53" w:rsidR="007B274E" w:rsidRPr="00B46873" w:rsidRDefault="007B274E">
      <w:pPr>
        <w:rPr>
          <w:rStyle w:val="Hyperlink"/>
          <w:color w:val="000000" w:themeColor="text1"/>
        </w:rPr>
      </w:pPr>
      <w:r w:rsidRPr="00B46873">
        <w:rPr>
          <w:rStyle w:val="Hyperlink"/>
          <w:color w:val="000000" w:themeColor="text1"/>
        </w:rPr>
        <w:t>Agency Name___________________________________________________</w:t>
      </w:r>
    </w:p>
    <w:p w14:paraId="55CA3157" w14:textId="35478045" w:rsidR="007B274E" w:rsidRDefault="007B274E">
      <w:pPr>
        <w:rPr>
          <w:rStyle w:val="Hyperlink"/>
        </w:rPr>
      </w:pPr>
    </w:p>
    <w:p w14:paraId="540E3C53" w14:textId="77777777" w:rsidR="007B274E" w:rsidRDefault="007B274E">
      <w:r>
        <w:t>Waiver of Hepatitis B Vaccination</w:t>
      </w:r>
    </w:p>
    <w:p w14:paraId="66FEA529" w14:textId="77777777" w:rsidR="007B274E" w:rsidRDefault="007B274E">
      <w:r>
        <w:t xml:space="preserve"> 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at this time.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 I have read the above information and I agree to comply with this policy. If I have any questions or concerns I will address them with ______________________ (supervisor name) </w:t>
      </w:r>
    </w:p>
    <w:p w14:paraId="2B65DBD0" w14:textId="77777777" w:rsidR="007B274E" w:rsidRDefault="007B274E"/>
    <w:p w14:paraId="0D0BEF2C" w14:textId="77777777" w:rsidR="007B274E" w:rsidRDefault="007B274E">
      <w:r>
        <w:t xml:space="preserve">Print Name ________________________________ </w:t>
      </w:r>
    </w:p>
    <w:p w14:paraId="0C4AB239" w14:textId="77777777" w:rsidR="007B274E" w:rsidRDefault="007B274E"/>
    <w:p w14:paraId="685C35D9" w14:textId="66DB75FF" w:rsidR="007B274E" w:rsidRDefault="007B274E">
      <w:r>
        <w:t xml:space="preserve">Sign Name: ________________________________ </w:t>
      </w:r>
    </w:p>
    <w:p w14:paraId="049A4536" w14:textId="77777777" w:rsidR="007B274E" w:rsidRDefault="007B274E"/>
    <w:p w14:paraId="1310B148" w14:textId="7FD72518" w:rsidR="007B274E" w:rsidRDefault="007B274E">
      <w:r>
        <w:t>Date: ___________________________________</w:t>
      </w:r>
    </w:p>
    <w:p w14:paraId="7BB6F6E3" w14:textId="26968378" w:rsidR="007B274E" w:rsidRDefault="007B274E"/>
    <w:p w14:paraId="773E66BC" w14:textId="07F7021A" w:rsidR="007B274E" w:rsidRDefault="007B274E"/>
    <w:p w14:paraId="2A18620F" w14:textId="2C2A832B" w:rsidR="007B274E" w:rsidRDefault="007B274E"/>
    <w:p w14:paraId="75F6E5E7" w14:textId="18C14864" w:rsidR="007B274E" w:rsidRDefault="007B274E"/>
    <w:p w14:paraId="4A02E165" w14:textId="2DC67CA7" w:rsidR="007B274E" w:rsidRDefault="007B274E"/>
    <w:p w14:paraId="32A8EEFB" w14:textId="403BC0D5" w:rsidR="007B274E" w:rsidRDefault="007B274E"/>
    <w:p w14:paraId="4F617602" w14:textId="62CCFC88" w:rsidR="007B274E" w:rsidRDefault="007B274E"/>
    <w:p w14:paraId="6D00D182" w14:textId="03A1237C" w:rsidR="007B274E" w:rsidRDefault="007B274E"/>
    <w:p w14:paraId="57DAFD93" w14:textId="32C6C3F2" w:rsidR="007B274E" w:rsidRDefault="007B274E"/>
    <w:p w14:paraId="0E57F581" w14:textId="3D29ED66" w:rsidR="007B274E" w:rsidRDefault="007B274E"/>
    <w:p w14:paraId="0C8530F5" w14:textId="63CB918B" w:rsidR="007B274E" w:rsidRDefault="007B274E"/>
    <w:p w14:paraId="139B63A8" w14:textId="58A3DDD5" w:rsidR="007B274E" w:rsidRPr="007165CA" w:rsidRDefault="00B46873" w:rsidP="00B46873">
      <w:pPr>
        <w:jc w:val="center"/>
        <w:rPr>
          <w:b/>
          <w:u w:val="single"/>
        </w:rPr>
      </w:pPr>
      <w:r w:rsidRPr="007165CA">
        <w:rPr>
          <w:b/>
          <w:u w:val="single"/>
        </w:rPr>
        <w:lastRenderedPageBreak/>
        <w:t>Attachment 2:</w:t>
      </w:r>
    </w:p>
    <w:p w14:paraId="2966DBDE" w14:textId="26BEB301" w:rsidR="007B274E" w:rsidRDefault="007B274E"/>
    <w:p w14:paraId="747D3058" w14:textId="77777777" w:rsidR="007F2A53" w:rsidRDefault="007F2A53" w:rsidP="007F2A53">
      <w:pPr>
        <w:jc w:val="center"/>
        <w:rPr>
          <w:b/>
        </w:rPr>
      </w:pPr>
      <w:r w:rsidRPr="007F2A53">
        <w:rPr>
          <w:b/>
        </w:rPr>
        <w:t>Division of Disease Prevention (DDP) Security and Confidentiality Policies and Procedures Verification of Receipt and Assurance of Key Req</w:t>
      </w:r>
      <w:r>
        <w:rPr>
          <w:b/>
        </w:rPr>
        <w:t>uirements for Non-DDP Personnel</w:t>
      </w:r>
    </w:p>
    <w:p w14:paraId="7CE605C6" w14:textId="0E85345D" w:rsidR="007F2A53" w:rsidRPr="007F2A53" w:rsidRDefault="007F2A53" w:rsidP="007F2A53">
      <w:pPr>
        <w:jc w:val="center"/>
        <w:rPr>
          <w:b/>
        </w:rPr>
      </w:pPr>
      <w:r w:rsidRPr="007F2A53">
        <w:rPr>
          <w:b/>
        </w:rPr>
        <w:t>(External contractors, service providers and data recipients)</w:t>
      </w:r>
    </w:p>
    <w:p w14:paraId="45CF1CB8" w14:textId="7A9E598D" w:rsidR="007F2A53" w:rsidRPr="00150A2A" w:rsidRDefault="007B274E" w:rsidP="00150A2A">
      <w:pPr>
        <w:spacing w:line="240" w:lineRule="auto"/>
        <w:rPr>
          <w:sz w:val="20"/>
          <w:szCs w:val="20"/>
        </w:rPr>
      </w:pPr>
      <w:r w:rsidRPr="00150A2A">
        <w:rPr>
          <w:sz w:val="20"/>
          <w:szCs w:val="20"/>
        </w:rPr>
        <w:t>Division of Disease Prevention (DDP) Security and Confidentiality Policies and Procedures Verification of Receipt and Assurance of Key Req</w:t>
      </w:r>
      <w:r w:rsidR="00150A2A">
        <w:rPr>
          <w:sz w:val="20"/>
          <w:szCs w:val="20"/>
        </w:rPr>
        <w:t>uirements for Non-DDP Personnel</w:t>
      </w:r>
      <w:r w:rsidRPr="00150A2A">
        <w:rPr>
          <w:sz w:val="20"/>
          <w:szCs w:val="20"/>
        </w:rPr>
        <w:t xml:space="preserve"> (External contractors, service providers and data recipients)</w:t>
      </w:r>
      <w:r w:rsidR="00150A2A">
        <w:rPr>
          <w:sz w:val="20"/>
          <w:szCs w:val="20"/>
        </w:rPr>
        <w:t xml:space="preserve">. </w:t>
      </w:r>
      <w:r w:rsidRPr="00150A2A">
        <w:rPr>
          <w:sz w:val="20"/>
          <w:szCs w:val="20"/>
        </w:rPr>
        <w:t xml:space="preserve"> If you handle, use, enter, or analyze DDP’s confidential paper or electronic records or data, you must follow these requirements:</w:t>
      </w:r>
    </w:p>
    <w:p w14:paraId="5387B42C" w14:textId="77777777" w:rsidR="007F2A53" w:rsidRPr="00150A2A" w:rsidRDefault="007B274E" w:rsidP="00150A2A">
      <w:pPr>
        <w:spacing w:line="240" w:lineRule="auto"/>
        <w:rPr>
          <w:sz w:val="20"/>
          <w:szCs w:val="20"/>
        </w:rPr>
      </w:pPr>
      <w:r w:rsidRPr="00150A2A">
        <w:rPr>
          <w:sz w:val="20"/>
          <w:szCs w:val="20"/>
        </w:rPr>
        <w:t xml:space="preserve"> </w:t>
      </w:r>
      <w:r w:rsidRPr="00150A2A">
        <w:rPr>
          <w:sz w:val="20"/>
          <w:szCs w:val="20"/>
        </w:rPr>
        <w:sym w:font="Symbol" w:char="F0B7"/>
      </w:r>
      <w:r w:rsidRPr="00150A2A">
        <w:rPr>
          <w:sz w:val="20"/>
          <w:szCs w:val="20"/>
        </w:rPr>
        <w:t xml:space="preserve"> Always protect and maintain security of state property you use (such as paper and electronic records, computers, flash drives, cell phones).</w:t>
      </w:r>
    </w:p>
    <w:p w14:paraId="3C21D37E" w14:textId="77777777" w:rsidR="007F2A53" w:rsidRPr="00150A2A" w:rsidRDefault="007B274E" w:rsidP="00150A2A">
      <w:pPr>
        <w:spacing w:line="240" w:lineRule="auto"/>
        <w:rPr>
          <w:sz w:val="20"/>
          <w:szCs w:val="20"/>
        </w:rPr>
      </w:pPr>
      <w:r w:rsidRPr="00150A2A">
        <w:rPr>
          <w:sz w:val="20"/>
          <w:szCs w:val="20"/>
        </w:rPr>
        <w:t xml:space="preserve"> </w:t>
      </w:r>
      <w:r w:rsidRPr="00150A2A">
        <w:rPr>
          <w:sz w:val="20"/>
          <w:szCs w:val="20"/>
        </w:rPr>
        <w:sym w:font="Symbol" w:char="F0B7"/>
      </w:r>
      <w:r w:rsidRPr="00150A2A">
        <w:rPr>
          <w:sz w:val="20"/>
          <w:szCs w:val="20"/>
        </w:rPr>
        <w:t xml:space="preserve"> Do not connect personal storage devices (such as non-state issued cameras, phones, MP3 players, flash drives) to state IT equipment/computers. </w:t>
      </w:r>
    </w:p>
    <w:p w14:paraId="48BC8C75"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Obtain DDP approval before removing or transporting confidential information from agreed upon locations/offices. </w:t>
      </w:r>
    </w:p>
    <w:p w14:paraId="29C9B2E5"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Transport confidential information in a locked briefcase or similar secure container. </w:t>
      </w:r>
    </w:p>
    <w:p w14:paraId="11ADC7FF"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Use an approved IronKey™ flash drive if you must transport confidential electronic data. o Ensure data is encrypted or flash drive is stored under lock and key when not in use, o Keep flash drive in a separate location from your computer, and o Delete all data immediately after use. </w:t>
      </w:r>
    </w:p>
    <w:p w14:paraId="52D075B1"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Store all confidential information in specified, locked filing locations. </w:t>
      </w:r>
    </w:p>
    <w:p w14:paraId="182419F9"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Return all confidential information to locked file locations at end of workday. </w:t>
      </w:r>
    </w:p>
    <w:p w14:paraId="5E88BE8C"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Do not store confidential DDP information on the hard drive of your computer. </w:t>
      </w:r>
    </w:p>
    <w:p w14:paraId="21BBD44F"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Collect, share, and transport the minimum confidential information necessary to conduct your work. </w:t>
      </w:r>
    </w:p>
    <w:p w14:paraId="17B469E0"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Whenever possible, code information to avoid use of disease specific or client identifying information. </w:t>
      </w:r>
      <w:r w:rsidRPr="00150A2A">
        <w:rPr>
          <w:sz w:val="20"/>
          <w:szCs w:val="20"/>
        </w:rPr>
        <w:sym w:font="Symbol" w:char="F0B7"/>
      </w:r>
      <w:r w:rsidRPr="00150A2A">
        <w:rPr>
          <w:sz w:val="20"/>
          <w:szCs w:val="20"/>
        </w:rPr>
        <w:t xml:space="preserve"> Immediately report any known or suspected confidentiality breach to your immediate supervisor, DDP contract monitor and the DDP director. </w:t>
      </w:r>
    </w:p>
    <w:p w14:paraId="1A4FB72E"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No confidential information should be transmitted via email. </w:t>
      </w:r>
    </w:p>
    <w:p w14:paraId="432AAAD3"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Send mail in manner that does not allow confidential contents to be revealed. </w:t>
      </w:r>
    </w:p>
    <w:p w14:paraId="70CE5D91"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Faxes containing confidential information must only be sent to, or received at secure locations. </w:t>
      </w:r>
    </w:p>
    <w:p w14:paraId="40F056F8"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Do not disclose confidential information over the telephone without first confirming the recipient is allowed access to the information. </w:t>
      </w:r>
    </w:p>
    <w:p w14:paraId="3ECA3F9D"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Make every effort to ensure that confidential data is removed from PCs prior to surplus. </w:t>
      </w:r>
    </w:p>
    <w:p w14:paraId="488B8B07"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Avoid photography or video in office locations that involve DDP confidential data, unless it is absolutely necessary for business purposes and approved by your supervisor(s). </w:t>
      </w:r>
    </w:p>
    <w:p w14:paraId="4E6B2859" w14:textId="77777777" w:rsidR="007F2A53" w:rsidRPr="00150A2A" w:rsidRDefault="007B274E" w:rsidP="00150A2A">
      <w:pPr>
        <w:spacing w:line="240" w:lineRule="auto"/>
        <w:rPr>
          <w:sz w:val="20"/>
          <w:szCs w:val="20"/>
        </w:rPr>
      </w:pPr>
      <w:r w:rsidRPr="00150A2A">
        <w:rPr>
          <w:sz w:val="20"/>
          <w:szCs w:val="20"/>
        </w:rPr>
        <w:sym w:font="Symbol" w:char="F0B7"/>
      </w:r>
      <w:r w:rsidRPr="00150A2A">
        <w:rPr>
          <w:sz w:val="20"/>
          <w:szCs w:val="20"/>
        </w:rPr>
        <w:t xml:space="preserve"> If you are a recipient of data from DDP, you will ensure that all data stewardship activities are handled according to the signed Data Request and Data Recipient Agreement forms. Your signature below indicates that: </w:t>
      </w:r>
    </w:p>
    <w:p w14:paraId="7B5F31D8" w14:textId="77777777" w:rsidR="007F2A53" w:rsidRPr="00150A2A" w:rsidRDefault="007B274E" w:rsidP="00150A2A">
      <w:pPr>
        <w:spacing w:line="240" w:lineRule="auto"/>
        <w:rPr>
          <w:sz w:val="20"/>
          <w:szCs w:val="20"/>
        </w:rPr>
      </w:pPr>
      <w:r w:rsidRPr="00150A2A">
        <w:rPr>
          <w:sz w:val="20"/>
          <w:szCs w:val="20"/>
        </w:rPr>
        <w:lastRenderedPageBreak/>
        <w:sym w:font="Symbol" w:char="F0B7"/>
      </w:r>
      <w:r w:rsidRPr="00150A2A">
        <w:rPr>
          <w:sz w:val="20"/>
          <w:szCs w:val="20"/>
        </w:rPr>
        <w:t xml:space="preserve"> You have read the Security and Confidentiality Policies and Procedures in its entirety,</w:t>
      </w:r>
      <w:r w:rsidR="007F2A53" w:rsidRPr="00150A2A">
        <w:rPr>
          <w:sz w:val="20"/>
          <w:szCs w:val="20"/>
        </w:rPr>
        <w:t xml:space="preserve"> You have read and understand these key requirements, and </w:t>
      </w:r>
    </w:p>
    <w:p w14:paraId="338B5A2F" w14:textId="77777777" w:rsidR="007F2A53" w:rsidRPr="00150A2A" w:rsidRDefault="007F2A53" w:rsidP="00150A2A">
      <w:pPr>
        <w:spacing w:line="240" w:lineRule="auto"/>
        <w:rPr>
          <w:sz w:val="20"/>
          <w:szCs w:val="20"/>
        </w:rPr>
      </w:pPr>
      <w:r w:rsidRPr="00150A2A">
        <w:rPr>
          <w:sz w:val="20"/>
          <w:szCs w:val="20"/>
        </w:rPr>
        <w:sym w:font="Symbol" w:char="F0B7"/>
      </w:r>
      <w:r w:rsidRPr="00150A2A">
        <w:rPr>
          <w:sz w:val="20"/>
          <w:szCs w:val="20"/>
        </w:rPr>
        <w:t xml:space="preserve"> You have discussed any content you do not understand with your supervisor. </w:t>
      </w:r>
    </w:p>
    <w:p w14:paraId="0889BFC9" w14:textId="77777777" w:rsidR="007F2A53" w:rsidRPr="00150A2A" w:rsidRDefault="007F2A53" w:rsidP="00150A2A">
      <w:pPr>
        <w:spacing w:line="240" w:lineRule="auto"/>
        <w:rPr>
          <w:sz w:val="20"/>
          <w:szCs w:val="20"/>
        </w:rPr>
      </w:pPr>
    </w:p>
    <w:p w14:paraId="3E40311C" w14:textId="77777777" w:rsidR="007F2A53" w:rsidRPr="00150A2A" w:rsidRDefault="007F2A53" w:rsidP="00150A2A">
      <w:pPr>
        <w:spacing w:line="240" w:lineRule="auto"/>
        <w:rPr>
          <w:sz w:val="20"/>
          <w:szCs w:val="20"/>
        </w:rPr>
      </w:pPr>
      <w:r w:rsidRPr="00150A2A">
        <w:rPr>
          <w:sz w:val="20"/>
          <w:szCs w:val="20"/>
        </w:rPr>
        <w:t>Name(print):__________________________</w:t>
      </w:r>
    </w:p>
    <w:p w14:paraId="313870BE" w14:textId="77777777" w:rsidR="007F2A53" w:rsidRPr="00150A2A" w:rsidRDefault="007F2A53" w:rsidP="00150A2A">
      <w:pPr>
        <w:spacing w:line="240" w:lineRule="auto"/>
        <w:rPr>
          <w:sz w:val="20"/>
          <w:szCs w:val="20"/>
        </w:rPr>
      </w:pPr>
    </w:p>
    <w:p w14:paraId="3B58BC62" w14:textId="03C0C497" w:rsidR="007F2A53" w:rsidRPr="00150A2A" w:rsidRDefault="007F2A53" w:rsidP="00150A2A">
      <w:pPr>
        <w:spacing w:line="240" w:lineRule="auto"/>
        <w:rPr>
          <w:sz w:val="20"/>
          <w:szCs w:val="20"/>
        </w:rPr>
      </w:pPr>
      <w:r w:rsidRPr="00150A2A">
        <w:rPr>
          <w:sz w:val="20"/>
          <w:szCs w:val="20"/>
        </w:rPr>
        <w:t>Signature:_________________________________</w:t>
      </w:r>
      <w:r w:rsidR="00B7292C">
        <w:rPr>
          <w:sz w:val="20"/>
          <w:szCs w:val="20"/>
        </w:rPr>
        <w:t>__________________</w:t>
      </w:r>
      <w:r w:rsidRPr="00150A2A">
        <w:rPr>
          <w:sz w:val="20"/>
          <w:szCs w:val="20"/>
        </w:rPr>
        <w:t xml:space="preserve"> Date:_____________ </w:t>
      </w:r>
    </w:p>
    <w:p w14:paraId="69E07465" w14:textId="5AC662E1" w:rsidR="007F2A53" w:rsidRPr="00150A2A" w:rsidRDefault="007F2A53" w:rsidP="00150A2A">
      <w:pPr>
        <w:spacing w:line="240" w:lineRule="auto"/>
        <w:rPr>
          <w:sz w:val="20"/>
          <w:szCs w:val="20"/>
        </w:rPr>
      </w:pPr>
    </w:p>
    <w:p w14:paraId="13441A2F" w14:textId="77777777" w:rsidR="00B7292C" w:rsidRDefault="007F2A53" w:rsidP="00150A2A">
      <w:pPr>
        <w:spacing w:line="240" w:lineRule="auto"/>
        <w:rPr>
          <w:sz w:val="20"/>
          <w:szCs w:val="20"/>
        </w:rPr>
      </w:pPr>
      <w:r w:rsidRPr="00150A2A">
        <w:rPr>
          <w:sz w:val="20"/>
          <w:szCs w:val="20"/>
        </w:rPr>
        <w:t xml:space="preserve">Supervisor’s Signature: ________________________________________ Date: ___________________ </w:t>
      </w:r>
    </w:p>
    <w:p w14:paraId="6A666BBD" w14:textId="77777777" w:rsidR="00B7292C" w:rsidRDefault="00B7292C" w:rsidP="00150A2A">
      <w:pPr>
        <w:spacing w:line="240" w:lineRule="auto"/>
        <w:rPr>
          <w:sz w:val="20"/>
          <w:szCs w:val="20"/>
        </w:rPr>
      </w:pPr>
    </w:p>
    <w:p w14:paraId="4F3C403B" w14:textId="77777777" w:rsidR="00B7292C" w:rsidRDefault="007F2A53" w:rsidP="00150A2A">
      <w:pPr>
        <w:spacing w:line="240" w:lineRule="auto"/>
        <w:rPr>
          <w:sz w:val="20"/>
          <w:szCs w:val="20"/>
        </w:rPr>
      </w:pPr>
      <w:r w:rsidRPr="00150A2A">
        <w:rPr>
          <w:sz w:val="20"/>
          <w:szCs w:val="20"/>
        </w:rPr>
        <w:t xml:space="preserve">If employed external to DDP, identify your employer or affiliation: </w:t>
      </w:r>
    </w:p>
    <w:p w14:paraId="186F86A0" w14:textId="35BAA787" w:rsidR="00150A2A" w:rsidRPr="00150A2A" w:rsidRDefault="007F2A53" w:rsidP="00150A2A">
      <w:pPr>
        <w:spacing w:line="240" w:lineRule="auto"/>
        <w:rPr>
          <w:sz w:val="20"/>
          <w:szCs w:val="20"/>
        </w:rPr>
      </w:pPr>
      <w:r w:rsidRPr="00150A2A">
        <w:rPr>
          <w:sz w:val="20"/>
          <w:szCs w:val="20"/>
        </w:rPr>
        <w:t>____________________</w:t>
      </w:r>
      <w:r w:rsidR="00150A2A" w:rsidRPr="00150A2A">
        <w:rPr>
          <w:sz w:val="20"/>
          <w:szCs w:val="20"/>
        </w:rPr>
        <w:t xml:space="preserve">______________________ </w:t>
      </w:r>
    </w:p>
    <w:p w14:paraId="6499D1A0" w14:textId="77777777" w:rsidR="00150A2A" w:rsidRPr="00150A2A" w:rsidRDefault="00150A2A" w:rsidP="00150A2A">
      <w:pPr>
        <w:spacing w:line="240" w:lineRule="auto"/>
        <w:rPr>
          <w:sz w:val="20"/>
          <w:szCs w:val="20"/>
        </w:rPr>
      </w:pPr>
    </w:p>
    <w:p w14:paraId="2DFFABEA" w14:textId="6D2CA3EE" w:rsidR="007B274E" w:rsidRPr="00150A2A" w:rsidRDefault="00150A2A" w:rsidP="00150A2A">
      <w:pPr>
        <w:spacing w:line="240" w:lineRule="auto"/>
        <w:rPr>
          <w:i/>
          <w:sz w:val="20"/>
          <w:szCs w:val="20"/>
        </w:rPr>
      </w:pPr>
      <w:r w:rsidRPr="00150A2A">
        <w:rPr>
          <w:i/>
          <w:sz w:val="20"/>
          <w:szCs w:val="20"/>
        </w:rPr>
        <w:t xml:space="preserve">This </w:t>
      </w:r>
      <w:r w:rsidR="007F2A53" w:rsidRPr="00150A2A">
        <w:rPr>
          <w:i/>
          <w:sz w:val="20"/>
          <w:szCs w:val="20"/>
        </w:rPr>
        <w:t>document summarizes key attributes of the Security and Confidentiality Policies and Procedures. It is not inclusive of all Security and Confidentiality Policies and Procedures requirements.</w:t>
      </w:r>
    </w:p>
    <w:sectPr w:rsidR="007B274E" w:rsidRPr="00150A2A">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F04E8" w14:textId="77777777" w:rsidR="00E11D82" w:rsidRDefault="00E11D82" w:rsidP="00AA48B9">
      <w:pPr>
        <w:spacing w:after="0" w:line="240" w:lineRule="auto"/>
      </w:pPr>
      <w:r>
        <w:separator/>
      </w:r>
    </w:p>
  </w:endnote>
  <w:endnote w:type="continuationSeparator" w:id="0">
    <w:p w14:paraId="7A3EB127" w14:textId="77777777" w:rsidR="00E11D82" w:rsidRDefault="00E11D82" w:rsidP="00AA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809125"/>
      <w:docPartObj>
        <w:docPartGallery w:val="Page Numbers (Bottom of Page)"/>
        <w:docPartUnique/>
      </w:docPartObj>
    </w:sdtPr>
    <w:sdtEndPr>
      <w:rPr>
        <w:noProof/>
      </w:rPr>
    </w:sdtEndPr>
    <w:sdtContent>
      <w:p w14:paraId="110971B6" w14:textId="7C4A3BCD" w:rsidR="00AA48B9" w:rsidRDefault="00AA48B9">
        <w:pPr>
          <w:pStyle w:val="Footer"/>
          <w:jc w:val="center"/>
        </w:pPr>
        <w:r>
          <w:fldChar w:fldCharType="begin"/>
        </w:r>
        <w:r>
          <w:instrText xml:space="preserve"> PAGE   \* MERGEFORMAT </w:instrText>
        </w:r>
        <w:r>
          <w:fldChar w:fldCharType="separate"/>
        </w:r>
        <w:r w:rsidR="004D06B4">
          <w:rPr>
            <w:noProof/>
          </w:rPr>
          <w:t>1</w:t>
        </w:r>
        <w:r>
          <w:rPr>
            <w:noProof/>
          </w:rPr>
          <w:fldChar w:fldCharType="end"/>
        </w:r>
      </w:p>
    </w:sdtContent>
  </w:sdt>
  <w:p w14:paraId="325C04CC" w14:textId="77777777" w:rsidR="00AA48B9" w:rsidRDefault="00AA4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DA0AB" w14:textId="77777777" w:rsidR="00E11D82" w:rsidRDefault="00E11D82" w:rsidP="00AA48B9">
      <w:pPr>
        <w:spacing w:after="0" w:line="240" w:lineRule="auto"/>
      </w:pPr>
      <w:r>
        <w:separator/>
      </w:r>
    </w:p>
  </w:footnote>
  <w:footnote w:type="continuationSeparator" w:id="0">
    <w:p w14:paraId="5DBE9F41" w14:textId="77777777" w:rsidR="00E11D82" w:rsidRDefault="00E11D82" w:rsidP="00AA4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AD618" w14:textId="3F37622A" w:rsidR="00DC2580" w:rsidRDefault="00DC2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C7A"/>
    <w:multiLevelType w:val="hybridMultilevel"/>
    <w:tmpl w:val="A1445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0A20"/>
    <w:multiLevelType w:val="hybridMultilevel"/>
    <w:tmpl w:val="150E155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835C61"/>
    <w:multiLevelType w:val="hybridMultilevel"/>
    <w:tmpl w:val="61522008"/>
    <w:lvl w:ilvl="0" w:tplc="B5C4C72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39C04AE"/>
    <w:multiLevelType w:val="hybridMultilevel"/>
    <w:tmpl w:val="65A4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55600"/>
    <w:multiLevelType w:val="hybridMultilevel"/>
    <w:tmpl w:val="247CF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A124C"/>
    <w:multiLevelType w:val="hybridMultilevel"/>
    <w:tmpl w:val="CCD21E72"/>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64154"/>
    <w:multiLevelType w:val="hybridMultilevel"/>
    <w:tmpl w:val="C70C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32708"/>
    <w:multiLevelType w:val="hybridMultilevel"/>
    <w:tmpl w:val="5C6CF2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332F6"/>
    <w:multiLevelType w:val="hybridMultilevel"/>
    <w:tmpl w:val="88A6D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B43D9"/>
    <w:multiLevelType w:val="hybridMultilevel"/>
    <w:tmpl w:val="212E3D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F138C"/>
    <w:multiLevelType w:val="hybridMultilevel"/>
    <w:tmpl w:val="0C2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300E7"/>
    <w:multiLevelType w:val="multilevel"/>
    <w:tmpl w:val="2F22B1C6"/>
    <w:lvl w:ilvl="0">
      <w:start w:val="1"/>
      <w:numFmt w:val="decimal"/>
      <w:lvlText w:val="%1."/>
      <w:lvlJc w:val="left"/>
      <w:pPr>
        <w:ind w:left="450" w:hanging="360"/>
      </w:pPr>
      <w:rPr>
        <w:rFonts w:asciiTheme="minorHAnsi" w:eastAsiaTheme="minorHAnsi" w:hAnsiTheme="minorHAnsi" w:cstheme="minorHAnsi"/>
      </w:rPr>
    </w:lvl>
    <w:lvl w:ilvl="1">
      <w:start w:val="1"/>
      <w:numFmt w:val="lowerLetter"/>
      <w:lvlText w:val="%2)"/>
      <w:lvlJc w:val="left"/>
      <w:pPr>
        <w:ind w:left="720" w:hanging="360"/>
      </w:pPr>
      <w:rPr>
        <w:rFonts w:hint="default"/>
      </w:rPr>
    </w:lvl>
    <w:lvl w:ilvl="2">
      <w:start w:val="1"/>
      <w:numFmt w:val="lowerRoman"/>
      <w:lvlText w:val="%3)"/>
      <w:lvlJc w:val="left"/>
      <w:pPr>
        <w:ind w:left="117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1B7EB5"/>
    <w:multiLevelType w:val="hybridMultilevel"/>
    <w:tmpl w:val="B95A5644"/>
    <w:lvl w:ilvl="0" w:tplc="57E8B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D061C"/>
    <w:multiLevelType w:val="hybridMultilevel"/>
    <w:tmpl w:val="4FE6B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642AB1"/>
    <w:multiLevelType w:val="hybridMultilevel"/>
    <w:tmpl w:val="93F0EF56"/>
    <w:lvl w:ilvl="0" w:tplc="2AC8A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62F5A"/>
    <w:multiLevelType w:val="hybridMultilevel"/>
    <w:tmpl w:val="AD9E2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23DD9"/>
    <w:multiLevelType w:val="hybridMultilevel"/>
    <w:tmpl w:val="EBF83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228DF"/>
    <w:multiLevelType w:val="hybridMultilevel"/>
    <w:tmpl w:val="A2EE2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E3E79"/>
    <w:multiLevelType w:val="hybridMultilevel"/>
    <w:tmpl w:val="75C8FF6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A49C3"/>
    <w:multiLevelType w:val="hybridMultilevel"/>
    <w:tmpl w:val="CAE68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B10258"/>
    <w:multiLevelType w:val="hybridMultilevel"/>
    <w:tmpl w:val="C41023F8"/>
    <w:lvl w:ilvl="0" w:tplc="0409000F">
      <w:start w:val="1"/>
      <w:numFmt w:val="decimal"/>
      <w:lvlText w:val="%1."/>
      <w:lvlJc w:val="left"/>
      <w:pPr>
        <w:ind w:left="720" w:hanging="360"/>
      </w:pPr>
    </w:lvl>
    <w:lvl w:ilvl="1" w:tplc="5682256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C0EF9"/>
    <w:multiLevelType w:val="hybridMultilevel"/>
    <w:tmpl w:val="5790BE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94FC0"/>
    <w:multiLevelType w:val="hybridMultilevel"/>
    <w:tmpl w:val="6CAA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946BF"/>
    <w:multiLevelType w:val="hybridMultilevel"/>
    <w:tmpl w:val="9932B55E"/>
    <w:lvl w:ilvl="0" w:tplc="61846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757D9"/>
    <w:multiLevelType w:val="hybridMultilevel"/>
    <w:tmpl w:val="CE0C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73F6D"/>
    <w:multiLevelType w:val="hybridMultilevel"/>
    <w:tmpl w:val="D068C9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21B12"/>
    <w:multiLevelType w:val="hybridMultilevel"/>
    <w:tmpl w:val="5790BE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D6E48"/>
    <w:multiLevelType w:val="multilevel"/>
    <w:tmpl w:val="2F22B1C6"/>
    <w:lvl w:ilvl="0">
      <w:start w:val="1"/>
      <w:numFmt w:val="decimal"/>
      <w:lvlText w:val="%1."/>
      <w:lvlJc w:val="left"/>
      <w:pPr>
        <w:ind w:left="450" w:hanging="360"/>
      </w:pPr>
      <w:rPr>
        <w:rFonts w:asciiTheme="minorHAnsi" w:eastAsiaTheme="minorHAnsi" w:hAnsiTheme="minorHAnsi" w:cstheme="minorHAnsi"/>
      </w:rPr>
    </w:lvl>
    <w:lvl w:ilvl="1">
      <w:start w:val="1"/>
      <w:numFmt w:val="lowerLetter"/>
      <w:lvlText w:val="%2)"/>
      <w:lvlJc w:val="left"/>
      <w:pPr>
        <w:ind w:left="720" w:hanging="360"/>
      </w:pPr>
      <w:rPr>
        <w:rFonts w:hint="default"/>
      </w:rPr>
    </w:lvl>
    <w:lvl w:ilvl="2">
      <w:start w:val="1"/>
      <w:numFmt w:val="lowerRoman"/>
      <w:lvlText w:val="%3)"/>
      <w:lvlJc w:val="left"/>
      <w:pPr>
        <w:ind w:left="117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350FF5"/>
    <w:multiLevelType w:val="hybridMultilevel"/>
    <w:tmpl w:val="9DE2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82365"/>
    <w:multiLevelType w:val="hybridMultilevel"/>
    <w:tmpl w:val="B1AA4776"/>
    <w:lvl w:ilvl="0" w:tplc="618467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29"/>
  </w:num>
  <w:num w:numId="4">
    <w:abstractNumId w:val="19"/>
  </w:num>
  <w:num w:numId="5">
    <w:abstractNumId w:val="5"/>
  </w:num>
  <w:num w:numId="6">
    <w:abstractNumId w:val="1"/>
  </w:num>
  <w:num w:numId="7">
    <w:abstractNumId w:val="13"/>
  </w:num>
  <w:num w:numId="8">
    <w:abstractNumId w:val="25"/>
  </w:num>
  <w:num w:numId="9">
    <w:abstractNumId w:val="10"/>
  </w:num>
  <w:num w:numId="10">
    <w:abstractNumId w:val="11"/>
  </w:num>
  <w:num w:numId="11">
    <w:abstractNumId w:val="2"/>
  </w:num>
  <w:num w:numId="12">
    <w:abstractNumId w:val="24"/>
  </w:num>
  <w:num w:numId="13">
    <w:abstractNumId w:val="7"/>
  </w:num>
  <w:num w:numId="14">
    <w:abstractNumId w:val="17"/>
  </w:num>
  <w:num w:numId="15">
    <w:abstractNumId w:val="6"/>
  </w:num>
  <w:num w:numId="16">
    <w:abstractNumId w:val="28"/>
  </w:num>
  <w:num w:numId="17">
    <w:abstractNumId w:val="3"/>
  </w:num>
  <w:num w:numId="18">
    <w:abstractNumId w:val="12"/>
  </w:num>
  <w:num w:numId="19">
    <w:abstractNumId w:val="23"/>
  </w:num>
  <w:num w:numId="20">
    <w:abstractNumId w:val="15"/>
  </w:num>
  <w:num w:numId="21">
    <w:abstractNumId w:val="0"/>
  </w:num>
  <w:num w:numId="22">
    <w:abstractNumId w:val="27"/>
  </w:num>
  <w:num w:numId="23">
    <w:abstractNumId w:val="16"/>
  </w:num>
  <w:num w:numId="24">
    <w:abstractNumId w:val="20"/>
  </w:num>
  <w:num w:numId="25">
    <w:abstractNumId w:val="4"/>
  </w:num>
  <w:num w:numId="26">
    <w:abstractNumId w:val="18"/>
  </w:num>
  <w:num w:numId="27">
    <w:abstractNumId w:val="22"/>
  </w:num>
  <w:num w:numId="28">
    <w:abstractNumId w:val="26"/>
  </w:num>
  <w:num w:numId="29">
    <w:abstractNumId w:val="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64"/>
    <w:rsid w:val="0000384C"/>
    <w:rsid w:val="000159A5"/>
    <w:rsid w:val="000606B5"/>
    <w:rsid w:val="00063D8F"/>
    <w:rsid w:val="000867B0"/>
    <w:rsid w:val="00090B0C"/>
    <w:rsid w:val="00095B0B"/>
    <w:rsid w:val="000C49B0"/>
    <w:rsid w:val="000D177A"/>
    <w:rsid w:val="00105F27"/>
    <w:rsid w:val="00110DEC"/>
    <w:rsid w:val="0011230D"/>
    <w:rsid w:val="00123B07"/>
    <w:rsid w:val="00133F81"/>
    <w:rsid w:val="001468C4"/>
    <w:rsid w:val="00150A2A"/>
    <w:rsid w:val="00154905"/>
    <w:rsid w:val="00154F91"/>
    <w:rsid w:val="00185C32"/>
    <w:rsid w:val="00196325"/>
    <w:rsid w:val="001A665D"/>
    <w:rsid w:val="001B59C0"/>
    <w:rsid w:val="001D7988"/>
    <w:rsid w:val="001F6CB6"/>
    <w:rsid w:val="00207E13"/>
    <w:rsid w:val="00225E6D"/>
    <w:rsid w:val="00236AA1"/>
    <w:rsid w:val="00277999"/>
    <w:rsid w:val="002A3858"/>
    <w:rsid w:val="002C4B11"/>
    <w:rsid w:val="002D04FA"/>
    <w:rsid w:val="002F2954"/>
    <w:rsid w:val="002F4CCD"/>
    <w:rsid w:val="003009E6"/>
    <w:rsid w:val="00301D4F"/>
    <w:rsid w:val="00312D53"/>
    <w:rsid w:val="0031421E"/>
    <w:rsid w:val="00315ED6"/>
    <w:rsid w:val="003268E8"/>
    <w:rsid w:val="00334111"/>
    <w:rsid w:val="00334E49"/>
    <w:rsid w:val="00361D4F"/>
    <w:rsid w:val="00362560"/>
    <w:rsid w:val="00366907"/>
    <w:rsid w:val="00390C22"/>
    <w:rsid w:val="00395726"/>
    <w:rsid w:val="003C152E"/>
    <w:rsid w:val="00436447"/>
    <w:rsid w:val="0045054D"/>
    <w:rsid w:val="00463ADE"/>
    <w:rsid w:val="00463CAC"/>
    <w:rsid w:val="00487A1A"/>
    <w:rsid w:val="004A7E6D"/>
    <w:rsid w:val="004C34E0"/>
    <w:rsid w:val="004D06B4"/>
    <w:rsid w:val="004F0634"/>
    <w:rsid w:val="004F413B"/>
    <w:rsid w:val="004F51B5"/>
    <w:rsid w:val="004F7BE1"/>
    <w:rsid w:val="0050143C"/>
    <w:rsid w:val="0052796C"/>
    <w:rsid w:val="00532EE7"/>
    <w:rsid w:val="00533E34"/>
    <w:rsid w:val="00574FAA"/>
    <w:rsid w:val="005A7024"/>
    <w:rsid w:val="005D392E"/>
    <w:rsid w:val="005F2E73"/>
    <w:rsid w:val="005F5F22"/>
    <w:rsid w:val="00601813"/>
    <w:rsid w:val="00603B99"/>
    <w:rsid w:val="0060778F"/>
    <w:rsid w:val="00612E45"/>
    <w:rsid w:val="00627FF6"/>
    <w:rsid w:val="00662B3F"/>
    <w:rsid w:val="006677F0"/>
    <w:rsid w:val="00673A36"/>
    <w:rsid w:val="00686773"/>
    <w:rsid w:val="006C0832"/>
    <w:rsid w:val="006C5CB9"/>
    <w:rsid w:val="00706147"/>
    <w:rsid w:val="00706971"/>
    <w:rsid w:val="007165CA"/>
    <w:rsid w:val="0073055D"/>
    <w:rsid w:val="0075134B"/>
    <w:rsid w:val="0076597F"/>
    <w:rsid w:val="00771E23"/>
    <w:rsid w:val="00790162"/>
    <w:rsid w:val="007B15E8"/>
    <w:rsid w:val="007B274E"/>
    <w:rsid w:val="007E2725"/>
    <w:rsid w:val="007E61B2"/>
    <w:rsid w:val="007F26F0"/>
    <w:rsid w:val="007F2A53"/>
    <w:rsid w:val="008336A5"/>
    <w:rsid w:val="00850C7A"/>
    <w:rsid w:val="008769E3"/>
    <w:rsid w:val="008A0994"/>
    <w:rsid w:val="008D206A"/>
    <w:rsid w:val="008D7E8F"/>
    <w:rsid w:val="008E0DB4"/>
    <w:rsid w:val="008F1378"/>
    <w:rsid w:val="00910AAC"/>
    <w:rsid w:val="00923496"/>
    <w:rsid w:val="00942C43"/>
    <w:rsid w:val="00986058"/>
    <w:rsid w:val="009C733F"/>
    <w:rsid w:val="009D1245"/>
    <w:rsid w:val="009E36E1"/>
    <w:rsid w:val="009E4CE3"/>
    <w:rsid w:val="00A36F54"/>
    <w:rsid w:val="00AA282B"/>
    <w:rsid w:val="00AA48B9"/>
    <w:rsid w:val="00AB52E2"/>
    <w:rsid w:val="00AB69C9"/>
    <w:rsid w:val="00AB7248"/>
    <w:rsid w:val="00AC4D54"/>
    <w:rsid w:val="00AF1FF9"/>
    <w:rsid w:val="00B045B5"/>
    <w:rsid w:val="00B134B1"/>
    <w:rsid w:val="00B20201"/>
    <w:rsid w:val="00B46873"/>
    <w:rsid w:val="00B625E0"/>
    <w:rsid w:val="00B62620"/>
    <w:rsid w:val="00B65B8C"/>
    <w:rsid w:val="00B7292C"/>
    <w:rsid w:val="00B77AE2"/>
    <w:rsid w:val="00B80E51"/>
    <w:rsid w:val="00B8708A"/>
    <w:rsid w:val="00B90198"/>
    <w:rsid w:val="00BB2082"/>
    <w:rsid w:val="00BB5869"/>
    <w:rsid w:val="00BC5FF6"/>
    <w:rsid w:val="00C61D72"/>
    <w:rsid w:val="00C85501"/>
    <w:rsid w:val="00CA1E09"/>
    <w:rsid w:val="00CC5364"/>
    <w:rsid w:val="00CC5540"/>
    <w:rsid w:val="00CD7AA1"/>
    <w:rsid w:val="00D201BF"/>
    <w:rsid w:val="00D34749"/>
    <w:rsid w:val="00D62EF6"/>
    <w:rsid w:val="00DB31B0"/>
    <w:rsid w:val="00DC2580"/>
    <w:rsid w:val="00DF6138"/>
    <w:rsid w:val="00E11D82"/>
    <w:rsid w:val="00E679D3"/>
    <w:rsid w:val="00E93E5E"/>
    <w:rsid w:val="00E97F2D"/>
    <w:rsid w:val="00EA031E"/>
    <w:rsid w:val="00EB4A02"/>
    <w:rsid w:val="00EB6986"/>
    <w:rsid w:val="00EC657D"/>
    <w:rsid w:val="00F4005B"/>
    <w:rsid w:val="00F562F8"/>
    <w:rsid w:val="00F80DD3"/>
    <w:rsid w:val="00F94FE8"/>
    <w:rsid w:val="00FA369F"/>
    <w:rsid w:val="00FB1B1E"/>
    <w:rsid w:val="00FB1EDC"/>
    <w:rsid w:val="00FC24FC"/>
    <w:rsid w:val="00FD31CA"/>
    <w:rsid w:val="00FD33D2"/>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8A7F1"/>
  <w15:chartTrackingRefBased/>
  <w15:docId w15:val="{1D0FC0B5-8176-4BD6-A9EA-703308E6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3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364"/>
    <w:pPr>
      <w:ind w:left="720"/>
      <w:contextualSpacing/>
    </w:pPr>
  </w:style>
  <w:style w:type="character" w:styleId="Hyperlink">
    <w:name w:val="Hyperlink"/>
    <w:basedOn w:val="DefaultParagraphFont"/>
    <w:uiPriority w:val="99"/>
    <w:unhideWhenUsed/>
    <w:rsid w:val="00CC5364"/>
    <w:rPr>
      <w:color w:val="0563C1" w:themeColor="hyperlink"/>
      <w:u w:val="single"/>
    </w:rPr>
  </w:style>
  <w:style w:type="table" w:styleId="TableGrid">
    <w:name w:val="Table Grid"/>
    <w:basedOn w:val="TableNormal"/>
    <w:uiPriority w:val="39"/>
    <w:rsid w:val="0061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4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B9"/>
  </w:style>
  <w:style w:type="paragraph" w:styleId="Footer">
    <w:name w:val="footer"/>
    <w:basedOn w:val="Normal"/>
    <w:link w:val="FooterChar"/>
    <w:uiPriority w:val="99"/>
    <w:unhideWhenUsed/>
    <w:rsid w:val="00AA4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B9"/>
  </w:style>
  <w:style w:type="character" w:styleId="FollowedHyperlink">
    <w:name w:val="FollowedHyperlink"/>
    <w:basedOn w:val="DefaultParagraphFont"/>
    <w:uiPriority w:val="99"/>
    <w:semiHidden/>
    <w:unhideWhenUsed/>
    <w:rsid w:val="00706971"/>
    <w:rPr>
      <w:color w:val="954F72" w:themeColor="followedHyperlink"/>
      <w:u w:val="single"/>
    </w:rPr>
  </w:style>
  <w:style w:type="character" w:styleId="CommentReference">
    <w:name w:val="annotation reference"/>
    <w:basedOn w:val="DefaultParagraphFont"/>
    <w:uiPriority w:val="99"/>
    <w:semiHidden/>
    <w:unhideWhenUsed/>
    <w:rsid w:val="00706971"/>
    <w:rPr>
      <w:sz w:val="16"/>
      <w:szCs w:val="16"/>
    </w:rPr>
  </w:style>
  <w:style w:type="paragraph" w:styleId="CommentText">
    <w:name w:val="annotation text"/>
    <w:basedOn w:val="Normal"/>
    <w:link w:val="CommentTextChar"/>
    <w:uiPriority w:val="99"/>
    <w:semiHidden/>
    <w:unhideWhenUsed/>
    <w:rsid w:val="00706971"/>
    <w:pPr>
      <w:spacing w:line="240" w:lineRule="auto"/>
    </w:pPr>
    <w:rPr>
      <w:sz w:val="20"/>
      <w:szCs w:val="20"/>
    </w:rPr>
  </w:style>
  <w:style w:type="character" w:customStyle="1" w:styleId="CommentTextChar">
    <w:name w:val="Comment Text Char"/>
    <w:basedOn w:val="DefaultParagraphFont"/>
    <w:link w:val="CommentText"/>
    <w:uiPriority w:val="99"/>
    <w:semiHidden/>
    <w:rsid w:val="00706971"/>
    <w:rPr>
      <w:sz w:val="20"/>
      <w:szCs w:val="20"/>
    </w:rPr>
  </w:style>
  <w:style w:type="paragraph" w:styleId="CommentSubject">
    <w:name w:val="annotation subject"/>
    <w:basedOn w:val="CommentText"/>
    <w:next w:val="CommentText"/>
    <w:link w:val="CommentSubjectChar"/>
    <w:uiPriority w:val="99"/>
    <w:semiHidden/>
    <w:unhideWhenUsed/>
    <w:rsid w:val="00706971"/>
    <w:rPr>
      <w:b/>
      <w:bCs/>
    </w:rPr>
  </w:style>
  <w:style w:type="character" w:customStyle="1" w:styleId="CommentSubjectChar">
    <w:name w:val="Comment Subject Char"/>
    <w:basedOn w:val="CommentTextChar"/>
    <w:link w:val="CommentSubject"/>
    <w:uiPriority w:val="99"/>
    <w:semiHidden/>
    <w:rsid w:val="00706971"/>
    <w:rPr>
      <w:b/>
      <w:bCs/>
      <w:sz w:val="20"/>
      <w:szCs w:val="20"/>
    </w:rPr>
  </w:style>
  <w:style w:type="paragraph" w:styleId="BalloonText">
    <w:name w:val="Balloon Text"/>
    <w:basedOn w:val="Normal"/>
    <w:link w:val="BalloonTextChar"/>
    <w:uiPriority w:val="99"/>
    <w:semiHidden/>
    <w:unhideWhenUsed/>
    <w:rsid w:val="00706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971"/>
    <w:rPr>
      <w:rFonts w:ascii="Segoe UI" w:hAnsi="Segoe UI" w:cs="Segoe UI"/>
      <w:sz w:val="18"/>
      <w:szCs w:val="18"/>
    </w:rPr>
  </w:style>
  <w:style w:type="character" w:styleId="Strong">
    <w:name w:val="Strong"/>
    <w:basedOn w:val="DefaultParagraphFont"/>
    <w:uiPriority w:val="22"/>
    <w:qFormat/>
    <w:rsid w:val="008D206A"/>
    <w:rPr>
      <w:b/>
      <w:bCs/>
    </w:rPr>
  </w:style>
  <w:style w:type="table" w:customStyle="1" w:styleId="TableGrid0">
    <w:name w:val="TableGrid"/>
    <w:rsid w:val="0000384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title32.1/chapter2/section32.1-45.4/" TargetMode="External"/><Relationship Id="rId13" Type="http://schemas.openxmlformats.org/officeDocument/2006/relationships/hyperlink" Target="https://www.cdc.gov/hai/settings/outpatient/outpatient-settings.html" TargetMode="External"/><Relationship Id="rId18" Type="http://schemas.openxmlformats.org/officeDocument/2006/relationships/hyperlink" Target="mailto:Elizabeth.Marschak@vdh.virginia.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sha.gov/SLTC/bloodbornepathogens/otherresources.html" TargetMode="External"/><Relationship Id="rId17" Type="http://schemas.openxmlformats.org/officeDocument/2006/relationships/hyperlink" Target="https://www.vdh.virginia.gov/disease-prevention/resources/" TargetMode="External"/><Relationship Id="rId2" Type="http://schemas.openxmlformats.org/officeDocument/2006/relationships/numbering" Target="numbering.xml"/><Relationship Id="rId16" Type="http://schemas.openxmlformats.org/officeDocument/2006/relationships/hyperlink" Target="http://www.vdh.virginia.gov/content/uploads/sites/10/2017/05/Final-DDP-Security-and-Confidentiality-Policies-and-Procedures-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harcc.com/trainingcalendar.html" TargetMode="External"/><Relationship Id="rId5" Type="http://schemas.openxmlformats.org/officeDocument/2006/relationships/webSettings" Target="webSettings.xml"/><Relationship Id="rId15" Type="http://schemas.openxmlformats.org/officeDocument/2006/relationships/hyperlink" Target="http://www.vdh.virginia.gov/content/uploads/sites/10/2017/05/Verification-of-Receipt-and-Assurance-of-Key-Requirements-for-Non-DDP-Personnel.pdf" TargetMode="External"/><Relationship Id="rId23" Type="http://schemas.openxmlformats.org/officeDocument/2006/relationships/theme" Target="theme/theme1.xml"/><Relationship Id="rId10" Type="http://schemas.openxmlformats.org/officeDocument/2006/relationships/hyperlink" Target="https://www.eva.virginia.gov/index.html" TargetMode="External"/><Relationship Id="rId19" Type="http://schemas.openxmlformats.org/officeDocument/2006/relationships/hyperlink" Target="http://www.vdh.virginia.gov/diease-prevention/CHR" TargetMode="External"/><Relationship Id="rId4" Type="http://schemas.openxmlformats.org/officeDocument/2006/relationships/settings" Target="settings.xml"/><Relationship Id="rId9" Type="http://schemas.openxmlformats.org/officeDocument/2006/relationships/hyperlink" Target="http://www.bos.virginia.gov/starting.shtml%20" TargetMode="External"/><Relationship Id="rId14" Type="http://schemas.openxmlformats.org/officeDocument/2006/relationships/hyperlink" Target="https://stacks.cdc.gov/view/cdc/2071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B75F8-C68D-43E2-82DC-9D4C71AF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4005</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Bruce (VDH)</dc:creator>
  <cp:keywords/>
  <dc:description/>
  <cp:lastModifiedBy>Taylor, Bruce (VDH)</cp:lastModifiedBy>
  <cp:revision>2</cp:revision>
  <dcterms:created xsi:type="dcterms:W3CDTF">2020-07-13T14:17:00Z</dcterms:created>
  <dcterms:modified xsi:type="dcterms:W3CDTF">2020-07-13T14:17:00Z</dcterms:modified>
</cp:coreProperties>
</file>