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36" w:rsidRDefault="00B90E2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IRON AND MANGANESE CONTROL </w:t>
      </w:r>
      <w:r w:rsidR="00A856DB">
        <w:rPr>
          <w:rFonts w:ascii="Arial" w:eastAsia="Arial" w:hAnsi="Arial" w:cs="Arial"/>
          <w:b/>
          <w:sz w:val="22"/>
          <w:szCs w:val="22"/>
        </w:rPr>
        <w:t>CHECKLIST</w:t>
      </w:r>
    </w:p>
    <w:p w:rsidR="00631636" w:rsidRDefault="00631636">
      <w:pPr>
        <w:ind w:right="-720"/>
        <w:jc w:val="both"/>
        <w:rPr>
          <w:rFonts w:ascii="Arial" w:eastAsia="Arial" w:hAnsi="Arial" w:cs="Arial"/>
          <w:b/>
          <w:sz w:val="20"/>
          <w:szCs w:val="20"/>
        </w:rPr>
      </w:pPr>
    </w:p>
    <w:p w:rsidR="00631636" w:rsidRDefault="00631636">
      <w:pPr>
        <w:ind w:right="-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4657"/>
        <w:gridCol w:w="1553"/>
        <w:gridCol w:w="1710"/>
      </w:tblGrid>
      <w:tr w:rsidR="00631636">
        <w:tc>
          <w:tcPr>
            <w:tcW w:w="2538" w:type="dxa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7920" w:type="dxa"/>
            <w:gridSpan w:val="3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631636">
        <w:tc>
          <w:tcPr>
            <w:tcW w:w="2538" w:type="dxa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Reviewed By:</w:t>
            </w:r>
          </w:p>
        </w:tc>
        <w:tc>
          <w:tcPr>
            <w:tcW w:w="4657" w:type="dxa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553" w:type="dxa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710" w:type="dxa"/>
          </w:tcPr>
          <w:p w:rsidR="00631636" w:rsidRDefault="00B90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631636" w:rsidRDefault="00B90E22">
      <w:pPr>
        <w:ind w:right="-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Describe proposed treatment:</w:t>
      </w:r>
    </w:p>
    <w:p w:rsidR="00631636" w:rsidRDefault="00631636">
      <w:pPr>
        <w:ind w:right="-720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</w:p>
    <w:p w:rsidR="00631636" w:rsidRDefault="00631636">
      <w:pPr>
        <w:ind w:right="-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0"/>
        <w:gridCol w:w="2634"/>
      </w:tblGrid>
      <w:tr w:rsidR="00631636">
        <w:tc>
          <w:tcPr>
            <w:tcW w:w="10214" w:type="dxa"/>
            <w:gridSpan w:val="2"/>
            <w:shd w:val="clear" w:color="auto" w:fill="E0E0E0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General (12 VAC 5-590-920 A, E, F, and G)   </w:t>
            </w:r>
          </w:p>
        </w:tc>
      </w:tr>
      <w:tr w:rsidR="00631636">
        <w:tc>
          <w:tcPr>
            <w:tcW w:w="7580" w:type="dxa"/>
            <w:tcBorders>
              <w:bottom w:val="single" w:sz="4" w:space="0" w:color="000000"/>
            </w:tcBorders>
          </w:tcPr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Pilot study completed and approved by ODW if required by ODW?</w:t>
            </w:r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Date of approval:   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584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895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0269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31636">
        <w:tc>
          <w:tcPr>
            <w:tcW w:w="7580" w:type="dxa"/>
            <w:tcBorders>
              <w:bottom w:val="single" w:sz="4" w:space="0" w:color="000000"/>
            </w:tcBorders>
          </w:tcPr>
          <w:p w:rsidR="000A706B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Sampling taps provided for control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purposes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Taps located on each source water, each treatment unit influent, and each treatment unit effluent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C30CC1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195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905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574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50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  <w:tcBorders>
              <w:bottom w:val="single" w:sz="4" w:space="0" w:color="000000"/>
            </w:tcBorders>
          </w:tcPr>
          <w:p w:rsidR="000A706B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Iron and manganese testing equipment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provided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A706B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Iron testing equipment capable of accurately measuring iron concentration as low as 0.1 mg/L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Manganese testing equipment capable of accurately measuring manganese concentration as low as 0.05 mg/L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C30CC1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251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38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A1A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A706B" w:rsidRPr="005E76D1" w:rsidRDefault="00C30CC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182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30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2"/>
                <w:id w:val="36628480"/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sdtContent>
            </w:sdt>
          </w:p>
          <w:p w:rsidR="000A706B" w:rsidRPr="00FA1A2A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4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152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  <w:tcBorders>
              <w:bottom w:val="single" w:sz="4" w:space="0" w:color="000000"/>
            </w:tcBorders>
          </w:tcPr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department may approve proprietary treatment processes for the removal of iron and manganese on an individual basis. Operational data from actual full-scale facilities treating waters of similar quality or pilot tests may be required. The provisions of 12VAC5-590-290 may apply.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92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66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98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31636">
        <w:tc>
          <w:tcPr>
            <w:tcW w:w="10214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631636" w:rsidRDefault="00B90E22" w:rsidP="00FA45D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Aeration (12 VAC 5-590-910)                                                                                                       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858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5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bookmarkStart w:id="3" w:name="_GoBack"/>
            <w:bookmarkEnd w:id="3"/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aerated water chlorinated following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aeration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5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88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0A706B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equipment incorporate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materials resistant to deterioration 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corrosion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0A706B" w:rsidRDefault="000A706B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Designed </w:t>
            </w:r>
            <w:r w:rsidR="00B90E22">
              <w:rPr>
                <w:rFonts w:ascii="Arial" w:eastAsia="Arial" w:hAnsi="Arial" w:cs="Arial"/>
                <w:sz w:val="22"/>
                <w:szCs w:val="22"/>
              </w:rPr>
              <w:t>to eliminate the potential for fouling problems from calcium carbonate and iron precipitation and from algae, slime, and bacteriological growth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Disinfection capability provided before the aeration treatment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units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0A706B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98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52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A1A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30CC1" w:rsidRPr="00FA1A2A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A706B" w:rsidRPr="00FA1A2A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180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05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2"/>
                <w:id w:val="2081716629"/>
              </w:sdtPr>
              <w:sdtEndPr>
                <w:rPr>
                  <w:sz w:val="24"/>
                  <w:szCs w:val="24"/>
                </w:rPr>
              </w:sdtEndPr>
              <w:sdtContent/>
            </w:sdt>
          </w:p>
          <w:p w:rsidR="000A706B" w:rsidRPr="00C30CC1" w:rsidRDefault="000A706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0A706B" w:rsidRPr="000A706B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97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859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equipment easily accessed and serviced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322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17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0A706B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air introduced into the treatment units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 xml:space="preserve"> 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filtered and free of insects, obnoxious fumes, dust, dirt, and other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contaminants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If blowers are located inside a building, then the air intakes extend to the outside and furnished with appropriate air filters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0A706B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896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13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30CC1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78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08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Air exhaust outlets 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located to avoid induced contaminants, particularly at or near occupied areas or blower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intakes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580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030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6316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Duplicate blowers, motors, or multiple treatment units 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provided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for treatment processes designed to meet the drinking water quality standards in 12VAC5-590-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340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19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39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Natural, forced, or induced draft aeration units provide an adequate liquid distribution and countercurrent of air through the enclosed aeration column, and adequately seal the water outlet to prevent unwanted loss of air.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113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583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0A706B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Pressure aeration means the injection of compressed air into the water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treated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, typically for oxidation. Pressure aeration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shall not be approved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removal of dissolved gases. </w:t>
            </w:r>
          </w:p>
          <w:p w:rsidR="000A706B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Filters following pressure aeration have adequate exhaust devices for the release of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air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Pressure aeration devices provide thorough mixing of compressed air with the water being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treated</w:t>
            </w:r>
            <w:r w:rsidR="000A706B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0A706B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A706B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A706B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86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221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653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0A706B" w:rsidRDefault="000A706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A706B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8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11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00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A706B" w:rsidRDefault="000A706B">
      <w:r>
        <w:br w:type="page"/>
      </w: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0"/>
        <w:gridCol w:w="2634"/>
      </w:tblGrid>
      <w:tr w:rsidR="00631636">
        <w:tc>
          <w:tcPr>
            <w:tcW w:w="7580" w:type="dxa"/>
          </w:tcPr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Packed tower aeration for removing VOCs, THMs, carbon dioxide, and radon:</w:t>
            </w:r>
          </w:p>
          <w:p w:rsidR="000A706B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Justification </w:t>
            </w:r>
            <w:r w:rsidR="000A706B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provided for the selected design parameters (e.g., height and diameter of the unit, air-to-water ratio, packing depth, surface loading rate, and other features)</w:t>
            </w:r>
            <w:proofErr w:type="gramStart"/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design consider</w:t>
            </w:r>
            <w:r w:rsidR="000A706B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effects of temperature change and the resulting impact in contaminant removal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efficiency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Pilot plant studies may be required to substantiate the design.</w:t>
            </w:r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packing material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resistant to the aggressiveness of the water, dissolved gases, and cleaning materials, and meet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requirements of 12VAC5-590-810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Water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evenly distributed at the top of the tower using spray nozzles or orifice-type distributor trays that will prevent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short circuiting</w:t>
            </w:r>
            <w:proofErr w:type="gramEnd"/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?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mist eliminator above the water distribution system may be required.</w:t>
            </w:r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means to allow for discharge and wasting of water or chemicals used to clean the tower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provided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Sample taps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shall be provided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 the influent and effluent piping.</w:t>
            </w:r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design prevent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freezing of the influent riser and effluent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piping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 overflow pipe discharging 12 to 24 inches above the ground and over a drainage inlet structure or splash pad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provided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sufficient number of access ports with a minimum diameter of 24 inches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provided to facilitate inspection, media replacement, media cleaning, and maintenance of the unit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interior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050424" w:rsidRDefault="00B90E22" w:rsidP="00FA1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positive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air flow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sensing device and a pressure gauge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installed on the air influent line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631636" w:rsidRDefault="00B90E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If the aeration unit is designed to remove a contaminant with a PMCL, then the positive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air flow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sensing device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 integral part of an automatic control system that will turn off the influent water if positive air flow is not detected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Pr="005E76D1" w:rsidRDefault="00631636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0A706B" w:rsidRPr="005E76D1" w:rsidRDefault="000A706B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631636" w:rsidRPr="005E76D1" w:rsidRDefault="00C30CC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657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41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5E76D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</w:p>
          <w:p w:rsidR="00631636" w:rsidRPr="005E76D1" w:rsidRDefault="00631636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631636" w:rsidRPr="005E76D1" w:rsidRDefault="00631636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0A706B" w:rsidRPr="005E76D1" w:rsidRDefault="00C30CC1" w:rsidP="000A706B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94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68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706B" w:rsidRPr="005E76D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</w:p>
          <w:p w:rsidR="00631636" w:rsidRPr="005E76D1" w:rsidRDefault="00631636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631636" w:rsidRPr="00C30CC1" w:rsidRDefault="00631636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40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752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76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11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422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32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C30CC1" w:rsidRDefault="006316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958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17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611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43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1636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450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971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504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C30CC1" w:rsidRPr="00050424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16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16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0E22" w:rsidRPr="00FA1A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1636" w:rsidRPr="00050424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FA1A2A" w:rsidRDefault="00C30C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574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32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Pr="00C30CC1" w:rsidRDefault="006316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50424" w:rsidRPr="005E76D1" w:rsidRDefault="00C30CC1" w:rsidP="00050424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91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32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Pr="00FA1A2A" w:rsidRDefault="006316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31636" w:rsidRPr="005E76D1" w:rsidRDefault="00631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636">
        <w:tc>
          <w:tcPr>
            <w:tcW w:w="7580" w:type="dxa"/>
            <w:tcBorders>
              <w:bottom w:val="single" w:sz="4" w:space="0" w:color="000000"/>
            </w:tcBorders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Other methods of aeration 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designed to meet the particular needs of the water to be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treated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  <w:r w:rsidR="00050424">
              <w:rPr>
                <w:rFonts w:ascii="Arial" w:eastAsia="Arial" w:hAnsi="Arial" w:cs="Arial"/>
                <w:sz w:val="22"/>
                <w:szCs w:val="22"/>
              </w:rPr>
              <w:t xml:space="preserve"> These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are subject to the approval of the department.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16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89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7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Default="006316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1636">
        <w:tc>
          <w:tcPr>
            <w:tcW w:w="10214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631636" w:rsidRDefault="00B90E22" w:rsidP="00C30CC1">
            <w:pPr>
              <w:ind w:right="7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Chemical Oxidation (12 VAC 5-590-920 B)                                              </w:t>
            </w:r>
            <w:r w:rsidR="00C30CC1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N/A </w:t>
            </w:r>
            <w:sdt>
              <w:sdtPr>
                <w:tag w:val="goog_rdk_8"/>
                <w:id w:val="-65861685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061089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45D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2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Oxidation by aeration or by chemicals, such as chlorine, potassium permanganate, sodium permanganate, or a combination thereof.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711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858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Consider:</w:t>
            </w:r>
          </w:p>
          <w:p w:rsidR="00631636" w:rsidRDefault="00B90E22">
            <w:pPr>
              <w:numPr>
                <w:ilvl w:val="0"/>
                <w:numId w:val="3"/>
              </w:num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 adjustment to promote rapid oxidation</w:t>
            </w:r>
          </w:p>
          <w:p w:rsidR="00631636" w:rsidRDefault="00B90E22">
            <w:pPr>
              <w:numPr>
                <w:ilvl w:val="0"/>
                <w:numId w:val="3"/>
              </w:numPr>
              <w:ind w:right="13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pre-settling tank located ahead of the filters to remove oxidized iron and increase filter run times;</w:t>
            </w:r>
          </w:p>
        </w:tc>
        <w:tc>
          <w:tcPr>
            <w:tcW w:w="2634" w:type="dxa"/>
          </w:tcPr>
          <w:p w:rsidR="00631636" w:rsidRDefault="006316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6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207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25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44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87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6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Default="006316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Dry or liquid chemical feed checklist provided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8369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558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050424" w:rsidRDefault="00B90E22" w:rsidP="00FA1A2A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Flow proportional chemical feeders </w:t>
            </w:r>
            <w:proofErr w:type="gramStart"/>
            <w:r w:rsidR="00050424"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provided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, and the feed rate 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adequately controlled by using feeders that are paced by water meters to prevent an over-dosage of chemical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flow switch in place of a flow proportional feeder 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is proposed (justification must be provided)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634" w:type="dxa"/>
          </w:tcPr>
          <w:p w:rsidR="00050424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3336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60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50424" w:rsidRDefault="000504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30CC1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50424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76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517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Sample taps 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provided before the application of the oxidant, immediately ahead of filtration, and at the filter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effluent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66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789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B90E22" w:rsidRDefault="00B90E22">
      <w:r>
        <w:br w:type="page"/>
      </w: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0"/>
        <w:gridCol w:w="2634"/>
      </w:tblGrid>
      <w:tr w:rsidR="00631636">
        <w:tc>
          <w:tcPr>
            <w:tcW w:w="10214" w:type="dxa"/>
            <w:gridSpan w:val="2"/>
            <w:shd w:val="clear" w:color="auto" w:fill="E0E0E0"/>
          </w:tcPr>
          <w:p w:rsidR="00631636" w:rsidRDefault="00B90E22" w:rsidP="00FA45D2">
            <w:pPr>
              <w:ind w:right="75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Pressure Filter (12 VAC 5-590-920 B)                                                                                         N/A </w:t>
            </w:r>
            <w:sdt>
              <w:sdtPr>
                <w:tag w:val="goog_rdk_9"/>
                <w:id w:val="-71511931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246537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45D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numPr>
                <w:ilvl w:val="0"/>
                <w:numId w:val="2"/>
              </w:num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Manganese-oxide coated filter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media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total depth of media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not less than 30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inches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Media 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has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 effective size from 0.3 to 0.35 mm and a uniformity coefficient of no more than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proofErr w:type="gramEnd"/>
          </w:p>
          <w:p w:rsidR="00631636" w:rsidRDefault="00B90E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 anthracite cap layer over the manganese-oxide coated media with a depth of six to 18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inches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31636" w:rsidRDefault="00B90E22" w:rsidP="00FA1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Following initial placement of the media, care taken to remove fines by backwashing and skimming the surface</w:t>
            </w:r>
            <w:r w:rsidR="00050424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FA45D2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839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9874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FA45D2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3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89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FA45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7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80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FA45D2" w:rsidRDefault="00FA45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31636" w:rsidRDefault="00FA45D2">
            <w:pPr>
              <w:rPr>
                <w:rFonts w:ascii="Quattrocento Sans" w:eastAsia="Quattrocento Sans" w:hAnsi="Quattrocento Sans" w:cs="Quattrocento Sans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94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42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</w:p>
          <w:p w:rsidR="00FA45D2" w:rsidRPr="00FA45D2" w:rsidRDefault="00FA45D2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</w:p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07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14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31636" w:rsidRDefault="00631636">
            <w:pPr>
              <w:rPr>
                <w:rFonts w:ascii="Quattrocento Sans" w:eastAsia="Quattrocento Sans" w:hAnsi="Quattrocento Sans" w:cs="Quattrocento Sans"/>
                <w:sz w:val="22"/>
                <w:szCs w:val="22"/>
              </w:rPr>
            </w:pPr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Pressure gauges on the inlet and outlet pipes of each filter or a differential pressure gauge on each filter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968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1149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050424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 easily readable meter or flow indicator on each battery of filters. </w:t>
            </w:r>
          </w:p>
          <w:p w:rsidR="00631636" w:rsidRDefault="00B90E22" w:rsidP="00FA1A2A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flow indicator for each filtering unit</w:t>
            </w:r>
            <w:r w:rsidR="00050424">
              <w:rPr>
                <w:rFonts w:ascii="Arial" w:eastAsia="Arial" w:hAnsi="Arial" w:cs="Arial"/>
                <w:sz w:val="22"/>
                <w:szCs w:val="22"/>
              </w:rPr>
              <w:t xml:space="preserve"> (recommended)</w:t>
            </w:r>
          </w:p>
        </w:tc>
        <w:tc>
          <w:tcPr>
            <w:tcW w:w="2634" w:type="dxa"/>
          </w:tcPr>
          <w:p w:rsidR="00FA45D2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767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65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159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19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Filtration, backwashing, and filter-to-waste of each filter individually:</w:t>
            </w:r>
          </w:p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(1) Backwash water </w:t>
            </w:r>
            <w:proofErr w:type="gramStart"/>
            <w:r w:rsidR="00A60A91">
              <w:rPr>
                <w:rFonts w:ascii="Arial" w:eastAsia="Arial" w:hAnsi="Arial" w:cs="Arial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evenly distributed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in an adequate quantity to achieve at least a 30% media bed expansion during backwashing. The backwash rate shall be based on the media;</w:t>
            </w:r>
          </w:p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(2) The top of the backwash water collection trough 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at least 18 inches above the media surface;</w:t>
            </w:r>
          </w:p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(3) An underdrain system to efficiently collect the filtered water and to distribute an adequate quantity of backwash water to achieve at least a 30% media bed expansion during backwashing;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15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48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Flow indicators and controls are located so that they are easily readable while operating the control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valves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79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8471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air release valve on the highest point of each filter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41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91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18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accessible manhole to facilitate inspections and repairs for filters greater than 36 inches in diameter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20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985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means to observe the wastewater during backwashing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12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91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Construction to prevent cross-connection</w:t>
            </w:r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68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30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10214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631636" w:rsidRDefault="00B90E22" w:rsidP="00FA45D2">
            <w:pPr>
              <w:ind w:right="7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Ion Exchange (12 VAC 5-590-920 C)                                                        </w:t>
            </w:r>
            <w:r w:rsidR="00FA45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N/A </w:t>
            </w:r>
            <w:sdt>
              <w:sdtPr>
                <w:tag w:val="goog_rdk_30"/>
                <w:id w:val="-153680535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950855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45D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Ion exchange checklist provided (12 VAC 5-590-900)</w:t>
            </w:r>
            <w:proofErr w:type="gramStart"/>
            <w:r w:rsidR="00A60A91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095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4378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FA1A2A" w:rsidRDefault="00FA1A2A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Combined iron and manganese is less than 0.5 mg/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L?</w:t>
            </w:r>
            <w:proofErr w:type="gramEnd"/>
          </w:p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Iron and manganese removal by ion exchange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shall only be approved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removing low concentrations (less than 0.5 mg/L) of combined iron and manganese.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919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98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10214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631636" w:rsidRDefault="00B90E22" w:rsidP="00FA45D2">
            <w:pPr>
              <w:ind w:right="7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Sequestration (12 VAC 5-590-920 D)                                                                                          N/A </w:t>
            </w:r>
            <w:sdt>
              <w:sdtPr>
                <w:tag w:val="goog_rdk_33"/>
                <w:id w:val="75809940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810396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45D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-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Dry or liquid chemical feed checklist provided</w:t>
            </w:r>
          </w:p>
        </w:tc>
        <w:tc>
          <w:tcPr>
            <w:tcW w:w="2634" w:type="dxa"/>
          </w:tcPr>
          <w:p w:rsidR="00631636" w:rsidRDefault="00FA4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25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07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A60A91" w:rsidRDefault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Combined iron and manganese is less than or equal to 1.0 mg/L?</w:t>
            </w:r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Sequestration with polyphosphates shall be considered for polishing filtered water; however, it shall not be used where the residual iron, manganese, or combination thereof exceeds 1.0 mg/L.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905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42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5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97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5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FA1A2A" w:rsidRDefault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Phosphate dose does not exceed 10 mg/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L?</w:t>
            </w:r>
            <w:proofErr w:type="gramEnd"/>
          </w:p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Phosphate feed rates shall be determined by the product manufacturer and shall not exceed 10 mg/L.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99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9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02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 w:rsidP="00FA1A2A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Stock phosphate solution </w:t>
            </w:r>
            <w:r w:rsidR="00FA1A2A">
              <w:rPr>
                <w:rFonts w:ascii="Arial" w:eastAsia="Arial" w:hAnsi="Arial" w:cs="Arial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disinfected in accordance with manufacturer recommendations unless the phosphate solution is fed directly from the covered shipping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container</w:t>
            </w:r>
            <w:r w:rsidR="00FA1A2A"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86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762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75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1636">
        <w:tc>
          <w:tcPr>
            <w:tcW w:w="7580" w:type="dxa"/>
          </w:tcPr>
          <w:p w:rsidR="00631636" w:rsidRDefault="00B90E22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Sodium silicate or other silicate-based chemicals for the sequestration of iron and manganese shall be approved by the department on an individual basis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 Operational data from actual full-scale facilities treating waters of similar quality or pilot tests may be required.</w:t>
            </w:r>
          </w:p>
        </w:tc>
        <w:tc>
          <w:tcPr>
            <w:tcW w:w="2634" w:type="dxa"/>
          </w:tcPr>
          <w:p w:rsidR="00631636" w:rsidRDefault="00C30C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5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21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092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631636" w:rsidRDefault="00631636"/>
    <w:sectPr w:rsidR="00631636">
      <w:footerReference w:type="default" r:id="rId8"/>
      <w:pgSz w:w="12240" w:h="15840"/>
      <w:pgMar w:top="1008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22" w:rsidRDefault="00B90E22" w:rsidP="00B90E22">
      <w:r>
        <w:separator/>
      </w:r>
    </w:p>
  </w:endnote>
  <w:endnote w:type="continuationSeparator" w:id="0">
    <w:p w:rsidR="00B90E22" w:rsidRDefault="00B90E22" w:rsidP="00B9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MV Bol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22" w:rsidRPr="005E76D1" w:rsidRDefault="00B90E22" w:rsidP="005E76D1">
    <w:pPr>
      <w:pStyle w:val="Footer"/>
      <w:jc w:val="center"/>
      <w:rPr>
        <w:rFonts w:ascii="Times New Roman" w:hAnsi="Times New Roman" w:cs="Times New Roman"/>
        <w:sz w:val="22"/>
      </w:rPr>
    </w:pPr>
    <w:r w:rsidRPr="005E76D1">
      <w:rPr>
        <w:rFonts w:ascii="Times New Roman" w:hAnsi="Times New Roman" w:cs="Times New Roman"/>
        <w:sz w:val="22"/>
      </w:rPr>
      <w:t xml:space="preserve">Page </w:t>
    </w:r>
    <w:r w:rsidRPr="005E76D1">
      <w:rPr>
        <w:rFonts w:ascii="Times New Roman" w:hAnsi="Times New Roman" w:cs="Times New Roman"/>
        <w:sz w:val="22"/>
      </w:rPr>
      <w:fldChar w:fldCharType="begin"/>
    </w:r>
    <w:r w:rsidRPr="005E76D1">
      <w:rPr>
        <w:rFonts w:ascii="Times New Roman" w:hAnsi="Times New Roman" w:cs="Times New Roman"/>
        <w:sz w:val="22"/>
      </w:rPr>
      <w:instrText xml:space="preserve"> PAGE   \* MERGEFORMAT </w:instrText>
    </w:r>
    <w:r w:rsidRPr="005E76D1">
      <w:rPr>
        <w:rFonts w:ascii="Times New Roman" w:hAnsi="Times New Roman" w:cs="Times New Roman"/>
        <w:sz w:val="22"/>
      </w:rPr>
      <w:fldChar w:fldCharType="separate"/>
    </w:r>
    <w:r w:rsidR="00FA45D2">
      <w:rPr>
        <w:rFonts w:ascii="Times New Roman" w:hAnsi="Times New Roman" w:cs="Times New Roman"/>
        <w:noProof/>
        <w:sz w:val="22"/>
      </w:rPr>
      <w:t>4</w:t>
    </w:r>
    <w:r w:rsidRPr="005E76D1">
      <w:rPr>
        <w:rFonts w:ascii="Times New Roman" w:hAnsi="Times New Roman" w:cs="Times New Roman"/>
        <w:sz w:val="22"/>
      </w:rPr>
      <w:fldChar w:fldCharType="end"/>
    </w:r>
    <w:r w:rsidRPr="005E76D1">
      <w:rPr>
        <w:rFonts w:ascii="Times New Roman" w:hAnsi="Times New Roman" w:cs="Times New Roman"/>
        <w:sz w:val="22"/>
      </w:rPr>
      <w:t xml:space="preserve"> of </w:t>
    </w:r>
    <w:r w:rsidRPr="005E76D1">
      <w:rPr>
        <w:rFonts w:ascii="Times New Roman" w:hAnsi="Times New Roman" w:cs="Times New Roman"/>
        <w:sz w:val="22"/>
      </w:rPr>
      <w:fldChar w:fldCharType="begin"/>
    </w:r>
    <w:r w:rsidRPr="005E76D1">
      <w:rPr>
        <w:rFonts w:ascii="Times New Roman" w:hAnsi="Times New Roman" w:cs="Times New Roman"/>
        <w:sz w:val="22"/>
      </w:rPr>
      <w:instrText xml:space="preserve"> NUMPAGES   \* MERGEFORMAT </w:instrText>
    </w:r>
    <w:r w:rsidRPr="005E76D1">
      <w:rPr>
        <w:rFonts w:ascii="Times New Roman" w:hAnsi="Times New Roman" w:cs="Times New Roman"/>
        <w:sz w:val="22"/>
      </w:rPr>
      <w:fldChar w:fldCharType="separate"/>
    </w:r>
    <w:r w:rsidR="00FA45D2">
      <w:rPr>
        <w:rFonts w:ascii="Times New Roman" w:hAnsi="Times New Roman" w:cs="Times New Roman"/>
        <w:noProof/>
        <w:sz w:val="22"/>
      </w:rPr>
      <w:t>4</w:t>
    </w:r>
    <w:r w:rsidRPr="005E76D1">
      <w:rPr>
        <w:rFonts w:ascii="Times New Roman" w:hAnsi="Times New Roman" w:cs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22" w:rsidRDefault="00B90E22" w:rsidP="00B90E22">
      <w:r>
        <w:separator/>
      </w:r>
    </w:p>
  </w:footnote>
  <w:footnote w:type="continuationSeparator" w:id="0">
    <w:p w:rsidR="00B90E22" w:rsidRDefault="00B90E22" w:rsidP="00B9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95"/>
    <w:multiLevelType w:val="multilevel"/>
    <w:tmpl w:val="6D5CC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4E5048"/>
    <w:multiLevelType w:val="multilevel"/>
    <w:tmpl w:val="31166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3B198D"/>
    <w:multiLevelType w:val="multilevel"/>
    <w:tmpl w:val="BC745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36"/>
    <w:rsid w:val="00050424"/>
    <w:rsid w:val="000A706B"/>
    <w:rsid w:val="005E76D1"/>
    <w:rsid w:val="00631636"/>
    <w:rsid w:val="00A60A91"/>
    <w:rsid w:val="00A856DB"/>
    <w:rsid w:val="00B90E22"/>
    <w:rsid w:val="00C30CC1"/>
    <w:rsid w:val="00FA1A2A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7EC8"/>
  <w15:docId w15:val="{DF2A7FB5-58F1-4024-BAD3-FF18231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BF"/>
  </w:style>
  <w:style w:type="paragraph" w:styleId="Heading1">
    <w:name w:val="heading 1"/>
    <w:basedOn w:val="Normal"/>
    <w:next w:val="Normal"/>
    <w:link w:val="Heading1Char"/>
    <w:qFormat/>
    <w:rsid w:val="00470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0A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70ACA"/>
    <w:pPr>
      <w:outlineLvl w:val="2"/>
    </w:pPr>
    <w:rPr>
      <w:rFonts w:ascii="Times New Roman" w:hAnsi="Times New Roman"/>
      <w:sz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semiHidden/>
    <w:qFormat/>
    <w:rsid w:val="00470ACA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470AC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70AC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70ACA"/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0ACA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qFormat/>
    <w:rsid w:val="00470ACA"/>
    <w:pPr>
      <w:tabs>
        <w:tab w:val="left" w:pos="880"/>
        <w:tab w:val="right" w:leader="dot" w:pos="9350"/>
      </w:tabs>
    </w:pPr>
    <w:rPr>
      <w:rFonts w:ascii="Times New Roman" w:hAnsi="Times New Roman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ACA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1375E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E2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C7"/>
    <w:rPr>
      <w:rFonts w:ascii="Courier New" w:hAnsi="Courier New"/>
      <w:b/>
      <w:bCs/>
    </w:rPr>
  </w:style>
  <w:style w:type="character" w:styleId="PlaceholderText">
    <w:name w:val="Placeholder Text"/>
    <w:basedOn w:val="DefaultParagraphFont"/>
    <w:uiPriority w:val="99"/>
    <w:semiHidden/>
    <w:rsid w:val="00F5675E"/>
    <w:rPr>
      <w:color w:val="808080"/>
    </w:rPr>
  </w:style>
  <w:style w:type="paragraph" w:customStyle="1" w:styleId="sectbi2">
    <w:name w:val="sectbi2"/>
    <w:basedOn w:val="Normal"/>
    <w:rsid w:val="00B9071E"/>
    <w:pPr>
      <w:autoSpaceDE w:val="0"/>
      <w:autoSpaceDN w:val="0"/>
      <w:spacing w:before="120" w:line="480" w:lineRule="auto"/>
      <w:ind w:left="1080"/>
      <w:jc w:val="both"/>
    </w:pPr>
    <w:rPr>
      <w:rFonts w:ascii="Arial" w:eastAsiaTheme="minorEastAsia" w:hAnsi="Arial" w:cs="Arial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0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E22"/>
  </w:style>
  <w:style w:type="paragraph" w:styleId="Footer">
    <w:name w:val="footer"/>
    <w:basedOn w:val="Normal"/>
    <w:link w:val="FooterChar"/>
    <w:uiPriority w:val="99"/>
    <w:unhideWhenUsed/>
    <w:rsid w:val="00B90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s9AG+1NXhhUOJ+1NtRVY/KV6w==">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SusanDouglas</dc:creator>
  <cp:lastModifiedBy>Moses, Aaron (VDH)</cp:lastModifiedBy>
  <cp:revision>6</cp:revision>
  <dcterms:created xsi:type="dcterms:W3CDTF">2022-01-24T15:34:00Z</dcterms:created>
  <dcterms:modified xsi:type="dcterms:W3CDTF">2022-03-08T14:52:00Z</dcterms:modified>
</cp:coreProperties>
</file>