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AAB9A" w14:textId="1F1414A8" w:rsidR="00891B17" w:rsidRPr="00ED0A76" w:rsidRDefault="004801AD" w:rsidP="00ED0A76">
      <w:pPr>
        <w:pStyle w:val="Heading1"/>
      </w:pPr>
      <w:r w:rsidRPr="00ED0A76">
        <w:drawing>
          <wp:anchor distT="0" distB="0" distL="114300" distR="114300" simplePos="0" relativeHeight="251658240" behindDoc="0" locked="0" layoutInCell="1" allowOverlap="1" wp14:anchorId="2C8C6779" wp14:editId="409F2A51">
            <wp:simplePos x="0" y="0"/>
            <wp:positionH relativeFrom="column">
              <wp:posOffset>-391795</wp:posOffset>
            </wp:positionH>
            <wp:positionV relativeFrom="paragraph">
              <wp:posOffset>-228600</wp:posOffset>
            </wp:positionV>
            <wp:extent cx="1347665" cy="847725"/>
            <wp:effectExtent l="0" t="0" r="5080" b="0"/>
            <wp:wrapNone/>
            <wp:docPr id="3" name="Picture 3" descr="Office of Drinking Water logo&#10;Safe Drinking Water for a healthy Virgi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Office of Drinking Water logo&#10;Safe Drinking Water for a healthy Virgin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66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1B17" w:rsidRPr="00ED0A76">
        <w:t>Guidance for Nontransient Noncommunity Waterworks</w:t>
      </w:r>
    </w:p>
    <w:p w14:paraId="38E63EE7" w14:textId="21EF040A" w:rsidR="00B12945" w:rsidRPr="00ED0A76" w:rsidRDefault="0047584A" w:rsidP="00ED0A76">
      <w:pPr>
        <w:pStyle w:val="Heading1"/>
      </w:pPr>
      <w:r w:rsidRPr="00ED0A76">
        <w:t>I</w:t>
      </w:r>
      <w:r w:rsidR="00005264" w:rsidRPr="00ED0A76">
        <w:t>nitial Lead Service Line Inventory</w:t>
      </w:r>
    </w:p>
    <w:p w14:paraId="5D49CF94" w14:textId="77777777" w:rsidR="00D61E9B" w:rsidRPr="00ED0A76" w:rsidRDefault="00891B17" w:rsidP="00ED0A76">
      <w:pPr>
        <w:pStyle w:val="Heading1"/>
      </w:pPr>
      <w:r w:rsidRPr="00ED0A76">
        <w:t xml:space="preserve">Office of Drinking Water </w:t>
      </w:r>
    </w:p>
    <w:p w14:paraId="6BC1653E" w14:textId="2CA465C4" w:rsidR="0047584A" w:rsidRPr="00ED0A76" w:rsidRDefault="00B12945" w:rsidP="00ED0A76">
      <w:pPr>
        <w:pStyle w:val="Heading1"/>
      </w:pPr>
      <w:r w:rsidRPr="00ED0A76">
        <w:t>Frequently</w:t>
      </w:r>
      <w:r w:rsidR="00D61E9B" w:rsidRPr="00ED0A76">
        <w:t xml:space="preserve"> Asked Questions</w:t>
      </w:r>
    </w:p>
    <w:p w14:paraId="4CB22345" w14:textId="39EE451B" w:rsidR="00891B17" w:rsidRDefault="00891B17" w:rsidP="000740C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the lead service line (LSL) inventory requirement</w:t>
      </w:r>
      <w:r w:rsidR="00F74BA3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apply to noncommunity waterworks?</w:t>
      </w:r>
    </w:p>
    <w:p w14:paraId="68FFE488" w14:textId="77777777" w:rsidR="00891B17" w:rsidRDefault="00891B17" w:rsidP="00891B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service line inventory requirements apply to all nontransient noncommunity (NTNC) waterworks.</w:t>
      </w:r>
    </w:p>
    <w:p w14:paraId="136EF8B5" w14:textId="384756A5" w:rsidR="00891B17" w:rsidRDefault="00891B17" w:rsidP="000740C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Which service line inventory template should NTNC waterworks use?</w:t>
      </w:r>
    </w:p>
    <w:p w14:paraId="5AAEAA51" w14:textId="2B8518DA" w:rsidR="00891B17" w:rsidRPr="00E57F78" w:rsidRDefault="006F0825" w:rsidP="00877B6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Small </w:t>
      </w:r>
      <w:r w:rsidR="00891B17">
        <w:rPr>
          <w:rFonts w:ascii="Arial" w:hAnsi="Arial" w:cs="Arial"/>
          <w:bCs/>
          <w:sz w:val="24"/>
          <w:szCs w:val="24"/>
        </w:rPr>
        <w:t xml:space="preserve">NTNC waterworks </w:t>
      </w:r>
      <w:r>
        <w:rPr>
          <w:rFonts w:ascii="Arial" w:hAnsi="Arial" w:cs="Arial"/>
          <w:bCs/>
          <w:sz w:val="24"/>
          <w:szCs w:val="24"/>
        </w:rPr>
        <w:t xml:space="preserve">(i.e., NTNCs </w:t>
      </w:r>
      <w:r w:rsidR="00891B17">
        <w:rPr>
          <w:rFonts w:ascii="Arial" w:hAnsi="Arial" w:cs="Arial"/>
          <w:bCs/>
          <w:sz w:val="24"/>
          <w:szCs w:val="24"/>
        </w:rPr>
        <w:t>serving 5 or fewer service connections</w:t>
      </w:r>
      <w:r>
        <w:rPr>
          <w:rFonts w:ascii="Arial" w:hAnsi="Arial" w:cs="Arial"/>
          <w:bCs/>
          <w:sz w:val="24"/>
          <w:szCs w:val="24"/>
        </w:rPr>
        <w:t>)</w:t>
      </w:r>
      <w:r w:rsidR="00891B17">
        <w:rPr>
          <w:rFonts w:ascii="Arial" w:hAnsi="Arial" w:cs="Arial"/>
          <w:bCs/>
          <w:sz w:val="24"/>
          <w:szCs w:val="24"/>
        </w:rPr>
        <w:t xml:space="preserve"> should use the </w:t>
      </w:r>
      <w:r w:rsidR="00891B17">
        <w:rPr>
          <w:rFonts w:ascii="Arial" w:hAnsi="Arial" w:cs="Arial"/>
          <w:bCs/>
          <w:sz w:val="24"/>
          <w:szCs w:val="24"/>
          <w:u w:val="single"/>
        </w:rPr>
        <w:t>Small NTNC Service Line Template</w:t>
      </w:r>
      <w:r w:rsidR="00891B17">
        <w:rPr>
          <w:rFonts w:ascii="Arial" w:hAnsi="Arial" w:cs="Arial"/>
          <w:bCs/>
          <w:sz w:val="24"/>
          <w:szCs w:val="24"/>
        </w:rPr>
        <w:t xml:space="preserve">. NTNC waterworks serving 6 or more service connections should use the </w:t>
      </w:r>
      <w:r w:rsidR="00891B17">
        <w:rPr>
          <w:rFonts w:ascii="Arial" w:hAnsi="Arial" w:cs="Arial"/>
          <w:bCs/>
          <w:sz w:val="24"/>
          <w:szCs w:val="24"/>
          <w:u w:val="single"/>
        </w:rPr>
        <w:t>Community Waterworks Service Line Inventory Template.</w:t>
      </w:r>
      <w:r w:rsidR="00E57F78">
        <w:rPr>
          <w:rFonts w:ascii="Arial" w:hAnsi="Arial" w:cs="Arial"/>
          <w:bCs/>
          <w:sz w:val="24"/>
          <w:szCs w:val="24"/>
        </w:rPr>
        <w:t xml:space="preserve"> </w:t>
      </w:r>
      <w:r w:rsidR="00D61E9B">
        <w:rPr>
          <w:rFonts w:ascii="Arial" w:hAnsi="Arial" w:cs="Arial"/>
          <w:bCs/>
          <w:sz w:val="24"/>
          <w:szCs w:val="24"/>
        </w:rPr>
        <w:t xml:space="preserve">In addition, NTNC waterworks that share ownership of service lines with customers must use the </w:t>
      </w:r>
      <w:r w:rsidR="00D61E9B">
        <w:rPr>
          <w:rFonts w:ascii="Arial" w:hAnsi="Arial" w:cs="Arial"/>
          <w:bCs/>
          <w:sz w:val="24"/>
          <w:szCs w:val="24"/>
          <w:u w:val="single"/>
        </w:rPr>
        <w:t xml:space="preserve">Community Waterworks Service Line Inventory Template. </w:t>
      </w:r>
      <w:r w:rsidR="00E57F78">
        <w:rPr>
          <w:rFonts w:ascii="Arial" w:hAnsi="Arial" w:cs="Arial"/>
          <w:bCs/>
          <w:sz w:val="24"/>
          <w:szCs w:val="24"/>
        </w:rPr>
        <w:t xml:space="preserve">Instructions and templates are available on ODW’s LCRR web page: </w:t>
      </w:r>
      <w:r w:rsidR="00E57F78" w:rsidRPr="00E57F78">
        <w:rPr>
          <w:rFonts w:ascii="Arial" w:hAnsi="Arial" w:cs="Arial"/>
          <w:bCs/>
          <w:sz w:val="24"/>
          <w:szCs w:val="24"/>
        </w:rPr>
        <w:t>https://www.vdh.virginia.gov/drinking-water/lcrr-guidance/</w:t>
      </w:r>
    </w:p>
    <w:p w14:paraId="2245D19E" w14:textId="0816CB55" w:rsidR="007D3E86" w:rsidRDefault="00891B17" w:rsidP="000740C7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What has EPA </w:t>
      </w:r>
      <w:r w:rsidRPr="000740C7">
        <w:rPr>
          <w:rFonts w:ascii="Arial" w:hAnsi="Arial" w:cs="Arial"/>
          <w:b/>
          <w:sz w:val="24"/>
          <w:szCs w:val="24"/>
        </w:rPr>
        <w:t>said</w:t>
      </w:r>
      <w:r>
        <w:rPr>
          <w:rFonts w:ascii="Arial" w:hAnsi="Arial" w:cs="Arial"/>
          <w:b/>
          <w:bCs/>
          <w:sz w:val="24"/>
          <w:szCs w:val="24"/>
        </w:rPr>
        <w:t xml:space="preserve"> about</w:t>
      </w:r>
      <w:r w:rsidR="00855DA2">
        <w:rPr>
          <w:rFonts w:ascii="Arial" w:hAnsi="Arial" w:cs="Arial"/>
          <w:b/>
          <w:bCs/>
          <w:sz w:val="24"/>
          <w:szCs w:val="24"/>
        </w:rPr>
        <w:t xml:space="preserve"> NTNCs?</w:t>
      </w:r>
    </w:p>
    <w:p w14:paraId="6D833E1D" w14:textId="36D7A1C8" w:rsidR="00855DA2" w:rsidRPr="00855DA2" w:rsidRDefault="00855DA2" w:rsidP="00877B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855DA2">
        <w:rPr>
          <w:rFonts w:ascii="Arial" w:hAnsi="Arial" w:cs="Arial"/>
          <w:sz w:val="24"/>
          <w:szCs w:val="24"/>
        </w:rPr>
        <w:t>Note that some CWSs and NTNCWSs may not have an extensive distribution system, such as those with a direct connection from a well to a single building. Systems must report the material from the well to the building inlet for their inventory. EPA intends to develop a separate guidance that is tailored to small CWSs and NTNCWSs.</w:t>
      </w:r>
      <w:r>
        <w:rPr>
          <w:rFonts w:ascii="Arial" w:hAnsi="Arial" w:cs="Arial"/>
          <w:sz w:val="24"/>
          <w:szCs w:val="24"/>
        </w:rPr>
        <w:t>”</w:t>
      </w:r>
      <w:r w:rsidR="00830C03">
        <w:rPr>
          <w:rStyle w:val="FootnoteReference"/>
          <w:rFonts w:ascii="Arial" w:hAnsi="Arial" w:cs="Arial"/>
          <w:sz w:val="24"/>
          <w:szCs w:val="24"/>
        </w:rPr>
        <w:footnoteReference w:id="1"/>
      </w:r>
    </w:p>
    <w:p w14:paraId="53B44B0B" w14:textId="77777777" w:rsidR="00855DA2" w:rsidRDefault="00855DA2" w:rsidP="000740C7">
      <w:pPr>
        <w:spacing w:after="0"/>
      </w:pPr>
      <w:r>
        <w:rPr>
          <w:rFonts w:ascii="Arial" w:hAnsi="Arial" w:cs="Arial"/>
          <w:b/>
          <w:sz w:val="24"/>
          <w:szCs w:val="24"/>
        </w:rPr>
        <w:t>What is the definition of a “service line”?</w:t>
      </w:r>
      <w:r w:rsidRPr="00855DA2">
        <w:t xml:space="preserve"> </w:t>
      </w:r>
    </w:p>
    <w:p w14:paraId="02F33F97" w14:textId="2EADD52F" w:rsidR="00855DA2" w:rsidRPr="00855DA2" w:rsidRDefault="00855DA2" w:rsidP="00855D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EPA has defined service line to mean, “t</w:t>
      </w:r>
      <w:r w:rsidRPr="00855DA2">
        <w:rPr>
          <w:rFonts w:ascii="Arial" w:hAnsi="Arial" w:cs="Arial"/>
          <w:sz w:val="24"/>
          <w:szCs w:val="24"/>
        </w:rPr>
        <w:t>he pipe connecting the water main to the interior plumbing in a building</w:t>
      </w:r>
      <w:r>
        <w:rPr>
          <w:rFonts w:ascii="Arial" w:hAnsi="Arial" w:cs="Arial"/>
          <w:sz w:val="24"/>
          <w:szCs w:val="24"/>
        </w:rPr>
        <w:t>.”</w:t>
      </w:r>
      <w:r w:rsidR="00830C03">
        <w:rPr>
          <w:rStyle w:val="FootnoteReference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 xml:space="preserve"> In the context of </w:t>
      </w:r>
      <w:r w:rsidR="006F0825">
        <w:rPr>
          <w:rFonts w:ascii="Arial" w:hAnsi="Arial" w:cs="Arial"/>
          <w:sz w:val="24"/>
          <w:szCs w:val="24"/>
        </w:rPr>
        <w:t xml:space="preserve">small </w:t>
      </w:r>
      <w:r>
        <w:rPr>
          <w:rFonts w:ascii="Arial" w:hAnsi="Arial" w:cs="Arial"/>
          <w:sz w:val="24"/>
          <w:szCs w:val="24"/>
        </w:rPr>
        <w:t xml:space="preserve">NTNC waterworks, the distinction between water mains and service lines </w:t>
      </w:r>
      <w:r w:rsidR="006F0825">
        <w:rPr>
          <w:rFonts w:ascii="Arial" w:hAnsi="Arial" w:cs="Arial"/>
          <w:sz w:val="24"/>
          <w:szCs w:val="24"/>
        </w:rPr>
        <w:t>may be</w:t>
      </w:r>
      <w:r>
        <w:rPr>
          <w:rFonts w:ascii="Arial" w:hAnsi="Arial" w:cs="Arial"/>
          <w:sz w:val="24"/>
          <w:szCs w:val="24"/>
        </w:rPr>
        <w:t xml:space="preserve"> unclear. ODW will take the “service line” to mean any buried segment of piping from the source (such as a well) to a building, excluding any premise plumbing.</w:t>
      </w:r>
      <w:r w:rsidR="001D2006">
        <w:rPr>
          <w:rFonts w:ascii="Arial" w:hAnsi="Arial" w:cs="Arial"/>
          <w:sz w:val="24"/>
          <w:szCs w:val="24"/>
        </w:rPr>
        <w:t xml:space="preserve"> Some NTNC waterworks will have more than </w:t>
      </w:r>
      <w:r w:rsidR="00D61E9B">
        <w:rPr>
          <w:rFonts w:ascii="Arial" w:hAnsi="Arial" w:cs="Arial"/>
          <w:sz w:val="24"/>
          <w:szCs w:val="24"/>
        </w:rPr>
        <w:t xml:space="preserve">one </w:t>
      </w:r>
      <w:r w:rsidR="001D2006">
        <w:rPr>
          <w:rFonts w:ascii="Arial" w:hAnsi="Arial" w:cs="Arial"/>
          <w:sz w:val="24"/>
          <w:szCs w:val="24"/>
        </w:rPr>
        <w:t>buried segment of piping or service lines.</w:t>
      </w:r>
    </w:p>
    <w:p w14:paraId="1B03EEEB" w14:textId="35BC6E4D" w:rsidR="00855DA2" w:rsidRDefault="006F0825" w:rsidP="000740C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What is premise plumbing?</w:t>
      </w:r>
    </w:p>
    <w:p w14:paraId="18E05338" w14:textId="0A50E5A3" w:rsidR="006F0825" w:rsidRPr="006F0825" w:rsidRDefault="006F0825" w:rsidP="00877B6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Premise plumbing is generally plumbing inside a home or building, but does not include pumping, treatment and storage that are part of a waterworks.</w:t>
      </w:r>
      <w:r w:rsidR="00830C03">
        <w:rPr>
          <w:rFonts w:ascii="Arial" w:hAnsi="Arial" w:cs="Arial"/>
          <w:bCs/>
          <w:sz w:val="24"/>
          <w:szCs w:val="24"/>
        </w:rPr>
        <w:t xml:space="preserve"> Waterworks do not need to report premise plumbing materials in their service line inventory.</w:t>
      </w:r>
    </w:p>
    <w:p w14:paraId="0FB77282" w14:textId="4ABC89C2" w:rsidR="00855DA2" w:rsidRDefault="006F0825" w:rsidP="00D61E9B">
      <w:pPr>
        <w:keepNext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What must NTNC waterworks report in their inventory?</w:t>
      </w:r>
    </w:p>
    <w:p w14:paraId="3DFDA853" w14:textId="5237BF2A" w:rsidR="006F0825" w:rsidRPr="006F0825" w:rsidRDefault="006F0825" w:rsidP="00877B6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NTNC waterworks must identify the materials for the service lines. Refer to </w:t>
      </w:r>
      <w:r w:rsidR="00E57F78">
        <w:rPr>
          <w:rFonts w:ascii="Arial" w:hAnsi="Arial" w:cs="Arial"/>
          <w:bCs/>
          <w:sz w:val="24"/>
          <w:szCs w:val="24"/>
        </w:rPr>
        <w:t>Figures</w:t>
      </w:r>
      <w:r>
        <w:rPr>
          <w:rFonts w:ascii="Arial" w:hAnsi="Arial" w:cs="Arial"/>
          <w:bCs/>
          <w:sz w:val="24"/>
          <w:szCs w:val="24"/>
        </w:rPr>
        <w:t xml:space="preserve"> 1 and 2 for examples of service lines.</w:t>
      </w:r>
    </w:p>
    <w:p w14:paraId="74656F60" w14:textId="77777777" w:rsidR="00E57F78" w:rsidRDefault="00E57F78" w:rsidP="00E57F78">
      <w:pPr>
        <w:keepNext/>
      </w:pPr>
      <w:r>
        <w:rPr>
          <w:noProof/>
        </w:rPr>
        <w:drawing>
          <wp:inline distT="0" distB="0" distL="0" distR="0" wp14:anchorId="3366CDD8" wp14:editId="35273EE4">
            <wp:extent cx="5943600" cy="3343275"/>
            <wp:effectExtent l="0" t="0" r="0" b="9525"/>
            <wp:docPr id="1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2910F" w14:textId="43FFFDFF" w:rsidR="00E57F78" w:rsidRDefault="00E57F78" w:rsidP="00E57F78">
      <w:pPr>
        <w:pStyle w:val="Caption"/>
        <w:rPr>
          <w:rFonts w:ascii="Arial" w:hAnsi="Arial" w:cs="Arial"/>
          <w:b/>
          <w:sz w:val="24"/>
          <w:szCs w:val="24"/>
        </w:rPr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 xml:space="preserve"> - </w:t>
      </w:r>
      <w:r>
        <w:rPr>
          <w:i w:val="0"/>
          <w:iCs w:val="0"/>
        </w:rPr>
        <w:t>One well with one building connection.</w:t>
      </w:r>
    </w:p>
    <w:p w14:paraId="0CFCF147" w14:textId="77777777" w:rsidR="00E57F78" w:rsidRDefault="00E57F78" w:rsidP="00E57F78">
      <w:pPr>
        <w:keepNext/>
      </w:pPr>
      <w:r>
        <w:rPr>
          <w:noProof/>
        </w:rPr>
        <w:drawing>
          <wp:inline distT="0" distB="0" distL="0" distR="0" wp14:anchorId="213746C0" wp14:editId="2E6F5F97">
            <wp:extent cx="5943600" cy="3343275"/>
            <wp:effectExtent l="0" t="0" r="0" b="9525"/>
            <wp:docPr id="2" name="Graphic 2" descr="Image demonstrates a well connected by service line #1 to a well house.  Then from the well house service lines connect to two different buildings.  From one of the buildings previously, more service lines extend to new building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Image demonstrates a well connected by service line #1 to a well house.  Then from the well house service lines connect to two different buildings.  From one of the buildings previously, more service lines extend to new buildings.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2CE47" w14:textId="60BA067C" w:rsidR="00E57F78" w:rsidRDefault="00E57F78" w:rsidP="00E57F78">
      <w:pPr>
        <w:pStyle w:val="Caption"/>
        <w:rPr>
          <w:rFonts w:ascii="Arial" w:hAnsi="Arial" w:cs="Arial"/>
          <w:b/>
          <w:sz w:val="24"/>
          <w:szCs w:val="24"/>
        </w:rPr>
      </w:pPr>
      <w:r>
        <w:t xml:space="preserve">Figure </w:t>
      </w:r>
      <w:fldSimple w:instr=" SEQ Figure \* ARABIC ">
        <w:r>
          <w:rPr>
            <w:noProof/>
          </w:rPr>
          <w:t>2</w:t>
        </w:r>
      </w:fldSimple>
      <w:r>
        <w:t xml:space="preserve"> - </w:t>
      </w:r>
      <w:r>
        <w:rPr>
          <w:i w:val="0"/>
          <w:iCs w:val="0"/>
        </w:rPr>
        <w:t>One well with multiple buildings and service connections.</w:t>
      </w:r>
    </w:p>
    <w:p w14:paraId="73634459" w14:textId="77777777" w:rsidR="00830C03" w:rsidRDefault="00830C03" w:rsidP="000740C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When must the LSL inventory be submitted?</w:t>
      </w:r>
    </w:p>
    <w:p w14:paraId="4242127A" w14:textId="77777777" w:rsidR="00830C03" w:rsidRPr="00E85D5B" w:rsidRDefault="00830C03" w:rsidP="00830C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waterworks must submit the LSL inventory to ODW by the compliance date, October 16, 2024.  </w:t>
      </w:r>
    </w:p>
    <w:p w14:paraId="35249186" w14:textId="06E3CB16" w:rsidR="00424845" w:rsidRDefault="00424845" w:rsidP="000740C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What are </w:t>
      </w:r>
      <w:r w:rsidR="00B12E17"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>unknown</w:t>
      </w:r>
      <w:r w:rsidR="00B12E17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b/>
          <w:sz w:val="24"/>
          <w:szCs w:val="24"/>
        </w:rPr>
        <w:t xml:space="preserve"> service lines?</w:t>
      </w:r>
    </w:p>
    <w:p w14:paraId="2D332581" w14:textId="461BCF79" w:rsidR="00807A51" w:rsidRDefault="00E95668" w:rsidP="00E956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waterworks may classify service line materials as</w:t>
      </w:r>
      <w:r w:rsidR="009932F3">
        <w:rPr>
          <w:rFonts w:ascii="Arial" w:hAnsi="Arial" w:cs="Arial"/>
          <w:sz w:val="24"/>
          <w:szCs w:val="24"/>
        </w:rPr>
        <w:t xml:space="preserve"> “lead status unknown” or</w:t>
      </w:r>
      <w:r>
        <w:rPr>
          <w:rFonts w:ascii="Arial" w:hAnsi="Arial" w:cs="Arial"/>
          <w:sz w:val="24"/>
          <w:szCs w:val="24"/>
        </w:rPr>
        <w:t xml:space="preserve"> “unknown” </w:t>
      </w:r>
      <w:r w:rsidRPr="00E95668">
        <w:rPr>
          <w:rFonts w:ascii="Arial" w:hAnsi="Arial" w:cs="Arial"/>
          <w:sz w:val="24"/>
          <w:szCs w:val="24"/>
        </w:rPr>
        <w:t>where</w:t>
      </w:r>
      <w:r>
        <w:rPr>
          <w:rFonts w:ascii="Arial" w:hAnsi="Arial" w:cs="Arial"/>
          <w:sz w:val="24"/>
          <w:szCs w:val="24"/>
        </w:rPr>
        <w:t xml:space="preserve"> </w:t>
      </w:r>
      <w:r w:rsidRPr="00E95668">
        <w:rPr>
          <w:rFonts w:ascii="Arial" w:hAnsi="Arial" w:cs="Arial"/>
          <w:sz w:val="24"/>
          <w:szCs w:val="24"/>
        </w:rPr>
        <w:t>the service line material is not known to</w:t>
      </w:r>
      <w:r>
        <w:rPr>
          <w:rFonts w:ascii="Arial" w:hAnsi="Arial" w:cs="Arial"/>
          <w:sz w:val="24"/>
          <w:szCs w:val="24"/>
        </w:rPr>
        <w:t xml:space="preserve"> </w:t>
      </w:r>
      <w:r w:rsidRPr="00E95668">
        <w:rPr>
          <w:rFonts w:ascii="Arial" w:hAnsi="Arial" w:cs="Arial"/>
          <w:sz w:val="24"/>
          <w:szCs w:val="24"/>
        </w:rPr>
        <w:t>be lead, galvanized requiring</w:t>
      </w:r>
      <w:r>
        <w:rPr>
          <w:rFonts w:ascii="Arial" w:hAnsi="Arial" w:cs="Arial"/>
          <w:sz w:val="24"/>
          <w:szCs w:val="24"/>
        </w:rPr>
        <w:t xml:space="preserve"> </w:t>
      </w:r>
      <w:r w:rsidRPr="00E95668">
        <w:rPr>
          <w:rFonts w:ascii="Arial" w:hAnsi="Arial" w:cs="Arial"/>
          <w:sz w:val="24"/>
          <w:szCs w:val="24"/>
        </w:rPr>
        <w:t>replacement, or a non-lead service line, such as where there is no documented</w:t>
      </w:r>
      <w:r>
        <w:rPr>
          <w:rFonts w:ascii="Arial" w:hAnsi="Arial" w:cs="Arial"/>
          <w:sz w:val="24"/>
          <w:szCs w:val="24"/>
        </w:rPr>
        <w:t xml:space="preserve"> </w:t>
      </w:r>
      <w:r w:rsidRPr="00E95668">
        <w:rPr>
          <w:rFonts w:ascii="Arial" w:hAnsi="Arial" w:cs="Arial"/>
          <w:sz w:val="24"/>
          <w:szCs w:val="24"/>
        </w:rPr>
        <w:t>evidence supporting material</w:t>
      </w:r>
      <w:r>
        <w:rPr>
          <w:rFonts w:ascii="Arial" w:hAnsi="Arial" w:cs="Arial"/>
          <w:sz w:val="24"/>
          <w:szCs w:val="24"/>
        </w:rPr>
        <w:t xml:space="preserve"> </w:t>
      </w:r>
      <w:r w:rsidRPr="00E95668">
        <w:rPr>
          <w:rFonts w:ascii="Arial" w:hAnsi="Arial" w:cs="Arial"/>
          <w:sz w:val="24"/>
          <w:szCs w:val="24"/>
        </w:rPr>
        <w:t>classification.</w:t>
      </w:r>
      <w:r>
        <w:rPr>
          <w:rFonts w:ascii="Arial" w:hAnsi="Arial" w:cs="Arial"/>
          <w:sz w:val="24"/>
          <w:szCs w:val="24"/>
        </w:rPr>
        <w:t xml:space="preserve"> </w:t>
      </w:r>
      <w:r w:rsidR="00FB33E8">
        <w:rPr>
          <w:rFonts w:ascii="Arial" w:hAnsi="Arial" w:cs="Arial"/>
          <w:sz w:val="24"/>
          <w:szCs w:val="24"/>
        </w:rPr>
        <w:t xml:space="preserve">The </w:t>
      </w:r>
      <w:r w:rsidR="003A04B2">
        <w:rPr>
          <w:rFonts w:ascii="Arial" w:hAnsi="Arial" w:cs="Arial"/>
          <w:sz w:val="24"/>
          <w:szCs w:val="24"/>
        </w:rPr>
        <w:t xml:space="preserve">LCRR does not require the LSL inventory to </w:t>
      </w:r>
      <w:r w:rsidR="00B12945">
        <w:rPr>
          <w:rFonts w:ascii="Arial" w:hAnsi="Arial" w:cs="Arial"/>
          <w:sz w:val="24"/>
          <w:szCs w:val="24"/>
        </w:rPr>
        <w:t>identify the material of every service line</w:t>
      </w:r>
      <w:r w:rsidR="003A04B2">
        <w:rPr>
          <w:rFonts w:ascii="Arial" w:hAnsi="Arial" w:cs="Arial"/>
          <w:sz w:val="24"/>
          <w:szCs w:val="24"/>
        </w:rPr>
        <w:t xml:space="preserve"> by the compliance date. However, the EPA has dis</w:t>
      </w:r>
      <w:r w:rsidR="000239DE">
        <w:rPr>
          <w:rFonts w:ascii="Arial" w:hAnsi="Arial" w:cs="Arial"/>
          <w:sz w:val="24"/>
          <w:szCs w:val="24"/>
        </w:rPr>
        <w:t>-</w:t>
      </w:r>
      <w:r w:rsidR="003A04B2">
        <w:rPr>
          <w:rFonts w:ascii="Arial" w:hAnsi="Arial" w:cs="Arial"/>
          <w:sz w:val="24"/>
          <w:szCs w:val="24"/>
        </w:rPr>
        <w:t xml:space="preserve">incentivized having large numbers of unknown service lines by requiring annual public education and other requirements for all service connections listed as unknown. </w:t>
      </w:r>
      <w:r w:rsidR="002124A0">
        <w:rPr>
          <w:rFonts w:ascii="Arial" w:hAnsi="Arial" w:cs="Arial"/>
          <w:sz w:val="24"/>
          <w:szCs w:val="24"/>
        </w:rPr>
        <w:t xml:space="preserve">Please see </w:t>
      </w:r>
      <w:r w:rsidR="00FB33E8">
        <w:rPr>
          <w:rFonts w:ascii="Arial" w:hAnsi="Arial" w:cs="Arial"/>
          <w:sz w:val="24"/>
          <w:szCs w:val="24"/>
        </w:rPr>
        <w:t xml:space="preserve">40 CFR </w:t>
      </w:r>
      <w:r w:rsidR="002124A0">
        <w:rPr>
          <w:rFonts w:ascii="Arial" w:hAnsi="Arial" w:cs="Arial"/>
          <w:sz w:val="24"/>
          <w:szCs w:val="24"/>
        </w:rPr>
        <w:t>141.</w:t>
      </w:r>
      <w:r w:rsidR="00C02499">
        <w:rPr>
          <w:rFonts w:ascii="Arial" w:hAnsi="Arial" w:cs="Arial"/>
          <w:sz w:val="24"/>
          <w:szCs w:val="24"/>
        </w:rPr>
        <w:t>85</w:t>
      </w:r>
      <w:r w:rsidR="002124A0">
        <w:rPr>
          <w:rFonts w:ascii="Arial" w:hAnsi="Arial" w:cs="Arial"/>
          <w:sz w:val="24"/>
          <w:szCs w:val="24"/>
        </w:rPr>
        <w:t xml:space="preserve"> for more information.</w:t>
      </w:r>
    </w:p>
    <w:p w14:paraId="4A9B80EE" w14:textId="7AD50A3F" w:rsidR="00B64C0B" w:rsidRDefault="00B64C0B" w:rsidP="000740C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What are non-lead service lines?</w:t>
      </w:r>
    </w:p>
    <w:p w14:paraId="59F705D3" w14:textId="5D9867ED" w:rsidR="00AC3C85" w:rsidRDefault="00AC3C85" w:rsidP="004248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EPA defines non-lead service lines as those with </w:t>
      </w:r>
      <w:r w:rsidR="00E95668">
        <w:rPr>
          <w:rFonts w:ascii="Arial" w:hAnsi="Arial" w:cs="Arial"/>
          <w:sz w:val="24"/>
          <w:szCs w:val="24"/>
        </w:rPr>
        <w:t>evidence</w:t>
      </w:r>
      <w:r w:rsidR="00B12E17">
        <w:rPr>
          <w:rFonts w:ascii="Arial" w:hAnsi="Arial" w:cs="Arial"/>
          <w:sz w:val="24"/>
          <w:szCs w:val="24"/>
        </w:rPr>
        <w:t>-based record</w:t>
      </w:r>
      <w:r w:rsidR="00E9566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95668">
        <w:rPr>
          <w:rFonts w:ascii="Arial" w:hAnsi="Arial" w:cs="Arial"/>
          <w:sz w:val="24"/>
          <w:szCs w:val="24"/>
        </w:rPr>
        <w:t>method</w:t>
      </w:r>
      <w:r w:rsidR="00B12E17">
        <w:rPr>
          <w:rFonts w:ascii="Arial" w:hAnsi="Arial" w:cs="Arial"/>
          <w:sz w:val="24"/>
          <w:szCs w:val="24"/>
        </w:rPr>
        <w:t>,</w:t>
      </w:r>
      <w:r w:rsidR="00E95668">
        <w:rPr>
          <w:rFonts w:ascii="Arial" w:hAnsi="Arial" w:cs="Arial"/>
          <w:sz w:val="24"/>
          <w:szCs w:val="24"/>
        </w:rPr>
        <w:t xml:space="preserve"> or </w:t>
      </w:r>
      <w:r w:rsidR="00277FFC">
        <w:rPr>
          <w:rFonts w:ascii="Arial" w:hAnsi="Arial" w:cs="Arial"/>
          <w:sz w:val="24"/>
          <w:szCs w:val="24"/>
        </w:rPr>
        <w:t>techniques</w:t>
      </w:r>
      <w:r w:rsidR="00E956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that they are not lead</w:t>
      </w:r>
      <w:r w:rsidR="00E95668">
        <w:rPr>
          <w:rFonts w:ascii="Arial" w:hAnsi="Arial" w:cs="Arial"/>
          <w:sz w:val="24"/>
          <w:szCs w:val="24"/>
        </w:rPr>
        <w:t xml:space="preserve"> or galvanized </w:t>
      </w:r>
      <w:r w:rsidR="0073473A">
        <w:rPr>
          <w:rFonts w:ascii="Arial" w:hAnsi="Arial" w:cs="Arial"/>
          <w:sz w:val="24"/>
          <w:szCs w:val="24"/>
        </w:rPr>
        <w:t xml:space="preserve">service lines </w:t>
      </w:r>
      <w:r w:rsidR="00E95668">
        <w:rPr>
          <w:rFonts w:ascii="Arial" w:hAnsi="Arial" w:cs="Arial"/>
          <w:sz w:val="24"/>
          <w:szCs w:val="24"/>
        </w:rPr>
        <w:t>requiring replacement</w:t>
      </w:r>
      <w:r w:rsidR="001A4CD8">
        <w:rPr>
          <w:rFonts w:ascii="Arial" w:hAnsi="Arial" w:cs="Arial"/>
          <w:sz w:val="24"/>
          <w:szCs w:val="24"/>
        </w:rPr>
        <w:t>. The water system may classify the actual material of the service line (i.e., plastic or copper) as an alternative to classifying it as “non-lead”.</w:t>
      </w:r>
      <w:r w:rsidR="00E92D2E">
        <w:rPr>
          <w:rFonts w:ascii="Arial" w:hAnsi="Arial" w:cs="Arial"/>
          <w:sz w:val="24"/>
          <w:szCs w:val="24"/>
        </w:rPr>
        <w:t xml:space="preserve"> </w:t>
      </w:r>
    </w:p>
    <w:p w14:paraId="2C36C3FB" w14:textId="75A80360" w:rsidR="00277FFC" w:rsidRPr="00B12E17" w:rsidRDefault="00277FFC" w:rsidP="000740C7">
      <w:pPr>
        <w:spacing w:after="0"/>
        <w:rPr>
          <w:rFonts w:ascii="Arial" w:hAnsi="Arial" w:cs="Arial"/>
          <w:b/>
          <w:sz w:val="24"/>
          <w:szCs w:val="24"/>
        </w:rPr>
      </w:pPr>
      <w:r w:rsidRPr="00B12E17">
        <w:rPr>
          <w:rFonts w:ascii="Arial" w:hAnsi="Arial" w:cs="Arial"/>
          <w:b/>
          <w:sz w:val="24"/>
          <w:szCs w:val="24"/>
        </w:rPr>
        <w:t>What is</w:t>
      </w:r>
      <w:r w:rsidR="00D61E9B">
        <w:rPr>
          <w:rFonts w:ascii="Arial" w:hAnsi="Arial" w:cs="Arial"/>
          <w:b/>
          <w:sz w:val="24"/>
          <w:szCs w:val="24"/>
        </w:rPr>
        <w:t xml:space="preserve"> a </w:t>
      </w:r>
      <w:r w:rsidRPr="00B12E17">
        <w:rPr>
          <w:rFonts w:ascii="Arial" w:hAnsi="Arial" w:cs="Arial"/>
          <w:b/>
          <w:sz w:val="24"/>
          <w:szCs w:val="24"/>
        </w:rPr>
        <w:t>galvanized requiring replacement</w:t>
      </w:r>
      <w:r w:rsidR="00D61E9B">
        <w:rPr>
          <w:rFonts w:ascii="Arial" w:hAnsi="Arial" w:cs="Arial"/>
          <w:b/>
          <w:sz w:val="24"/>
          <w:szCs w:val="24"/>
        </w:rPr>
        <w:t xml:space="preserve"> service line</w:t>
      </w:r>
      <w:r w:rsidRPr="00B12E17">
        <w:rPr>
          <w:rFonts w:ascii="Arial" w:hAnsi="Arial" w:cs="Arial"/>
          <w:b/>
          <w:sz w:val="24"/>
          <w:szCs w:val="24"/>
        </w:rPr>
        <w:t>?</w:t>
      </w:r>
    </w:p>
    <w:p w14:paraId="63F6BD29" w14:textId="13A45D1A" w:rsidR="00277FFC" w:rsidRPr="00065D9A" w:rsidRDefault="00065D9A" w:rsidP="004248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galvanized service line requiring replacement is any galvanized service main that has </w:t>
      </w:r>
      <w:r>
        <w:rPr>
          <w:rFonts w:ascii="Arial" w:hAnsi="Arial" w:cs="Arial"/>
          <w:sz w:val="24"/>
          <w:szCs w:val="24"/>
          <w:u w:val="single"/>
        </w:rPr>
        <w:t>ever</w:t>
      </w:r>
      <w:r>
        <w:rPr>
          <w:rFonts w:ascii="Arial" w:hAnsi="Arial" w:cs="Arial"/>
          <w:sz w:val="24"/>
          <w:szCs w:val="24"/>
        </w:rPr>
        <w:t xml:space="preserve"> been downstream of a lead service line, or of an unknown material service line.</w:t>
      </w:r>
      <w:r w:rsidR="0092647F">
        <w:rPr>
          <w:rFonts w:ascii="Arial" w:hAnsi="Arial" w:cs="Arial"/>
          <w:sz w:val="24"/>
          <w:szCs w:val="24"/>
        </w:rPr>
        <w:t xml:space="preserve">  These lines </w:t>
      </w:r>
      <w:r w:rsidR="001D2006">
        <w:rPr>
          <w:rFonts w:ascii="Arial" w:hAnsi="Arial" w:cs="Arial"/>
          <w:sz w:val="24"/>
          <w:szCs w:val="24"/>
        </w:rPr>
        <w:t>are classified as galvanized requiring replacement</w:t>
      </w:r>
      <w:r w:rsidR="0092647F">
        <w:rPr>
          <w:rFonts w:ascii="Arial" w:hAnsi="Arial" w:cs="Arial"/>
          <w:sz w:val="24"/>
          <w:szCs w:val="24"/>
        </w:rPr>
        <w:t xml:space="preserve"> because they have demonstrated the ability to absorb lead from a lead service </w:t>
      </w:r>
      <w:r w:rsidR="00DC743E">
        <w:rPr>
          <w:rFonts w:ascii="Arial" w:hAnsi="Arial" w:cs="Arial"/>
          <w:sz w:val="24"/>
          <w:szCs w:val="24"/>
        </w:rPr>
        <w:t>line and</w:t>
      </w:r>
      <w:r w:rsidR="0092647F">
        <w:rPr>
          <w:rFonts w:ascii="Arial" w:hAnsi="Arial" w:cs="Arial"/>
          <w:sz w:val="24"/>
          <w:szCs w:val="24"/>
        </w:rPr>
        <w:t xml:space="preserve"> release it in the future.  Replacing these lines will reduce a source of lead to the customers.</w:t>
      </w:r>
    </w:p>
    <w:p w14:paraId="5087780F" w14:textId="3A3C9638" w:rsidR="007174D2" w:rsidRDefault="007174D2" w:rsidP="000740C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What do I do with the LSL inventory?</w:t>
      </w:r>
    </w:p>
    <w:p w14:paraId="5CF9C9E6" w14:textId="18771711" w:rsidR="00AB2887" w:rsidRDefault="00FF6F36" w:rsidP="004248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community and </w:t>
      </w:r>
      <w:r w:rsidR="00533563">
        <w:rPr>
          <w:rFonts w:ascii="Arial" w:hAnsi="Arial" w:cs="Arial"/>
          <w:sz w:val="24"/>
          <w:szCs w:val="24"/>
        </w:rPr>
        <w:t>NTNC</w:t>
      </w:r>
      <w:r>
        <w:rPr>
          <w:rFonts w:ascii="Arial" w:hAnsi="Arial" w:cs="Arial"/>
          <w:sz w:val="24"/>
          <w:szCs w:val="24"/>
        </w:rPr>
        <w:t xml:space="preserve"> waterworks must submit </w:t>
      </w:r>
      <w:r w:rsidR="00A9746D">
        <w:rPr>
          <w:rFonts w:ascii="Arial" w:hAnsi="Arial" w:cs="Arial"/>
          <w:sz w:val="24"/>
          <w:szCs w:val="24"/>
        </w:rPr>
        <w:t>a lead service line inventory to ODW</w:t>
      </w:r>
      <w:r w:rsidR="008669C3">
        <w:rPr>
          <w:rFonts w:ascii="Arial" w:hAnsi="Arial" w:cs="Arial"/>
          <w:sz w:val="24"/>
          <w:szCs w:val="24"/>
        </w:rPr>
        <w:t xml:space="preserve">. </w:t>
      </w:r>
      <w:r w:rsidR="00A9746D">
        <w:rPr>
          <w:rFonts w:ascii="Arial" w:hAnsi="Arial" w:cs="Arial"/>
          <w:sz w:val="24"/>
          <w:szCs w:val="24"/>
        </w:rPr>
        <w:t xml:space="preserve">The LSL inventory must be </w:t>
      </w:r>
      <w:r w:rsidR="00277FFC">
        <w:rPr>
          <w:rFonts w:ascii="Arial" w:hAnsi="Arial" w:cs="Arial"/>
          <w:sz w:val="24"/>
          <w:szCs w:val="24"/>
        </w:rPr>
        <w:t>submitted to</w:t>
      </w:r>
      <w:r w:rsidR="00A9746D">
        <w:rPr>
          <w:rFonts w:ascii="Arial" w:hAnsi="Arial" w:cs="Arial"/>
          <w:sz w:val="24"/>
          <w:szCs w:val="24"/>
        </w:rPr>
        <w:t xml:space="preserve"> ODW by the compliance date. </w:t>
      </w:r>
      <w:r w:rsidR="00AB2887">
        <w:rPr>
          <w:rFonts w:ascii="Arial" w:hAnsi="Arial" w:cs="Arial"/>
          <w:sz w:val="24"/>
          <w:szCs w:val="24"/>
        </w:rPr>
        <w:t xml:space="preserve">Further information including submittal instructions will be </w:t>
      </w:r>
      <w:r w:rsidR="00830C03">
        <w:rPr>
          <w:rFonts w:ascii="Arial" w:hAnsi="Arial" w:cs="Arial"/>
          <w:sz w:val="24"/>
          <w:szCs w:val="24"/>
        </w:rPr>
        <w:t xml:space="preserve">posted on the LCRR web page: </w:t>
      </w:r>
      <w:r w:rsidR="00830C03" w:rsidRPr="00830C03">
        <w:rPr>
          <w:rFonts w:ascii="Arial" w:hAnsi="Arial" w:cs="Arial"/>
          <w:sz w:val="24"/>
          <w:szCs w:val="24"/>
        </w:rPr>
        <w:t>https://www.vdh.virginia.gov/drinking-water/lcrr-guidance/</w:t>
      </w:r>
      <w:r w:rsidR="00AB2887">
        <w:rPr>
          <w:rFonts w:ascii="Arial" w:hAnsi="Arial" w:cs="Arial"/>
          <w:sz w:val="24"/>
          <w:szCs w:val="24"/>
        </w:rPr>
        <w:t xml:space="preserve">. </w:t>
      </w:r>
    </w:p>
    <w:p w14:paraId="415BC194" w14:textId="4C9F71DF" w:rsidR="00FF6F36" w:rsidRDefault="004E51F0" w:rsidP="004248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</w:t>
      </w:r>
      <w:r w:rsidR="000740C7">
        <w:rPr>
          <w:rFonts w:ascii="Arial" w:hAnsi="Arial" w:cs="Arial"/>
          <w:sz w:val="24"/>
          <w:szCs w:val="24"/>
        </w:rPr>
        <w:t>waterworks</w:t>
      </w:r>
      <w:r>
        <w:rPr>
          <w:rFonts w:ascii="Arial" w:hAnsi="Arial" w:cs="Arial"/>
          <w:sz w:val="24"/>
          <w:szCs w:val="24"/>
        </w:rPr>
        <w:t xml:space="preserve"> must make their LSL inventories available to the public. In addition, a</w:t>
      </w:r>
      <w:r w:rsidR="008669C3">
        <w:rPr>
          <w:rFonts w:ascii="Arial" w:hAnsi="Arial" w:cs="Arial"/>
          <w:sz w:val="24"/>
          <w:szCs w:val="24"/>
        </w:rPr>
        <w:t xml:space="preserve">ll systems serving greater than 50,000 people must post their </w:t>
      </w:r>
      <w:r w:rsidR="006541C0">
        <w:rPr>
          <w:rFonts w:ascii="Arial" w:hAnsi="Arial" w:cs="Arial"/>
          <w:sz w:val="24"/>
          <w:szCs w:val="24"/>
        </w:rPr>
        <w:t xml:space="preserve">LSL </w:t>
      </w:r>
      <w:r w:rsidR="008669C3">
        <w:rPr>
          <w:rFonts w:ascii="Arial" w:hAnsi="Arial" w:cs="Arial"/>
          <w:sz w:val="24"/>
          <w:szCs w:val="24"/>
        </w:rPr>
        <w:t xml:space="preserve">inventory on the internet. </w:t>
      </w:r>
    </w:p>
    <w:sectPr w:rsidR="00FF6F36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8C28F" w14:textId="77777777" w:rsidR="00445A16" w:rsidRDefault="00445A16" w:rsidP="0087383F">
      <w:pPr>
        <w:spacing w:after="0" w:line="240" w:lineRule="auto"/>
      </w:pPr>
      <w:r>
        <w:separator/>
      </w:r>
    </w:p>
  </w:endnote>
  <w:endnote w:type="continuationSeparator" w:id="0">
    <w:p w14:paraId="196E521E" w14:textId="77777777" w:rsidR="00445A16" w:rsidRDefault="00445A16" w:rsidP="0087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9FE58" w14:textId="5D95D84A" w:rsidR="0087383F" w:rsidRDefault="00891B7F" w:rsidP="00891B7F">
    <w:pPr>
      <w:pStyle w:val="Footer"/>
      <w:jc w:val="center"/>
    </w:pPr>
    <w:r>
      <w:t>Version 1.0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  <w:t>Issued 6/6/23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C14D3" w14:textId="77777777" w:rsidR="00445A16" w:rsidRDefault="00445A16" w:rsidP="0087383F">
      <w:pPr>
        <w:spacing w:after="0" w:line="240" w:lineRule="auto"/>
      </w:pPr>
      <w:r>
        <w:separator/>
      </w:r>
    </w:p>
  </w:footnote>
  <w:footnote w:type="continuationSeparator" w:id="0">
    <w:p w14:paraId="130CA43C" w14:textId="77777777" w:rsidR="00445A16" w:rsidRDefault="00445A16" w:rsidP="0087383F">
      <w:pPr>
        <w:spacing w:after="0" w:line="240" w:lineRule="auto"/>
      </w:pPr>
      <w:r>
        <w:continuationSeparator/>
      </w:r>
    </w:p>
  </w:footnote>
  <w:footnote w:id="1">
    <w:p w14:paraId="09664F33" w14:textId="3C1790BC" w:rsidR="00830C03" w:rsidRPr="00830C03" w:rsidRDefault="00830C0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 xml:space="preserve">Guidance for Developing and Maintaining a Service Line Inventory </w:t>
      </w:r>
      <w:r>
        <w:t>(USEPA, 2022), Page 2-9.</w:t>
      </w:r>
    </w:p>
  </w:footnote>
  <w:footnote w:id="2">
    <w:p w14:paraId="15371CAC" w14:textId="662B5164" w:rsidR="00830C03" w:rsidRPr="00830C03" w:rsidRDefault="00830C03">
      <w:pPr>
        <w:pStyle w:val="FootnoteText"/>
        <w:rPr>
          <w:i/>
          <w:iCs/>
        </w:rPr>
      </w:pPr>
      <w:r>
        <w:rPr>
          <w:rStyle w:val="FootnoteReference"/>
        </w:rPr>
        <w:footnoteRef/>
      </w:r>
      <w:r>
        <w:t xml:space="preserve"> </w:t>
      </w:r>
      <w:r w:rsidRPr="00830C03">
        <w:rPr>
          <w:i/>
          <w:iCs/>
        </w:rPr>
        <w:t>Seventh Drinking Water Infrastructure Needs Survey and Assessment: Lead Service Line Inventory for America’s Water Infrastructure Act – State Survey Instruction</w:t>
      </w:r>
      <w:r w:rsidRPr="00830C03">
        <w:t xml:space="preserve"> (USEPA, 2021).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E433A"/>
    <w:multiLevelType w:val="hybridMultilevel"/>
    <w:tmpl w:val="7DF48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56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E8F"/>
    <w:rsid w:val="00005264"/>
    <w:rsid w:val="000239DE"/>
    <w:rsid w:val="00062714"/>
    <w:rsid w:val="00065D9A"/>
    <w:rsid w:val="000740C7"/>
    <w:rsid w:val="00152331"/>
    <w:rsid w:val="00153603"/>
    <w:rsid w:val="0016772B"/>
    <w:rsid w:val="001A4CD8"/>
    <w:rsid w:val="001D2006"/>
    <w:rsid w:val="001D7BFB"/>
    <w:rsid w:val="00207B0A"/>
    <w:rsid w:val="002124A0"/>
    <w:rsid w:val="00233D44"/>
    <w:rsid w:val="00277FFC"/>
    <w:rsid w:val="0030408C"/>
    <w:rsid w:val="003A04B2"/>
    <w:rsid w:val="00424845"/>
    <w:rsid w:val="00445A16"/>
    <w:rsid w:val="0047584A"/>
    <w:rsid w:val="004801AD"/>
    <w:rsid w:val="004E51F0"/>
    <w:rsid w:val="00533563"/>
    <w:rsid w:val="005A6F4A"/>
    <w:rsid w:val="005B5C13"/>
    <w:rsid w:val="00644684"/>
    <w:rsid w:val="00651C8C"/>
    <w:rsid w:val="006541C0"/>
    <w:rsid w:val="006E090B"/>
    <w:rsid w:val="006E7E7C"/>
    <w:rsid w:val="006F0825"/>
    <w:rsid w:val="007174D2"/>
    <w:rsid w:val="00730FC9"/>
    <w:rsid w:val="0073473A"/>
    <w:rsid w:val="007C41AE"/>
    <w:rsid w:val="007D3E86"/>
    <w:rsid w:val="007D76A2"/>
    <w:rsid w:val="00807A51"/>
    <w:rsid w:val="008259F3"/>
    <w:rsid w:val="00830C03"/>
    <w:rsid w:val="00833BEB"/>
    <w:rsid w:val="00855DA2"/>
    <w:rsid w:val="008669C3"/>
    <w:rsid w:val="0087383F"/>
    <w:rsid w:val="00877B6F"/>
    <w:rsid w:val="00881CD3"/>
    <w:rsid w:val="00891B17"/>
    <w:rsid w:val="00891B7F"/>
    <w:rsid w:val="009218A3"/>
    <w:rsid w:val="0092647F"/>
    <w:rsid w:val="009653F5"/>
    <w:rsid w:val="009932F3"/>
    <w:rsid w:val="009946DF"/>
    <w:rsid w:val="009A1280"/>
    <w:rsid w:val="009B264D"/>
    <w:rsid w:val="00A905E5"/>
    <w:rsid w:val="00A9746D"/>
    <w:rsid w:val="00AB2887"/>
    <w:rsid w:val="00AC3C85"/>
    <w:rsid w:val="00AD3235"/>
    <w:rsid w:val="00AE5704"/>
    <w:rsid w:val="00B12945"/>
    <w:rsid w:val="00B12E17"/>
    <w:rsid w:val="00B27E8F"/>
    <w:rsid w:val="00B63115"/>
    <w:rsid w:val="00B64C0B"/>
    <w:rsid w:val="00C02499"/>
    <w:rsid w:val="00C5414B"/>
    <w:rsid w:val="00CB7171"/>
    <w:rsid w:val="00D1289C"/>
    <w:rsid w:val="00D166F1"/>
    <w:rsid w:val="00D61E9B"/>
    <w:rsid w:val="00D63F47"/>
    <w:rsid w:val="00D86EA0"/>
    <w:rsid w:val="00D9171C"/>
    <w:rsid w:val="00DB223E"/>
    <w:rsid w:val="00DC743E"/>
    <w:rsid w:val="00E0750A"/>
    <w:rsid w:val="00E140A7"/>
    <w:rsid w:val="00E215E6"/>
    <w:rsid w:val="00E57F78"/>
    <w:rsid w:val="00E854CC"/>
    <w:rsid w:val="00E85D5B"/>
    <w:rsid w:val="00E92D2E"/>
    <w:rsid w:val="00E95668"/>
    <w:rsid w:val="00EA5600"/>
    <w:rsid w:val="00EB4F30"/>
    <w:rsid w:val="00ED0A76"/>
    <w:rsid w:val="00F74BA3"/>
    <w:rsid w:val="00FB33E8"/>
    <w:rsid w:val="00FD37C0"/>
    <w:rsid w:val="00FF6F36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19012"/>
  <w15:chartTrackingRefBased/>
  <w15:docId w15:val="{59E52D8A-3A95-4EC9-A0A6-CBFD9F59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A76"/>
    <w:pPr>
      <w:jc w:val="center"/>
      <w:outlineLvl w:val="0"/>
    </w:pPr>
    <w:rPr>
      <w:rFonts w:ascii="Arial" w:hAnsi="Arial" w:cs="Arial"/>
      <w:b/>
      <w:noProof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E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7B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B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B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B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B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BF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932F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3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83F"/>
  </w:style>
  <w:style w:type="paragraph" w:styleId="Footer">
    <w:name w:val="footer"/>
    <w:basedOn w:val="Normal"/>
    <w:link w:val="FooterChar"/>
    <w:uiPriority w:val="99"/>
    <w:unhideWhenUsed/>
    <w:rsid w:val="00873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83F"/>
  </w:style>
  <w:style w:type="paragraph" w:styleId="Revision">
    <w:name w:val="Revision"/>
    <w:hidden/>
    <w:uiPriority w:val="99"/>
    <w:semiHidden/>
    <w:rsid w:val="005A6F4A"/>
    <w:pPr>
      <w:spacing w:after="0" w:line="240" w:lineRule="auto"/>
    </w:pPr>
  </w:style>
  <w:style w:type="paragraph" w:customStyle="1" w:styleId="Default">
    <w:name w:val="Default"/>
    <w:rsid w:val="00855D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E57F7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0C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0C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0C0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D0A76"/>
    <w:rPr>
      <w:rFonts w:ascii="Arial" w:hAnsi="Arial" w:cs="Arial"/>
      <w:b/>
      <w:noProof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LSL Service Line Inventory FAQs</vt:lpstr>
    </vt:vector>
  </TitlesOfParts>
  <Company>VDH ODW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LSL Service Line Inventory FAQs</dc:title>
  <dc:subject>Lead Service Line Inventory</dc:subject>
  <dc:creator>Edelman, Robert (VDH)</dc:creator>
  <cp:keywords>LCR LCRR Lead Service Line Inventory</cp:keywords>
  <dc:description/>
  <cp:lastModifiedBy>Yein, Sean (VDH)</cp:lastModifiedBy>
  <cp:revision>9</cp:revision>
  <dcterms:created xsi:type="dcterms:W3CDTF">2023-05-10T19:23:00Z</dcterms:created>
  <dcterms:modified xsi:type="dcterms:W3CDTF">2023-09-23T16:11:00Z</dcterms:modified>
  <cp:category>LCRR LCR</cp:category>
  <cp:contentStatus>Final</cp:contentStatus>
</cp:coreProperties>
</file>