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9978" w14:textId="565DD8CE" w:rsidR="001B3BAF" w:rsidRPr="008A3BC4" w:rsidRDefault="001B3BAF" w:rsidP="001B3BAF">
      <w:pPr>
        <w:widowControl w:val="0"/>
        <w:autoSpaceDE w:val="0"/>
        <w:autoSpaceDN w:val="0"/>
        <w:adjustRightInd w:val="0"/>
        <w:jc w:val="center"/>
        <w:rPr>
          <w:rFonts w:ascii="Arial" w:hAnsi="Arial" w:cs="Arial"/>
          <w:sz w:val="18"/>
          <w:szCs w:val="18"/>
        </w:rPr>
      </w:pPr>
    </w:p>
    <w:p w14:paraId="16BF0E92" w14:textId="61145753" w:rsidR="008E6365" w:rsidRPr="002F4545" w:rsidRDefault="002F4545" w:rsidP="002F4545">
      <w:pPr>
        <w:tabs>
          <w:tab w:val="center" w:pos="4680"/>
        </w:tabs>
        <w:jc w:val="center"/>
      </w:pPr>
      <w:r w:rsidRPr="002F4545">
        <w:t>WATER SYSTEM LETTERHEAD</w:t>
      </w:r>
    </w:p>
    <w:p w14:paraId="5CE1399F" w14:textId="77777777" w:rsidR="002F4545" w:rsidRDefault="002F4545" w:rsidP="002F4545">
      <w:pPr>
        <w:tabs>
          <w:tab w:val="center" w:pos="4680"/>
        </w:tabs>
        <w:jc w:val="center"/>
        <w:rPr>
          <w:sz w:val="22"/>
          <w:szCs w:val="22"/>
        </w:rPr>
      </w:pPr>
    </w:p>
    <w:p w14:paraId="3A9EAABE" w14:textId="77777777" w:rsidR="008E6365" w:rsidRDefault="008E6365" w:rsidP="008E6365">
      <w:pPr>
        <w:tabs>
          <w:tab w:val="center" w:pos="4680"/>
        </w:tabs>
        <w:rPr>
          <w:sz w:val="22"/>
          <w:szCs w:val="22"/>
        </w:rPr>
      </w:pPr>
    </w:p>
    <w:p w14:paraId="01233A11" w14:textId="0091014E" w:rsidR="00E54FF5" w:rsidRPr="00AC0D00" w:rsidRDefault="004E278F" w:rsidP="00E54FF5">
      <w:pPr>
        <w:tabs>
          <w:tab w:val="left" w:pos="360"/>
        </w:tabs>
        <w:jc w:val="center"/>
      </w:pPr>
      <w:r>
        <w:t>Date</w:t>
      </w:r>
      <w:r w:rsidR="00E54FF5" w:rsidRPr="00AC0D00">
        <w:t xml:space="preserve">, </w:t>
      </w:r>
      <w:r>
        <w:t>Year</w:t>
      </w:r>
    </w:p>
    <w:p w14:paraId="48DCD08A" w14:textId="77777777" w:rsidR="00E54FF5" w:rsidRDefault="00E54FF5" w:rsidP="00E54FF5">
      <w:pPr>
        <w:tabs>
          <w:tab w:val="left" w:pos="4680"/>
          <w:tab w:val="left" w:pos="5040"/>
          <w:tab w:val="left" w:pos="5760"/>
        </w:tabs>
      </w:pPr>
    </w:p>
    <w:p w14:paraId="5D0E6978" w14:textId="77777777" w:rsidR="00E54FF5" w:rsidRDefault="00E54FF5" w:rsidP="00E54FF5">
      <w:pPr>
        <w:tabs>
          <w:tab w:val="left" w:pos="4680"/>
          <w:tab w:val="left" w:pos="5040"/>
          <w:tab w:val="left" w:pos="5760"/>
        </w:tabs>
      </w:pPr>
    </w:p>
    <w:p w14:paraId="39DD776D" w14:textId="526AA687" w:rsidR="00E54FF5" w:rsidRDefault="00E54FF5" w:rsidP="00E54FF5">
      <w:pPr>
        <w:tabs>
          <w:tab w:val="left" w:pos="4680"/>
          <w:tab w:val="left" w:pos="5040"/>
          <w:tab w:val="left" w:pos="5760"/>
        </w:tabs>
      </w:pPr>
      <w:r>
        <w:tab/>
        <w:t>Subject: City or County</w:t>
      </w:r>
    </w:p>
    <w:p w14:paraId="04B5F013" w14:textId="7E768F20" w:rsidR="00E54FF5" w:rsidRDefault="00E54FF5" w:rsidP="00E54FF5">
      <w:pPr>
        <w:tabs>
          <w:tab w:val="left" w:pos="4680"/>
          <w:tab w:val="left" w:pos="5040"/>
          <w:tab w:val="left" w:pos="5760"/>
        </w:tabs>
      </w:pPr>
      <w:r>
        <w:tab/>
        <w:t>Water – Water System</w:t>
      </w:r>
    </w:p>
    <w:p w14:paraId="71C4489D" w14:textId="272F3700" w:rsidR="00E54FF5" w:rsidRDefault="00E54FF5" w:rsidP="00E54FF5">
      <w:pPr>
        <w:tabs>
          <w:tab w:val="left" w:pos="4680"/>
          <w:tab w:val="left" w:pos="5040"/>
          <w:tab w:val="left" w:pos="5760"/>
        </w:tabs>
      </w:pPr>
      <w:r>
        <w:tab/>
        <w:t>Project# - BIL-XXL-22</w:t>
      </w:r>
    </w:p>
    <w:p w14:paraId="4FF78778" w14:textId="77777777" w:rsidR="00E54FF5" w:rsidRDefault="00E54FF5" w:rsidP="00E54FF5">
      <w:pPr>
        <w:tabs>
          <w:tab w:val="left" w:pos="4680"/>
          <w:tab w:val="left" w:pos="5040"/>
          <w:tab w:val="left" w:pos="5760"/>
        </w:tabs>
      </w:pPr>
    </w:p>
    <w:p w14:paraId="021040A2" w14:textId="77777777" w:rsidR="00E54FF5" w:rsidRDefault="00E54FF5" w:rsidP="00E54FF5">
      <w:pPr>
        <w:tabs>
          <w:tab w:val="left" w:pos="4680"/>
          <w:tab w:val="left" w:pos="5040"/>
          <w:tab w:val="left" w:pos="5760"/>
        </w:tabs>
      </w:pPr>
    </w:p>
    <w:p w14:paraId="69AB7652" w14:textId="0E21F92B" w:rsidR="00CE194D" w:rsidRPr="00CE194D" w:rsidRDefault="00CE194D" w:rsidP="00E54FF5">
      <w:pPr>
        <w:tabs>
          <w:tab w:val="left" w:pos="4680"/>
          <w:tab w:val="left" w:pos="5040"/>
          <w:tab w:val="left" w:pos="5760"/>
        </w:tabs>
        <w:rPr>
          <w:i/>
          <w:iCs/>
        </w:rPr>
      </w:pPr>
      <w:r w:rsidRPr="00CE194D">
        <w:rPr>
          <w:i/>
          <w:iCs/>
        </w:rPr>
        <w:t>Sent via Electronic Email</w:t>
      </w:r>
    </w:p>
    <w:p w14:paraId="4891F400" w14:textId="77777777" w:rsidR="00CE194D" w:rsidRDefault="00CE194D" w:rsidP="00E54FF5">
      <w:pPr>
        <w:tabs>
          <w:tab w:val="left" w:pos="4680"/>
          <w:tab w:val="left" w:pos="5040"/>
          <w:tab w:val="left" w:pos="5760"/>
        </w:tabs>
      </w:pPr>
    </w:p>
    <w:p w14:paraId="5F1FA9DE" w14:textId="71E7115C" w:rsidR="00E54FF5" w:rsidRPr="00AC0D00" w:rsidRDefault="00E54FF5" w:rsidP="00E54FF5">
      <w:pPr>
        <w:tabs>
          <w:tab w:val="left" w:pos="4680"/>
          <w:tab w:val="left" w:pos="5040"/>
          <w:tab w:val="left" w:pos="5760"/>
        </w:tabs>
      </w:pPr>
      <w:r>
        <w:t xml:space="preserve">(Name) </w:t>
      </w:r>
      <w:r w:rsidRPr="00AC0D00">
        <w:t>District Engineer</w:t>
      </w:r>
    </w:p>
    <w:p w14:paraId="58FBF4CD" w14:textId="7BC85460" w:rsidR="00A82CEF" w:rsidRDefault="00E54FF5" w:rsidP="00E54FF5">
      <w:pPr>
        <w:tabs>
          <w:tab w:val="left" w:pos="4680"/>
          <w:tab w:val="left" w:pos="5040"/>
          <w:tab w:val="left" w:pos="5760"/>
        </w:tabs>
      </w:pPr>
      <w:r w:rsidRPr="00AC0D00">
        <w:t>V</w:t>
      </w:r>
      <w:r w:rsidR="00A82CEF">
        <w:t>irginia Department of Health (VDH)</w:t>
      </w:r>
    </w:p>
    <w:p w14:paraId="5CC48549" w14:textId="3BA47589" w:rsidR="00E54FF5" w:rsidRPr="00AC0D00" w:rsidRDefault="00E54FF5" w:rsidP="00E54FF5">
      <w:pPr>
        <w:tabs>
          <w:tab w:val="left" w:pos="4680"/>
          <w:tab w:val="left" w:pos="5040"/>
          <w:tab w:val="left" w:pos="5760"/>
        </w:tabs>
      </w:pPr>
      <w:r w:rsidRPr="00AC0D00">
        <w:t>Office of Drinking Water</w:t>
      </w:r>
      <w:r w:rsidR="00A82CEF">
        <w:t xml:space="preserve"> (OW)</w:t>
      </w:r>
    </w:p>
    <w:p w14:paraId="23100065" w14:textId="2DEB41FB" w:rsidR="00E54FF5" w:rsidRDefault="00E54FF5" w:rsidP="00E54FF5">
      <w:pPr>
        <w:tabs>
          <w:tab w:val="left" w:pos="4680"/>
          <w:tab w:val="left" w:pos="5040"/>
          <w:tab w:val="left" w:pos="5760"/>
        </w:tabs>
      </w:pPr>
      <w:r>
        <w:t>(Name) Field Office</w:t>
      </w:r>
    </w:p>
    <w:p w14:paraId="72B87D06" w14:textId="440894E9" w:rsidR="00A82CEF" w:rsidRPr="00AC0D00" w:rsidRDefault="00A82CEF" w:rsidP="00E54FF5">
      <w:pPr>
        <w:tabs>
          <w:tab w:val="left" w:pos="4680"/>
          <w:tab w:val="left" w:pos="5040"/>
          <w:tab w:val="left" w:pos="5760"/>
        </w:tabs>
      </w:pPr>
      <w:r>
        <w:t>Address</w:t>
      </w:r>
    </w:p>
    <w:p w14:paraId="37EBF9FC" w14:textId="77777777" w:rsidR="00E54FF5" w:rsidRPr="00AC0D00" w:rsidRDefault="00E54FF5" w:rsidP="00E54FF5">
      <w:pPr>
        <w:tabs>
          <w:tab w:val="left" w:pos="720"/>
          <w:tab w:val="left" w:pos="5040"/>
          <w:tab w:val="left" w:pos="5760"/>
        </w:tabs>
      </w:pPr>
    </w:p>
    <w:p w14:paraId="6DE9BA4C" w14:textId="77777777" w:rsidR="00E54FF5" w:rsidRDefault="00E54FF5" w:rsidP="00E54FF5">
      <w:pPr>
        <w:tabs>
          <w:tab w:val="left" w:pos="720"/>
          <w:tab w:val="left" w:pos="5040"/>
          <w:tab w:val="left" w:pos="5760"/>
        </w:tabs>
      </w:pPr>
      <w:r w:rsidRPr="00AC0D00">
        <w:t xml:space="preserve">Re:  </w:t>
      </w:r>
      <w:r w:rsidRPr="00AC0D00">
        <w:tab/>
      </w:r>
      <w:r>
        <w:t>FY 2022 Bipartisan Infrastructure Law (BIL)</w:t>
      </w:r>
    </w:p>
    <w:p w14:paraId="72E20379" w14:textId="216BF142" w:rsidR="00E54FF5" w:rsidRPr="00AC0D00" w:rsidRDefault="00E54FF5" w:rsidP="00E54FF5">
      <w:pPr>
        <w:tabs>
          <w:tab w:val="left" w:pos="720"/>
          <w:tab w:val="left" w:pos="5040"/>
          <w:tab w:val="left" w:pos="5760"/>
        </w:tabs>
      </w:pPr>
      <w:r>
        <w:tab/>
      </w:r>
      <w:r w:rsidRPr="00AC0D00">
        <w:t>Lead Service Line Inventory</w:t>
      </w:r>
      <w:r w:rsidR="004E278F">
        <w:t xml:space="preserve"> Methods</w:t>
      </w:r>
      <w:r w:rsidRPr="00AC0D00">
        <w:t xml:space="preserve"> </w:t>
      </w:r>
      <w:r w:rsidR="004E278F">
        <w:t>–</w:t>
      </w:r>
      <w:r>
        <w:t xml:space="preserve"> </w:t>
      </w:r>
      <w:r w:rsidR="004E278F">
        <w:t>Approval Request</w:t>
      </w:r>
    </w:p>
    <w:p w14:paraId="63AC2B5F" w14:textId="77777777" w:rsidR="00E54FF5" w:rsidRPr="00AC0D00" w:rsidRDefault="00E54FF5" w:rsidP="00E54FF5">
      <w:pPr>
        <w:tabs>
          <w:tab w:val="left" w:pos="-1080"/>
          <w:tab w:val="left" w:pos="0"/>
          <w:tab w:val="left" w:pos="360"/>
          <w:tab w:val="left" w:pos="720"/>
          <w:tab w:val="left" w:pos="1080"/>
          <w:tab w:val="left" w:pos="2160"/>
        </w:tabs>
        <w:ind w:right="288"/>
      </w:pPr>
    </w:p>
    <w:p w14:paraId="5F08C370" w14:textId="3D77F8D1" w:rsidR="00E54FF5" w:rsidRPr="00AC0D00" w:rsidRDefault="00E54FF5" w:rsidP="00E54FF5">
      <w:pPr>
        <w:tabs>
          <w:tab w:val="left" w:pos="720"/>
          <w:tab w:val="left" w:pos="5040"/>
          <w:tab w:val="left" w:pos="5760"/>
        </w:tabs>
      </w:pPr>
      <w:r w:rsidRPr="00AC0D00">
        <w:t>Dear Mr.</w:t>
      </w:r>
      <w:r w:rsidR="004E278F">
        <w:t>/Ms.</w:t>
      </w:r>
      <w:r w:rsidRPr="00AC0D00">
        <w:t>:</w:t>
      </w:r>
    </w:p>
    <w:p w14:paraId="6E3E770D" w14:textId="77777777" w:rsidR="00E54FF5" w:rsidRPr="00AC0D00" w:rsidRDefault="00E54FF5" w:rsidP="00E54FF5">
      <w:pPr>
        <w:tabs>
          <w:tab w:val="left" w:pos="720"/>
          <w:tab w:val="left" w:pos="5040"/>
          <w:tab w:val="left" w:pos="5760"/>
        </w:tabs>
      </w:pPr>
    </w:p>
    <w:p w14:paraId="6D6A25FB" w14:textId="52FD33EF" w:rsidR="00E54FF5" w:rsidRPr="00AC0D00" w:rsidRDefault="00E54FF5" w:rsidP="00E54FF5">
      <w:pPr>
        <w:tabs>
          <w:tab w:val="left" w:pos="720"/>
          <w:tab w:val="left" w:pos="5040"/>
          <w:tab w:val="left" w:pos="5760"/>
        </w:tabs>
      </w:pPr>
      <w:r w:rsidRPr="00AC0D00">
        <w:t xml:space="preserve">The Town of Anytown Virginia was provided funding through the Bipartisan Infrastructure Law (BIL) to complete a Lead Service Line (LSL) Inventory. This inventory will be completed following </w:t>
      </w:r>
      <w:r w:rsidR="000C1995" w:rsidRPr="00AC0D00">
        <w:t>an</w:t>
      </w:r>
      <w:r w:rsidRPr="00AC0D00">
        <w:t xml:space="preserve"> LSL Inventory Work Plan that uses the required records reviews which are included below.</w:t>
      </w:r>
    </w:p>
    <w:p w14:paraId="1C3FFC8E" w14:textId="77777777" w:rsidR="00E54FF5" w:rsidRPr="00AC0D00" w:rsidRDefault="00E54FF5" w:rsidP="00E54FF5">
      <w:pPr>
        <w:pStyle w:val="Default"/>
        <w:rPr>
          <w:rFonts w:ascii="Times New Roman" w:hAnsi="Times New Roman" w:cs="Times New Roman"/>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79"/>
        <w:gridCol w:w="4380"/>
      </w:tblGrid>
      <w:tr w:rsidR="00E54FF5" w:rsidRPr="00AC0D00" w14:paraId="74285D7F" w14:textId="77777777" w:rsidTr="0070116B">
        <w:trPr>
          <w:trHeight w:val="110"/>
        </w:trPr>
        <w:tc>
          <w:tcPr>
            <w:tcW w:w="8759" w:type="dxa"/>
            <w:gridSpan w:val="2"/>
          </w:tcPr>
          <w:p w14:paraId="5DC89C7D"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Required Records Review</w:t>
            </w:r>
          </w:p>
        </w:tc>
      </w:tr>
      <w:tr w:rsidR="00E54FF5" w:rsidRPr="00AC0D00" w14:paraId="31157E2A" w14:textId="77777777" w:rsidTr="0070116B">
        <w:trPr>
          <w:trHeight w:val="110"/>
        </w:trPr>
        <w:tc>
          <w:tcPr>
            <w:tcW w:w="4379" w:type="dxa"/>
          </w:tcPr>
          <w:p w14:paraId="4B97B52A"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Category </w:t>
            </w:r>
          </w:p>
        </w:tc>
        <w:tc>
          <w:tcPr>
            <w:tcW w:w="4380" w:type="dxa"/>
          </w:tcPr>
          <w:p w14:paraId="160DF8FB"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Description </w:t>
            </w:r>
          </w:p>
        </w:tc>
      </w:tr>
      <w:tr w:rsidR="00E54FF5" w:rsidRPr="00AC0D00" w14:paraId="67353918" w14:textId="77777777" w:rsidTr="0070116B">
        <w:trPr>
          <w:trHeight w:val="870"/>
        </w:trPr>
        <w:tc>
          <w:tcPr>
            <w:tcW w:w="4379" w:type="dxa"/>
          </w:tcPr>
          <w:p w14:paraId="2095E7F4"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Previous Materials Evaluation (4.1) </w:t>
            </w:r>
          </w:p>
        </w:tc>
        <w:tc>
          <w:tcPr>
            <w:tcW w:w="4380" w:type="dxa"/>
          </w:tcPr>
          <w:p w14:paraId="31F03530"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Information used for initial tap sampling inventory, special monitoring for corrosivity characteristics. </w:t>
            </w:r>
          </w:p>
        </w:tc>
      </w:tr>
      <w:tr w:rsidR="00E54FF5" w:rsidRPr="00AC0D00" w14:paraId="6403FD27" w14:textId="77777777" w:rsidTr="0070116B">
        <w:trPr>
          <w:trHeight w:val="513"/>
        </w:trPr>
        <w:tc>
          <w:tcPr>
            <w:tcW w:w="4379" w:type="dxa"/>
          </w:tcPr>
          <w:p w14:paraId="7FDC3292"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Construction and Plumbing Codes and Records (4.2) </w:t>
            </w:r>
          </w:p>
        </w:tc>
        <w:tc>
          <w:tcPr>
            <w:tcW w:w="4380" w:type="dxa"/>
          </w:tcPr>
          <w:p w14:paraId="3D8CF79C"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All construction and plumbing codes, permits, and existing records or other documentation which indicates the service line materials used to connect structures to the distribution system (40 CFR §141.84(a)(3)(</w:t>
            </w:r>
            <w:proofErr w:type="spellStart"/>
            <w:r w:rsidRPr="00AC0D00">
              <w:rPr>
                <w:rFonts w:ascii="Times New Roman" w:hAnsi="Times New Roman" w:cs="Times New Roman"/>
              </w:rPr>
              <w:t>i</w:t>
            </w:r>
            <w:proofErr w:type="spellEnd"/>
            <w:r w:rsidRPr="00AC0D00">
              <w:rPr>
                <w:rFonts w:ascii="Times New Roman" w:hAnsi="Times New Roman" w:cs="Times New Roman"/>
              </w:rPr>
              <w:t xml:space="preserve">)). </w:t>
            </w:r>
          </w:p>
        </w:tc>
      </w:tr>
      <w:tr w:rsidR="00E54FF5" w:rsidRPr="00AC0D00" w14:paraId="317053D8" w14:textId="77777777" w:rsidTr="0070116B">
        <w:trPr>
          <w:trHeight w:val="648"/>
        </w:trPr>
        <w:tc>
          <w:tcPr>
            <w:tcW w:w="4379" w:type="dxa"/>
          </w:tcPr>
          <w:p w14:paraId="0813A713"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Water System Records (4.3) </w:t>
            </w:r>
          </w:p>
        </w:tc>
        <w:tc>
          <w:tcPr>
            <w:tcW w:w="4380" w:type="dxa"/>
          </w:tcPr>
          <w:p w14:paraId="74FD3893"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All water system records, including distribution system maps and drawings, historical records on each service connection, meter installation records, </w:t>
            </w:r>
            <w:r w:rsidRPr="00AC0D00">
              <w:rPr>
                <w:rFonts w:ascii="Times New Roman" w:hAnsi="Times New Roman" w:cs="Times New Roman"/>
              </w:rPr>
              <w:lastRenderedPageBreak/>
              <w:t xml:space="preserve">historical capital improvement or master plans, and standard operating procedures (40 CFR §141.84(a)(3)(ii)). </w:t>
            </w:r>
          </w:p>
        </w:tc>
      </w:tr>
      <w:tr w:rsidR="00E54FF5" w:rsidRPr="00AC0D00" w14:paraId="7F90D592" w14:textId="77777777" w:rsidTr="0070116B">
        <w:trPr>
          <w:trHeight w:val="244"/>
        </w:trPr>
        <w:tc>
          <w:tcPr>
            <w:tcW w:w="4379" w:type="dxa"/>
          </w:tcPr>
          <w:p w14:paraId="3D4D436F"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lastRenderedPageBreak/>
              <w:t xml:space="preserve">Virginia Requirements (6.1.1) </w:t>
            </w:r>
          </w:p>
        </w:tc>
        <w:tc>
          <w:tcPr>
            <w:tcW w:w="4380" w:type="dxa"/>
          </w:tcPr>
          <w:p w14:paraId="5820DB7B"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Most recent approved LCR material survey. Lead Ban Guidance and Chronology (posted on ODW’s website). </w:t>
            </w:r>
          </w:p>
        </w:tc>
      </w:tr>
      <w:tr w:rsidR="00E54FF5" w:rsidRPr="00AC0D00" w14:paraId="1213FC06" w14:textId="77777777" w:rsidTr="0070116B">
        <w:trPr>
          <w:trHeight w:val="646"/>
        </w:trPr>
        <w:tc>
          <w:tcPr>
            <w:tcW w:w="4379" w:type="dxa"/>
          </w:tcPr>
          <w:p w14:paraId="725E44B6"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Ongoing Updating Required (3.4) </w:t>
            </w:r>
          </w:p>
        </w:tc>
        <w:tc>
          <w:tcPr>
            <w:tcW w:w="4380" w:type="dxa"/>
          </w:tcPr>
          <w:p w14:paraId="257EF1EE"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Systems must identify and track information on service line material as they are encountered during normal operations (e.g., checking service line materials when reading water meters or performing maintenance activities) (40 CFR §141.84(a)(5)). </w:t>
            </w:r>
          </w:p>
        </w:tc>
      </w:tr>
      <w:tr w:rsidR="00E54FF5" w:rsidRPr="00AC0D00" w14:paraId="6BB18261" w14:textId="77777777" w:rsidTr="0070116B">
        <w:trPr>
          <w:trHeight w:val="244"/>
        </w:trPr>
        <w:tc>
          <w:tcPr>
            <w:tcW w:w="8759" w:type="dxa"/>
            <w:gridSpan w:val="2"/>
          </w:tcPr>
          <w:p w14:paraId="23B82D60" w14:textId="77777777" w:rsidR="00E54FF5" w:rsidRPr="00AC0D00" w:rsidRDefault="00E54FF5" w:rsidP="0070116B">
            <w:pPr>
              <w:pStyle w:val="Default"/>
              <w:rPr>
                <w:rFonts w:ascii="Times New Roman" w:hAnsi="Times New Roman" w:cs="Times New Roman"/>
              </w:rPr>
            </w:pPr>
            <w:r w:rsidRPr="00AC0D00">
              <w:rPr>
                <w:rFonts w:ascii="Times New Roman" w:hAnsi="Times New Roman" w:cs="Times New Roman"/>
              </w:rPr>
              <w:t xml:space="preserve">Any service line replacements or materials inspections. (40 CFR §141.84(a)(6)). </w:t>
            </w:r>
          </w:p>
        </w:tc>
      </w:tr>
    </w:tbl>
    <w:p w14:paraId="13E3C085" w14:textId="77777777" w:rsidR="00E54FF5" w:rsidRPr="00AC0D00" w:rsidRDefault="00E54FF5" w:rsidP="00E54FF5">
      <w:pPr>
        <w:tabs>
          <w:tab w:val="left" w:pos="720"/>
          <w:tab w:val="left" w:pos="5040"/>
          <w:tab w:val="left" w:pos="5760"/>
        </w:tabs>
      </w:pPr>
    </w:p>
    <w:p w14:paraId="235D7CC5" w14:textId="59647FDD" w:rsidR="00E54FF5" w:rsidRPr="00AC0D00" w:rsidRDefault="00E54FF5" w:rsidP="00E54FF5">
      <w:pPr>
        <w:tabs>
          <w:tab w:val="left" w:pos="720"/>
          <w:tab w:val="left" w:pos="5040"/>
          <w:tab w:val="left" w:pos="5760"/>
        </w:tabs>
      </w:pPr>
      <w:r w:rsidRPr="00AC0D00">
        <w:t>In addition to the required records review</w:t>
      </w:r>
      <w:r w:rsidR="004E278F">
        <w:t>,</w:t>
      </w:r>
      <w:r w:rsidRPr="00AC0D00">
        <w:t xml:space="preserve"> the L</w:t>
      </w:r>
      <w:r w:rsidR="000C1995">
        <w:t>SL</w:t>
      </w:r>
      <w:r w:rsidRPr="00AC0D00">
        <w:t xml:space="preserve"> Inventory Work Plan will also include only the service line material investigation methods that have been pre-approved by the VDH </w:t>
      </w:r>
      <w:r w:rsidR="004E278F">
        <w:t xml:space="preserve">- </w:t>
      </w:r>
      <w:r w:rsidRPr="00AC0D00">
        <w:t>ODW. These service line investigation methods are included below.</w:t>
      </w:r>
    </w:p>
    <w:p w14:paraId="54884BDC" w14:textId="77777777" w:rsidR="00E54FF5" w:rsidRPr="00AC0D00" w:rsidRDefault="00E54FF5" w:rsidP="00E54FF5">
      <w:pPr>
        <w:tabs>
          <w:tab w:val="left" w:pos="720"/>
          <w:tab w:val="left" w:pos="5040"/>
          <w:tab w:val="left" w:pos="5760"/>
        </w:tabs>
      </w:pPr>
    </w:p>
    <w:tbl>
      <w:tblPr>
        <w:tblStyle w:val="TableGrid"/>
        <w:tblW w:w="9350" w:type="dxa"/>
        <w:tblLook w:val="04A0" w:firstRow="1" w:lastRow="0" w:firstColumn="1" w:lastColumn="0" w:noHBand="0" w:noVBand="1"/>
      </w:tblPr>
      <w:tblGrid>
        <w:gridCol w:w="9350"/>
      </w:tblGrid>
      <w:tr w:rsidR="00E54FF5" w:rsidRPr="00AC0D00" w14:paraId="3D088590" w14:textId="77777777" w:rsidTr="0070116B">
        <w:tc>
          <w:tcPr>
            <w:tcW w:w="9350" w:type="dxa"/>
            <w:shd w:val="clear" w:color="auto" w:fill="auto"/>
          </w:tcPr>
          <w:p w14:paraId="0BD31CE7"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b/>
                <w:bCs/>
              </w:rPr>
              <w:t xml:space="preserve">Service Line Material Investigation Methods </w:t>
            </w:r>
          </w:p>
        </w:tc>
      </w:tr>
      <w:tr w:rsidR="00E54FF5" w:rsidRPr="00AC0D00" w14:paraId="0168A843" w14:textId="77777777" w:rsidTr="0070116B">
        <w:tc>
          <w:tcPr>
            <w:tcW w:w="9350" w:type="dxa"/>
            <w:shd w:val="clear" w:color="auto" w:fill="auto"/>
          </w:tcPr>
          <w:p w14:paraId="0AF8AF45"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b/>
                <w:bCs/>
              </w:rPr>
              <w:t xml:space="preserve">Pre-approved </w:t>
            </w:r>
          </w:p>
        </w:tc>
      </w:tr>
      <w:tr w:rsidR="00E54FF5" w:rsidRPr="00AC0D00" w14:paraId="08520461" w14:textId="77777777" w:rsidTr="0070116B">
        <w:tc>
          <w:tcPr>
            <w:tcW w:w="9350" w:type="dxa"/>
          </w:tcPr>
          <w:p w14:paraId="270BBCAD"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Visual inspection of service line material at meter setting </w:t>
            </w:r>
          </w:p>
        </w:tc>
      </w:tr>
      <w:tr w:rsidR="00E54FF5" w:rsidRPr="00AC0D00" w14:paraId="12916419" w14:textId="77777777" w:rsidTr="0070116B">
        <w:tc>
          <w:tcPr>
            <w:tcW w:w="9350" w:type="dxa"/>
          </w:tcPr>
          <w:p w14:paraId="4D7EBFD0"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Visual inspection inside home/building </w:t>
            </w:r>
          </w:p>
        </w:tc>
      </w:tr>
      <w:tr w:rsidR="00E54FF5" w:rsidRPr="00AC0D00" w14:paraId="671A5818" w14:textId="77777777" w:rsidTr="0070116B">
        <w:tc>
          <w:tcPr>
            <w:tcW w:w="9350" w:type="dxa"/>
          </w:tcPr>
          <w:p w14:paraId="6EB9C07C"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Customer self-identification </w:t>
            </w:r>
          </w:p>
        </w:tc>
      </w:tr>
      <w:tr w:rsidR="00E54FF5" w:rsidRPr="00AC0D00" w14:paraId="73A853D6" w14:textId="77777777" w:rsidTr="0070116B">
        <w:tc>
          <w:tcPr>
            <w:tcW w:w="9350" w:type="dxa"/>
          </w:tcPr>
          <w:p w14:paraId="78B28514"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Closed Circuit Television inspection (external) </w:t>
            </w:r>
          </w:p>
        </w:tc>
      </w:tr>
      <w:tr w:rsidR="00E54FF5" w:rsidRPr="00AC0D00" w14:paraId="2C4CF040" w14:textId="77777777" w:rsidTr="0070116B">
        <w:tc>
          <w:tcPr>
            <w:tcW w:w="9350" w:type="dxa"/>
          </w:tcPr>
          <w:p w14:paraId="1BA53773"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Magnet and Scratch Test </w:t>
            </w:r>
          </w:p>
        </w:tc>
      </w:tr>
      <w:tr w:rsidR="00E54FF5" w:rsidRPr="00AC0D00" w14:paraId="68AA8E29" w14:textId="77777777" w:rsidTr="0070116B">
        <w:tc>
          <w:tcPr>
            <w:tcW w:w="9350" w:type="dxa"/>
          </w:tcPr>
          <w:p w14:paraId="1EA986F1" w14:textId="77777777" w:rsidR="00E54FF5" w:rsidRPr="00AC0D00" w:rsidRDefault="00E54FF5" w:rsidP="0070116B">
            <w:pPr>
              <w:tabs>
                <w:tab w:val="left" w:pos="720"/>
                <w:tab w:val="left" w:pos="5040"/>
                <w:tab w:val="left" w:pos="5760"/>
              </w:tabs>
              <w:rPr>
                <w:rFonts w:ascii="Times New Roman" w:eastAsia="Times New Roman" w:hAnsi="Times New Roman" w:cs="Times New Roman"/>
              </w:rPr>
            </w:pPr>
            <w:r w:rsidRPr="00AC0D00">
              <w:rPr>
                <w:rFonts w:ascii="Times New Roman" w:hAnsi="Times New Roman" w:cs="Times New Roman"/>
              </w:rPr>
              <w:t xml:space="preserve">Excavation – vacuum and mechanical </w:t>
            </w:r>
          </w:p>
        </w:tc>
      </w:tr>
    </w:tbl>
    <w:p w14:paraId="721CA717" w14:textId="77777777" w:rsidR="00E54FF5" w:rsidRPr="00AC0D00" w:rsidRDefault="00E54FF5" w:rsidP="00E54FF5">
      <w:pPr>
        <w:tabs>
          <w:tab w:val="left" w:pos="720"/>
          <w:tab w:val="left" w:pos="5040"/>
          <w:tab w:val="left" w:pos="5760"/>
        </w:tabs>
      </w:pPr>
    </w:p>
    <w:p w14:paraId="50430249" w14:textId="6781D513" w:rsidR="00E54FF5" w:rsidRPr="00AC0D00" w:rsidRDefault="00E54FF5" w:rsidP="00E54FF5">
      <w:pPr>
        <w:tabs>
          <w:tab w:val="left" w:pos="720"/>
          <w:tab w:val="left" w:pos="5040"/>
          <w:tab w:val="left" w:pos="5760"/>
        </w:tabs>
      </w:pPr>
      <w:r w:rsidRPr="00AC0D00">
        <w:t>No service line materials investigation methods will be used that have not already been pre-approved by the VDH</w:t>
      </w:r>
      <w:r w:rsidR="00A82CEF">
        <w:t xml:space="preserve"> - </w:t>
      </w:r>
      <w:r w:rsidRPr="00AC0D00">
        <w:t xml:space="preserve">ODW. </w:t>
      </w:r>
    </w:p>
    <w:p w14:paraId="35BB77C6" w14:textId="77777777" w:rsidR="00E54FF5" w:rsidRPr="00AC0D00" w:rsidRDefault="00E54FF5" w:rsidP="00E54FF5">
      <w:pPr>
        <w:tabs>
          <w:tab w:val="left" w:pos="720"/>
          <w:tab w:val="left" w:pos="5040"/>
          <w:tab w:val="left" w:pos="5760"/>
        </w:tabs>
      </w:pPr>
    </w:p>
    <w:p w14:paraId="73EEA4D1" w14:textId="77777777" w:rsidR="00E54FF5" w:rsidRPr="00AC0D00" w:rsidRDefault="00E54FF5" w:rsidP="00E54FF5">
      <w:pPr>
        <w:tabs>
          <w:tab w:val="left" w:pos="720"/>
          <w:tab w:val="left" w:pos="4680"/>
          <w:tab w:val="left" w:pos="5760"/>
        </w:tabs>
      </w:pPr>
      <w:r w:rsidRPr="00AC0D00">
        <w:tab/>
      </w:r>
      <w:r w:rsidRPr="00AC0D00">
        <w:tab/>
        <w:t>Sincerely,</w:t>
      </w:r>
    </w:p>
    <w:p w14:paraId="1FFE0F69" w14:textId="77777777" w:rsidR="00E54FF5" w:rsidRPr="00AC0D00" w:rsidRDefault="00E54FF5" w:rsidP="00E54FF5">
      <w:pPr>
        <w:tabs>
          <w:tab w:val="left" w:pos="720"/>
          <w:tab w:val="left" w:pos="5040"/>
          <w:tab w:val="left" w:pos="5760"/>
        </w:tabs>
      </w:pPr>
      <w:r w:rsidRPr="00AC0D00">
        <w:tab/>
      </w:r>
      <w:r w:rsidRPr="00AC0D00">
        <w:tab/>
      </w:r>
    </w:p>
    <w:p w14:paraId="70A1EBAF" w14:textId="77777777" w:rsidR="00E54FF5" w:rsidRPr="00AC0D00" w:rsidRDefault="00E54FF5" w:rsidP="00E54FF5">
      <w:pPr>
        <w:tabs>
          <w:tab w:val="left" w:pos="720"/>
          <w:tab w:val="left" w:pos="5040"/>
          <w:tab w:val="left" w:pos="5760"/>
        </w:tabs>
      </w:pPr>
    </w:p>
    <w:p w14:paraId="0EDB8FCA" w14:textId="77777777" w:rsidR="00E54FF5" w:rsidRPr="00AC0D00" w:rsidRDefault="00E54FF5" w:rsidP="00E54FF5">
      <w:pPr>
        <w:tabs>
          <w:tab w:val="left" w:pos="720"/>
          <w:tab w:val="left" w:pos="4680"/>
          <w:tab w:val="left" w:pos="4860"/>
          <w:tab w:val="left" w:pos="5760"/>
        </w:tabs>
      </w:pPr>
      <w:r w:rsidRPr="00AC0D00">
        <w:tab/>
      </w:r>
      <w:r w:rsidRPr="00AC0D00">
        <w:tab/>
        <w:t>John Doe, Mayor</w:t>
      </w:r>
    </w:p>
    <w:p w14:paraId="1827EB90" w14:textId="77777777" w:rsidR="00E54FF5" w:rsidRPr="00AC0D00" w:rsidRDefault="00E54FF5" w:rsidP="00E54FF5">
      <w:pPr>
        <w:tabs>
          <w:tab w:val="left" w:pos="720"/>
          <w:tab w:val="left" w:pos="4680"/>
          <w:tab w:val="left" w:pos="5040"/>
          <w:tab w:val="left" w:pos="5760"/>
        </w:tabs>
      </w:pPr>
      <w:r w:rsidRPr="00AC0D00">
        <w:tab/>
      </w:r>
      <w:r w:rsidRPr="00AC0D00">
        <w:tab/>
        <w:t>Town of Anytown</w:t>
      </w:r>
    </w:p>
    <w:p w14:paraId="4E84A91C" w14:textId="77777777" w:rsidR="00E54FF5" w:rsidRPr="00AC0D00" w:rsidRDefault="00E54FF5" w:rsidP="00E54FF5">
      <w:pPr>
        <w:tabs>
          <w:tab w:val="left" w:pos="720"/>
          <w:tab w:val="left" w:pos="4680"/>
          <w:tab w:val="left" w:pos="5040"/>
          <w:tab w:val="left" w:pos="5760"/>
        </w:tabs>
      </w:pPr>
    </w:p>
    <w:p w14:paraId="5258810B" w14:textId="73F042B6" w:rsidR="00E54FF5" w:rsidRPr="00AC0D00" w:rsidRDefault="00CE194D" w:rsidP="00E54FF5">
      <w:pPr>
        <w:tabs>
          <w:tab w:val="left" w:pos="720"/>
          <w:tab w:val="left" w:pos="4680"/>
          <w:tab w:val="left" w:pos="5670"/>
        </w:tabs>
      </w:pPr>
      <w:r>
        <w:t>E</w:t>
      </w:r>
      <w:r w:rsidR="00E54FF5" w:rsidRPr="00AC0D00">
        <w:t>c</w:t>
      </w:r>
      <w:r>
        <w:t>:</w:t>
      </w:r>
      <w:r w:rsidR="00E54FF5" w:rsidRPr="00AC0D00">
        <w:tab/>
      </w:r>
      <w:r>
        <w:t>Name</w:t>
      </w:r>
      <w:r w:rsidR="00E54FF5" w:rsidRPr="00AC0D00">
        <w:t>, Project Manager, FCAP –</w:t>
      </w:r>
      <w:r>
        <w:t xml:space="preserve"> </w:t>
      </w:r>
      <w:r w:rsidR="00E54FF5" w:rsidRPr="00AC0D00">
        <w:t>Field Office</w:t>
      </w:r>
    </w:p>
    <w:p w14:paraId="6A6389ED" w14:textId="7C610000" w:rsidR="008E6365" w:rsidRDefault="00E54FF5" w:rsidP="00B735C1">
      <w:pPr>
        <w:tabs>
          <w:tab w:val="left" w:pos="720"/>
          <w:tab w:val="left" w:pos="4680"/>
          <w:tab w:val="left" w:pos="5670"/>
        </w:tabs>
        <w:rPr>
          <w:sz w:val="22"/>
          <w:szCs w:val="22"/>
        </w:rPr>
      </w:pPr>
      <w:r w:rsidRPr="00AC0D00">
        <w:tab/>
        <w:t>Tamara Anderson, Leap Program Manager, FCAP – Danville Field Office</w:t>
      </w:r>
      <w:r w:rsidR="008E6365">
        <w:rPr>
          <w:sz w:val="22"/>
          <w:szCs w:val="22"/>
        </w:rPr>
        <w:tab/>
      </w:r>
    </w:p>
    <w:sectPr w:rsidR="008E6365" w:rsidSect="006C3129">
      <w:footerReference w:type="default" r:id="rId7"/>
      <w:type w:val="continuous"/>
      <w:pgSz w:w="12240" w:h="15840" w:code="1"/>
      <w:pgMar w:top="1440" w:right="1440" w:bottom="360" w:left="1440" w:header="720" w:footer="720" w:gutter="0"/>
      <w:paperSrc w:first="15"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BD238" w14:textId="77777777" w:rsidR="00973078" w:rsidRDefault="00973078" w:rsidP="00312E58">
      <w:r>
        <w:separator/>
      </w:r>
    </w:p>
  </w:endnote>
  <w:endnote w:type="continuationSeparator" w:id="0">
    <w:p w14:paraId="601E756D" w14:textId="77777777" w:rsidR="00973078" w:rsidRDefault="00973078" w:rsidP="00312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8314F" w14:textId="77777777" w:rsidR="00737DBB" w:rsidRDefault="00737DBB">
    <w:pPr>
      <w:pStyle w:val="Footer"/>
    </w:pPr>
  </w:p>
  <w:p w14:paraId="62589EA8" w14:textId="77777777" w:rsidR="00737DBB" w:rsidRDefault="00137B76" w:rsidP="00B6341A">
    <w:pPr>
      <w:pStyle w:val="Footer"/>
      <w:jc w:val="center"/>
    </w:pPr>
    <w:r w:rsidRPr="00137B76">
      <w:rPr>
        <w:b/>
        <w:bCs/>
        <w:noProof/>
      </w:rPr>
      <w:drawing>
        <wp:inline distT="0" distB="0" distL="0" distR="0" wp14:anchorId="74C262CE" wp14:editId="60557BA9">
          <wp:extent cx="1362075" cy="494888"/>
          <wp:effectExtent l="0" t="0" r="0" b="635"/>
          <wp:docPr id="2" name="Picture 2" descr="http://vdhweb.vdh.virginia.gov/wp-content/uploads/2018/03/VDH-blue.pn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dhweb.vdh.virginia.gov/wp-content/uploads/2018/03/VDH-blue.pn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1167" cy="49819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9E57" w14:textId="77777777" w:rsidR="00973078" w:rsidRDefault="00973078" w:rsidP="00312E58">
      <w:r>
        <w:separator/>
      </w:r>
    </w:p>
  </w:footnote>
  <w:footnote w:type="continuationSeparator" w:id="0">
    <w:p w14:paraId="4859449A" w14:textId="77777777" w:rsidR="00973078" w:rsidRDefault="00973078" w:rsidP="00312E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D5F4A"/>
    <w:multiLevelType w:val="hybridMultilevel"/>
    <w:tmpl w:val="627822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448E35D2"/>
    <w:multiLevelType w:val="multilevel"/>
    <w:tmpl w:val="7D36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01818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47896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C92"/>
    <w:rsid w:val="00003543"/>
    <w:rsid w:val="00003703"/>
    <w:rsid w:val="0003563B"/>
    <w:rsid w:val="00045795"/>
    <w:rsid w:val="0005433D"/>
    <w:rsid w:val="00063066"/>
    <w:rsid w:val="000679EF"/>
    <w:rsid w:val="0007399A"/>
    <w:rsid w:val="00092535"/>
    <w:rsid w:val="000A34CC"/>
    <w:rsid w:val="000C1995"/>
    <w:rsid w:val="000D77D5"/>
    <w:rsid w:val="000F1D2D"/>
    <w:rsid w:val="000F3AC2"/>
    <w:rsid w:val="00107839"/>
    <w:rsid w:val="00131A60"/>
    <w:rsid w:val="00132989"/>
    <w:rsid w:val="001337DD"/>
    <w:rsid w:val="00137B76"/>
    <w:rsid w:val="00141FF8"/>
    <w:rsid w:val="00147679"/>
    <w:rsid w:val="00174300"/>
    <w:rsid w:val="001803D3"/>
    <w:rsid w:val="0018722D"/>
    <w:rsid w:val="001A0279"/>
    <w:rsid w:val="001B3BAF"/>
    <w:rsid w:val="001C2617"/>
    <w:rsid w:val="001D1D19"/>
    <w:rsid w:val="002201FD"/>
    <w:rsid w:val="00225FDC"/>
    <w:rsid w:val="00232807"/>
    <w:rsid w:val="00234BD8"/>
    <w:rsid w:val="00234E42"/>
    <w:rsid w:val="0026595B"/>
    <w:rsid w:val="00273B21"/>
    <w:rsid w:val="002A00A9"/>
    <w:rsid w:val="002A71A1"/>
    <w:rsid w:val="002C0813"/>
    <w:rsid w:val="002C662A"/>
    <w:rsid w:val="002D5F93"/>
    <w:rsid w:val="002E3525"/>
    <w:rsid w:val="002F0D06"/>
    <w:rsid w:val="002F4545"/>
    <w:rsid w:val="00305FD1"/>
    <w:rsid w:val="00312E58"/>
    <w:rsid w:val="00322517"/>
    <w:rsid w:val="003253E8"/>
    <w:rsid w:val="00335020"/>
    <w:rsid w:val="003451D7"/>
    <w:rsid w:val="00347D45"/>
    <w:rsid w:val="0037779A"/>
    <w:rsid w:val="00386706"/>
    <w:rsid w:val="00397DC7"/>
    <w:rsid w:val="003B3F0D"/>
    <w:rsid w:val="003C731B"/>
    <w:rsid w:val="003E054F"/>
    <w:rsid w:val="003F06D8"/>
    <w:rsid w:val="003F71C9"/>
    <w:rsid w:val="00400559"/>
    <w:rsid w:val="00445945"/>
    <w:rsid w:val="00455287"/>
    <w:rsid w:val="00494C62"/>
    <w:rsid w:val="004B719E"/>
    <w:rsid w:val="004D5501"/>
    <w:rsid w:val="004E141D"/>
    <w:rsid w:val="004E278F"/>
    <w:rsid w:val="0050599D"/>
    <w:rsid w:val="00511239"/>
    <w:rsid w:val="00521C2E"/>
    <w:rsid w:val="00524F37"/>
    <w:rsid w:val="00544244"/>
    <w:rsid w:val="00545124"/>
    <w:rsid w:val="00550B8B"/>
    <w:rsid w:val="00567988"/>
    <w:rsid w:val="00570ABA"/>
    <w:rsid w:val="00571B0B"/>
    <w:rsid w:val="0058061E"/>
    <w:rsid w:val="00580DF7"/>
    <w:rsid w:val="005A0D20"/>
    <w:rsid w:val="005B1E5B"/>
    <w:rsid w:val="005D1F3B"/>
    <w:rsid w:val="005D659A"/>
    <w:rsid w:val="005E62D1"/>
    <w:rsid w:val="005F3605"/>
    <w:rsid w:val="005F50AD"/>
    <w:rsid w:val="0060610B"/>
    <w:rsid w:val="00613480"/>
    <w:rsid w:val="00634955"/>
    <w:rsid w:val="006578B0"/>
    <w:rsid w:val="00673A94"/>
    <w:rsid w:val="006814AC"/>
    <w:rsid w:val="006A13C6"/>
    <w:rsid w:val="006A1FBB"/>
    <w:rsid w:val="006C3129"/>
    <w:rsid w:val="006F7F7E"/>
    <w:rsid w:val="007000AE"/>
    <w:rsid w:val="00720278"/>
    <w:rsid w:val="0072283C"/>
    <w:rsid w:val="007231FB"/>
    <w:rsid w:val="00737DBB"/>
    <w:rsid w:val="00756898"/>
    <w:rsid w:val="00773C4F"/>
    <w:rsid w:val="00775255"/>
    <w:rsid w:val="00776D68"/>
    <w:rsid w:val="00783022"/>
    <w:rsid w:val="0078458E"/>
    <w:rsid w:val="007A04E8"/>
    <w:rsid w:val="007A7308"/>
    <w:rsid w:val="007B09EF"/>
    <w:rsid w:val="007B6C92"/>
    <w:rsid w:val="007C3EFE"/>
    <w:rsid w:val="007C7E51"/>
    <w:rsid w:val="007F4751"/>
    <w:rsid w:val="00801C9B"/>
    <w:rsid w:val="00802D1A"/>
    <w:rsid w:val="008066E8"/>
    <w:rsid w:val="00832903"/>
    <w:rsid w:val="0084624D"/>
    <w:rsid w:val="008608AA"/>
    <w:rsid w:val="00896936"/>
    <w:rsid w:val="008A3BC4"/>
    <w:rsid w:val="008E6365"/>
    <w:rsid w:val="008E6FD8"/>
    <w:rsid w:val="009072BC"/>
    <w:rsid w:val="00917E51"/>
    <w:rsid w:val="009348D3"/>
    <w:rsid w:val="0097006E"/>
    <w:rsid w:val="00973078"/>
    <w:rsid w:val="0098289F"/>
    <w:rsid w:val="009F07F2"/>
    <w:rsid w:val="00A04162"/>
    <w:rsid w:val="00A070D2"/>
    <w:rsid w:val="00A15C48"/>
    <w:rsid w:val="00A2012A"/>
    <w:rsid w:val="00A2370A"/>
    <w:rsid w:val="00A27420"/>
    <w:rsid w:val="00A50C5F"/>
    <w:rsid w:val="00A6111D"/>
    <w:rsid w:val="00A70940"/>
    <w:rsid w:val="00A713F4"/>
    <w:rsid w:val="00A73543"/>
    <w:rsid w:val="00A82CEF"/>
    <w:rsid w:val="00AB5AAF"/>
    <w:rsid w:val="00AC70C8"/>
    <w:rsid w:val="00AD1940"/>
    <w:rsid w:val="00AE2848"/>
    <w:rsid w:val="00AE74A3"/>
    <w:rsid w:val="00B010DE"/>
    <w:rsid w:val="00B52FC5"/>
    <w:rsid w:val="00B569A9"/>
    <w:rsid w:val="00B6341A"/>
    <w:rsid w:val="00B735C1"/>
    <w:rsid w:val="00B91C50"/>
    <w:rsid w:val="00BA019C"/>
    <w:rsid w:val="00BA25E2"/>
    <w:rsid w:val="00BA3954"/>
    <w:rsid w:val="00BE3CE7"/>
    <w:rsid w:val="00BF2AE9"/>
    <w:rsid w:val="00C14471"/>
    <w:rsid w:val="00C1579E"/>
    <w:rsid w:val="00C17C1C"/>
    <w:rsid w:val="00C47F32"/>
    <w:rsid w:val="00C511E1"/>
    <w:rsid w:val="00C557A3"/>
    <w:rsid w:val="00C67DEB"/>
    <w:rsid w:val="00C75A5D"/>
    <w:rsid w:val="00C769C1"/>
    <w:rsid w:val="00C76E70"/>
    <w:rsid w:val="00C90125"/>
    <w:rsid w:val="00CA1415"/>
    <w:rsid w:val="00CB0852"/>
    <w:rsid w:val="00CB7417"/>
    <w:rsid w:val="00CD2A09"/>
    <w:rsid w:val="00CE194D"/>
    <w:rsid w:val="00CF76A2"/>
    <w:rsid w:val="00D635F6"/>
    <w:rsid w:val="00D854EB"/>
    <w:rsid w:val="00D9055E"/>
    <w:rsid w:val="00DA0C52"/>
    <w:rsid w:val="00DA5227"/>
    <w:rsid w:val="00DB1A05"/>
    <w:rsid w:val="00E01EA5"/>
    <w:rsid w:val="00E1105C"/>
    <w:rsid w:val="00E14DF9"/>
    <w:rsid w:val="00E23E25"/>
    <w:rsid w:val="00E35B11"/>
    <w:rsid w:val="00E414E1"/>
    <w:rsid w:val="00E438AC"/>
    <w:rsid w:val="00E47DAF"/>
    <w:rsid w:val="00E52806"/>
    <w:rsid w:val="00E54FF5"/>
    <w:rsid w:val="00E56AD4"/>
    <w:rsid w:val="00EB090A"/>
    <w:rsid w:val="00EB41E9"/>
    <w:rsid w:val="00EB7B63"/>
    <w:rsid w:val="00EC1703"/>
    <w:rsid w:val="00F14E17"/>
    <w:rsid w:val="00F17728"/>
    <w:rsid w:val="00F644F1"/>
    <w:rsid w:val="00F700F8"/>
    <w:rsid w:val="00F72D66"/>
    <w:rsid w:val="00F856EE"/>
    <w:rsid w:val="00F9651D"/>
    <w:rsid w:val="00FB6DF5"/>
    <w:rsid w:val="00FC1363"/>
    <w:rsid w:val="00FC6B48"/>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6931A4"/>
  <w15:docId w15:val="{0531E442-0ECB-4745-A95E-3B4ECCEA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63B"/>
    <w:rPr>
      <w:sz w:val="24"/>
      <w:szCs w:val="24"/>
    </w:rPr>
  </w:style>
  <w:style w:type="paragraph" w:styleId="Heading1">
    <w:name w:val="heading 1"/>
    <w:basedOn w:val="Normal"/>
    <w:next w:val="Normal"/>
    <w:link w:val="Heading1Char"/>
    <w:qFormat/>
    <w:rsid w:val="002E3525"/>
    <w:pPr>
      <w:keepNext/>
      <w:outlineLvl w:val="0"/>
    </w:pPr>
    <w:rPr>
      <w:rFonts w:ascii="Arial" w:hAnsi="Arial" w:cs="Arial"/>
      <w:b/>
      <w:bCs/>
      <w:szCs w:val="20"/>
    </w:rPr>
  </w:style>
  <w:style w:type="paragraph" w:styleId="Heading2">
    <w:name w:val="heading 2"/>
    <w:basedOn w:val="Normal"/>
    <w:next w:val="Normal"/>
    <w:link w:val="Heading2Char"/>
    <w:semiHidden/>
    <w:unhideWhenUsed/>
    <w:qFormat/>
    <w:rsid w:val="007F47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72D66"/>
    <w:rPr>
      <w:color w:val="0000FF"/>
      <w:u w:val="single"/>
    </w:rPr>
  </w:style>
  <w:style w:type="paragraph" w:styleId="BalloonText">
    <w:name w:val="Balloon Text"/>
    <w:basedOn w:val="Normal"/>
    <w:link w:val="BalloonTextChar"/>
    <w:rsid w:val="00305FD1"/>
    <w:rPr>
      <w:rFonts w:ascii="Tahoma" w:hAnsi="Tahoma" w:cs="Tahoma"/>
      <w:sz w:val="16"/>
      <w:szCs w:val="16"/>
    </w:rPr>
  </w:style>
  <w:style w:type="character" w:customStyle="1" w:styleId="BalloonTextChar">
    <w:name w:val="Balloon Text Char"/>
    <w:basedOn w:val="DefaultParagraphFont"/>
    <w:link w:val="BalloonText"/>
    <w:rsid w:val="00305FD1"/>
    <w:rPr>
      <w:rFonts w:ascii="Tahoma" w:hAnsi="Tahoma" w:cs="Tahoma"/>
      <w:sz w:val="16"/>
      <w:szCs w:val="16"/>
    </w:rPr>
  </w:style>
  <w:style w:type="paragraph" w:styleId="Header">
    <w:name w:val="header"/>
    <w:basedOn w:val="Normal"/>
    <w:link w:val="HeaderChar"/>
    <w:rsid w:val="00312E58"/>
    <w:pPr>
      <w:tabs>
        <w:tab w:val="center" w:pos="4680"/>
        <w:tab w:val="right" w:pos="9360"/>
      </w:tabs>
    </w:pPr>
  </w:style>
  <w:style w:type="character" w:customStyle="1" w:styleId="HeaderChar">
    <w:name w:val="Header Char"/>
    <w:basedOn w:val="DefaultParagraphFont"/>
    <w:link w:val="Header"/>
    <w:rsid w:val="00312E58"/>
    <w:rPr>
      <w:sz w:val="24"/>
      <w:szCs w:val="24"/>
    </w:rPr>
  </w:style>
  <w:style w:type="paragraph" w:styleId="Footer">
    <w:name w:val="footer"/>
    <w:basedOn w:val="Normal"/>
    <w:link w:val="FooterChar"/>
    <w:rsid w:val="00312E58"/>
    <w:pPr>
      <w:tabs>
        <w:tab w:val="center" w:pos="4680"/>
        <w:tab w:val="right" w:pos="9360"/>
      </w:tabs>
    </w:pPr>
  </w:style>
  <w:style w:type="character" w:customStyle="1" w:styleId="FooterChar">
    <w:name w:val="Footer Char"/>
    <w:basedOn w:val="DefaultParagraphFont"/>
    <w:link w:val="Footer"/>
    <w:uiPriority w:val="99"/>
    <w:rsid w:val="00312E58"/>
    <w:rPr>
      <w:sz w:val="24"/>
      <w:szCs w:val="24"/>
    </w:rPr>
  </w:style>
  <w:style w:type="paragraph" w:styleId="ListParagraph">
    <w:name w:val="List Paragraph"/>
    <w:basedOn w:val="Normal"/>
    <w:uiPriority w:val="34"/>
    <w:qFormat/>
    <w:rsid w:val="0005433D"/>
    <w:pPr>
      <w:ind w:left="720"/>
    </w:pPr>
    <w:rPr>
      <w:rFonts w:ascii="Calibri" w:eastAsia="Calibri" w:hAnsi="Calibri"/>
      <w:sz w:val="22"/>
      <w:szCs w:val="22"/>
    </w:rPr>
  </w:style>
  <w:style w:type="character" w:customStyle="1" w:styleId="Heading1Char">
    <w:name w:val="Heading 1 Char"/>
    <w:basedOn w:val="DefaultParagraphFont"/>
    <w:link w:val="Heading1"/>
    <w:rsid w:val="002E3525"/>
    <w:rPr>
      <w:rFonts w:ascii="Arial" w:hAnsi="Arial" w:cs="Arial"/>
      <w:b/>
      <w:bCs/>
      <w:sz w:val="24"/>
    </w:rPr>
  </w:style>
  <w:style w:type="character" w:styleId="CommentReference">
    <w:name w:val="annotation reference"/>
    <w:basedOn w:val="DefaultParagraphFont"/>
    <w:rsid w:val="00045795"/>
    <w:rPr>
      <w:sz w:val="16"/>
      <w:szCs w:val="16"/>
    </w:rPr>
  </w:style>
  <w:style w:type="paragraph" w:styleId="CommentText">
    <w:name w:val="annotation text"/>
    <w:basedOn w:val="Normal"/>
    <w:link w:val="CommentTextChar"/>
    <w:rsid w:val="00045795"/>
    <w:rPr>
      <w:sz w:val="20"/>
      <w:szCs w:val="20"/>
    </w:rPr>
  </w:style>
  <w:style w:type="character" w:customStyle="1" w:styleId="CommentTextChar">
    <w:name w:val="Comment Text Char"/>
    <w:basedOn w:val="DefaultParagraphFont"/>
    <w:link w:val="CommentText"/>
    <w:rsid w:val="00045795"/>
  </w:style>
  <w:style w:type="paragraph" w:styleId="CommentSubject">
    <w:name w:val="annotation subject"/>
    <w:basedOn w:val="CommentText"/>
    <w:next w:val="CommentText"/>
    <w:link w:val="CommentSubjectChar"/>
    <w:rsid w:val="00045795"/>
    <w:rPr>
      <w:b/>
      <w:bCs/>
    </w:rPr>
  </w:style>
  <w:style w:type="character" w:customStyle="1" w:styleId="CommentSubjectChar">
    <w:name w:val="Comment Subject Char"/>
    <w:basedOn w:val="CommentTextChar"/>
    <w:link w:val="CommentSubject"/>
    <w:rsid w:val="00045795"/>
    <w:rPr>
      <w:b/>
      <w:bCs/>
    </w:rPr>
  </w:style>
  <w:style w:type="paragraph" w:styleId="NoSpacing">
    <w:name w:val="No Spacing"/>
    <w:uiPriority w:val="1"/>
    <w:qFormat/>
    <w:rsid w:val="00E35B11"/>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7F4751"/>
    <w:rPr>
      <w:rFonts w:asciiTheme="majorHAnsi" w:eastAsiaTheme="majorEastAsia" w:hAnsiTheme="majorHAnsi" w:cstheme="majorBidi"/>
      <w:color w:val="365F91" w:themeColor="accent1" w:themeShade="BF"/>
      <w:sz w:val="26"/>
      <w:szCs w:val="26"/>
    </w:rPr>
  </w:style>
  <w:style w:type="paragraph" w:customStyle="1" w:styleId="Default">
    <w:name w:val="Default"/>
    <w:rsid w:val="00E54FF5"/>
    <w:pPr>
      <w:autoSpaceDE w:val="0"/>
      <w:autoSpaceDN w:val="0"/>
      <w:adjustRightInd w:val="0"/>
    </w:pPr>
    <w:rPr>
      <w:rFonts w:ascii="Calibri" w:eastAsiaTheme="minorHAnsi" w:hAnsi="Calibri" w:cs="Calibri"/>
      <w:color w:val="000000"/>
      <w:sz w:val="24"/>
      <w:szCs w:val="24"/>
      <w14:ligatures w14:val="standardContextual"/>
    </w:rPr>
  </w:style>
  <w:style w:type="table" w:styleId="TableGrid">
    <w:name w:val="Table Grid"/>
    <w:basedOn w:val="TableNormal"/>
    <w:uiPriority w:val="39"/>
    <w:rsid w:val="00E54FF5"/>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134003">
      <w:bodyDiv w:val="1"/>
      <w:marLeft w:val="0"/>
      <w:marRight w:val="0"/>
      <w:marTop w:val="0"/>
      <w:marBottom w:val="0"/>
      <w:divBdr>
        <w:top w:val="none" w:sz="0" w:space="0" w:color="auto"/>
        <w:left w:val="none" w:sz="0" w:space="0" w:color="auto"/>
        <w:bottom w:val="none" w:sz="0" w:space="0" w:color="auto"/>
        <w:right w:val="none" w:sz="0" w:space="0" w:color="auto"/>
      </w:divBdr>
      <w:divsChild>
        <w:div w:id="659775639">
          <w:marLeft w:val="0"/>
          <w:marRight w:val="0"/>
          <w:marTop w:val="0"/>
          <w:marBottom w:val="0"/>
          <w:divBdr>
            <w:top w:val="none" w:sz="0" w:space="0" w:color="auto"/>
            <w:left w:val="none" w:sz="0" w:space="0" w:color="auto"/>
            <w:bottom w:val="none" w:sz="0" w:space="0" w:color="auto"/>
            <w:right w:val="none" w:sz="0" w:space="0" w:color="auto"/>
          </w:divBdr>
          <w:divsChild>
            <w:div w:id="1080178246">
              <w:marLeft w:val="0"/>
              <w:marRight w:val="0"/>
              <w:marTop w:val="0"/>
              <w:marBottom w:val="0"/>
              <w:divBdr>
                <w:top w:val="none" w:sz="0" w:space="0" w:color="auto"/>
                <w:left w:val="none" w:sz="0" w:space="0" w:color="auto"/>
                <w:bottom w:val="none" w:sz="0" w:space="0" w:color="auto"/>
                <w:right w:val="none" w:sz="0" w:space="0" w:color="auto"/>
              </w:divBdr>
              <w:divsChild>
                <w:div w:id="13105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99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vdhweb.vdh.virginia.gov/wp-content/uploads/2018/03/VDH-blu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412</Words>
  <Characters>2352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OCR Document</vt:lpstr>
    </vt:vector>
  </TitlesOfParts>
  <Company>I.R.I.S.</Company>
  <LinksUpToDate>false</LinksUpToDate>
  <CharactersWithSpaces>2759</CharactersWithSpaces>
  <SharedDoc>false</SharedDoc>
  <HLinks>
    <vt:vector size="6" baseType="variant">
      <vt:variant>
        <vt:i4>7536719</vt:i4>
      </vt:variant>
      <vt:variant>
        <vt:i4>0</vt:i4>
      </vt:variant>
      <vt:variant>
        <vt:i4>0</vt:i4>
      </vt:variant>
      <vt:variant>
        <vt:i4>5</vt:i4>
      </vt:variant>
      <vt:variant>
        <vt:lpwstr>mailto:alice.peyton@vdh.virginia.gov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creator>Readiris</dc:creator>
  <cp:lastModifiedBy>Anderson, Tamara (VDH)</cp:lastModifiedBy>
  <cp:revision>8</cp:revision>
  <cp:lastPrinted>2019-07-17T16:20:00Z</cp:lastPrinted>
  <dcterms:created xsi:type="dcterms:W3CDTF">2023-10-30T18:42:00Z</dcterms:created>
  <dcterms:modified xsi:type="dcterms:W3CDTF">2023-10-30T19:00:00Z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