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8D29" w14:textId="4D2B1D42" w:rsidR="006902C6" w:rsidRPr="008D77D8" w:rsidRDefault="00730F67" w:rsidP="00D75351">
      <w:pPr>
        <w:spacing w:before="72" w:after="240"/>
        <w:ind w:left="223" w:right="552" w:firstLine="1344"/>
        <w:jc w:val="center"/>
        <w:rPr>
          <w:b/>
          <w:sz w:val="44"/>
        </w:rPr>
      </w:pPr>
      <w:r w:rsidRPr="008D77D8">
        <w:rPr>
          <w:b/>
          <w:sz w:val="44"/>
        </w:rPr>
        <w:t>COMMONWEALTH OF VIRGINIA DRINKING WATER STATE REVOLVING FUND</w:t>
      </w:r>
      <w:r w:rsidR="00D75351" w:rsidRPr="008D77D8">
        <w:rPr>
          <w:b/>
          <w:sz w:val="44"/>
        </w:rPr>
        <w:t xml:space="preserve"> </w:t>
      </w:r>
      <w:r w:rsidRPr="008D77D8">
        <w:rPr>
          <w:b/>
          <w:sz w:val="44"/>
        </w:rPr>
        <w:t>PROGRAM</w:t>
      </w:r>
    </w:p>
    <w:p w14:paraId="15D5F616" w14:textId="140D9360" w:rsidR="00896044" w:rsidRPr="008D77D8" w:rsidRDefault="00730F67">
      <w:pPr>
        <w:pStyle w:val="Title"/>
      </w:pPr>
      <w:r w:rsidRPr="008D77D8">
        <w:t>PROGRAM DESIGN MANUAL</w:t>
      </w:r>
    </w:p>
    <w:p w14:paraId="4C4E6C4E" w14:textId="58C6EB59" w:rsidR="00896044" w:rsidRPr="008D77D8" w:rsidRDefault="006902C6" w:rsidP="00D75351">
      <w:pPr>
        <w:spacing w:before="273" w:line="360" w:lineRule="auto"/>
        <w:ind w:left="1549" w:right="1887"/>
        <w:jc w:val="center"/>
        <w:rPr>
          <w:b/>
          <w:sz w:val="36"/>
        </w:rPr>
      </w:pPr>
      <w:r w:rsidRPr="008D77D8">
        <w:rPr>
          <w:b/>
          <w:sz w:val="36"/>
        </w:rPr>
        <w:t>March</w:t>
      </w:r>
      <w:r w:rsidR="00476E0A" w:rsidRPr="008D77D8">
        <w:rPr>
          <w:b/>
          <w:sz w:val="36"/>
        </w:rPr>
        <w:t xml:space="preserve"> 202</w:t>
      </w:r>
      <w:r w:rsidR="009F6FEE" w:rsidRPr="008D77D8">
        <w:rPr>
          <w:b/>
          <w:sz w:val="36"/>
        </w:rPr>
        <w:t>6</w:t>
      </w:r>
    </w:p>
    <w:p w14:paraId="37EF77D6" w14:textId="162F9097" w:rsidR="00E424AE" w:rsidRPr="008D77D8" w:rsidRDefault="00730F67" w:rsidP="00D75351">
      <w:pPr>
        <w:pStyle w:val="BodyText"/>
        <w:spacing w:before="2" w:line="480" w:lineRule="auto"/>
        <w:jc w:val="center"/>
        <w:rPr>
          <w:b/>
        </w:rPr>
      </w:pPr>
      <w:r w:rsidRPr="008D77D8">
        <w:rPr>
          <w:noProof/>
        </w:rPr>
        <w:drawing>
          <wp:inline distT="0" distB="0" distL="0" distR="0" wp14:anchorId="55928DB8" wp14:editId="3D98A001">
            <wp:extent cx="2305562" cy="2305050"/>
            <wp:effectExtent l="0" t="0" r="0" b="0"/>
            <wp:docPr id="1" name="image1.png" descr="State seal for the Commonwealth of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tate seal for the Commonwealth of Virgin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562" cy="2305050"/>
                    </a:xfrm>
                    <a:prstGeom prst="rect">
                      <a:avLst/>
                    </a:prstGeom>
                  </pic:spPr>
                </pic:pic>
              </a:graphicData>
            </a:graphic>
          </wp:inline>
        </w:drawing>
      </w:r>
    </w:p>
    <w:p w14:paraId="301A4B04" w14:textId="71633847" w:rsidR="00D75351" w:rsidRPr="008D77D8" w:rsidRDefault="00D75351" w:rsidP="00D75351">
      <w:pPr>
        <w:pStyle w:val="BodyText"/>
        <w:spacing w:before="2"/>
        <w:jc w:val="center"/>
        <w:rPr>
          <w:b/>
        </w:rPr>
      </w:pPr>
      <w:r w:rsidRPr="008D77D8">
        <w:rPr>
          <w:b/>
          <w:noProof/>
        </w:rPr>
        <w:drawing>
          <wp:inline distT="0" distB="0" distL="0" distR="0" wp14:anchorId="0672E239" wp14:editId="77ABB9BF">
            <wp:extent cx="6705600" cy="3041650"/>
            <wp:effectExtent l="0" t="0" r="0" b="6350"/>
            <wp:docPr id="101813769" name="Picture 1" descr="Logos for the Virginia Department of Health, Office of Drinking Water, Financial and Construction Assistance Programs, The United States Environmental Protection Agency, and the Lead Elimination Assistan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3769" name="Picture 1" descr="Logos for the Virginia Department of Health, Office of Drinking Water, Financial and Construction Assistance Programs, The United States Environmental Protection Agency, and the Lead Elimination Assistance Program"/>
                    <pic:cNvPicPr/>
                  </pic:nvPicPr>
                  <pic:blipFill>
                    <a:blip r:embed="rId9"/>
                    <a:stretch>
                      <a:fillRect/>
                    </a:stretch>
                  </pic:blipFill>
                  <pic:spPr>
                    <a:xfrm>
                      <a:off x="0" y="0"/>
                      <a:ext cx="6705600" cy="3041650"/>
                    </a:xfrm>
                    <a:prstGeom prst="rect">
                      <a:avLst/>
                    </a:prstGeom>
                  </pic:spPr>
                </pic:pic>
              </a:graphicData>
            </a:graphic>
          </wp:inline>
        </w:drawing>
      </w:r>
    </w:p>
    <w:p w14:paraId="3BCACB5A" w14:textId="39B6E156" w:rsidR="00896044" w:rsidRPr="008D77D8" w:rsidRDefault="00730F67">
      <w:pPr>
        <w:spacing w:before="354"/>
        <w:ind w:left="215" w:right="656"/>
        <w:rPr>
          <w:sz w:val="16"/>
        </w:rPr>
      </w:pPr>
      <w:r w:rsidRPr="008D77D8">
        <w:rPr>
          <w:sz w:val="16"/>
        </w:rPr>
        <w:t xml:space="preserve">This project has been funded wholly or in part by the United States Environmental Protection Agency under assistance agreement 66.468 to VDH. The contents of this document do not necessarily reflect the views and policies of the Environmental Protection Agency, nor does </w:t>
      </w:r>
      <w:proofErr w:type="gramStart"/>
      <w:r w:rsidRPr="008D77D8">
        <w:rPr>
          <w:sz w:val="16"/>
        </w:rPr>
        <w:t>the EPA</w:t>
      </w:r>
      <w:proofErr w:type="gramEnd"/>
      <w:r w:rsidRPr="008D77D8">
        <w:rPr>
          <w:sz w:val="16"/>
        </w:rPr>
        <w:t xml:space="preserve"> endorse trade names or recommend the use of commercial products possibly mentioned in this document.</w:t>
      </w:r>
    </w:p>
    <w:p w14:paraId="6DE81D8D" w14:textId="77777777" w:rsidR="00896044" w:rsidRPr="008D77D8" w:rsidRDefault="00896044">
      <w:pPr>
        <w:rPr>
          <w:sz w:val="16"/>
        </w:rPr>
        <w:sectPr w:rsidR="00896044" w:rsidRPr="008D77D8" w:rsidSect="008C7D7A">
          <w:footerReference w:type="default" r:id="rId10"/>
          <w:type w:val="continuous"/>
          <w:pgSz w:w="12240" w:h="15840"/>
          <w:pgMar w:top="1500" w:right="600" w:bottom="1020" w:left="1080" w:header="0" w:footer="830" w:gutter="0"/>
          <w:pgNumType w:start="0"/>
          <w:cols w:space="720"/>
        </w:sectPr>
      </w:pPr>
    </w:p>
    <w:p w14:paraId="7CC28C9A" w14:textId="77777777" w:rsidR="00896044" w:rsidRPr="008D77D8" w:rsidRDefault="00896044">
      <w:pPr>
        <w:pStyle w:val="BodyText"/>
        <w:rPr>
          <w:sz w:val="15"/>
        </w:rPr>
      </w:pPr>
    </w:p>
    <w:p w14:paraId="4E98DCD1" w14:textId="77777777" w:rsidR="00896044" w:rsidRPr="008D77D8" w:rsidRDefault="00730F67">
      <w:pPr>
        <w:pStyle w:val="Heading1"/>
        <w:spacing w:before="90"/>
        <w:ind w:left="3529" w:right="3865"/>
      </w:pPr>
      <w:r w:rsidRPr="008D77D8">
        <w:t>Virginia Department of Health Office of Drinking Water</w:t>
      </w:r>
    </w:p>
    <w:p w14:paraId="595C14EB" w14:textId="77777777" w:rsidR="00896044" w:rsidRPr="008D77D8" w:rsidRDefault="00730F67">
      <w:pPr>
        <w:ind w:left="1546" w:right="1888"/>
        <w:jc w:val="center"/>
        <w:rPr>
          <w:b/>
          <w:sz w:val="24"/>
        </w:rPr>
      </w:pPr>
      <w:r w:rsidRPr="008D77D8">
        <w:rPr>
          <w:b/>
          <w:sz w:val="24"/>
        </w:rPr>
        <w:t>----------------------------------------------------------------------------------</w:t>
      </w:r>
    </w:p>
    <w:p w14:paraId="3C9B50CA" w14:textId="77777777" w:rsidR="00896044" w:rsidRPr="008D77D8" w:rsidRDefault="00730F67">
      <w:pPr>
        <w:pStyle w:val="Heading1"/>
        <w:ind w:left="1548" w:right="1888"/>
      </w:pPr>
      <w:hyperlink r:id="rId11">
        <w:r w:rsidRPr="008D77D8">
          <w:t>Financial and Construction Assistance Programs</w:t>
        </w:r>
      </w:hyperlink>
    </w:p>
    <w:p w14:paraId="6DFD3B34" w14:textId="77777777" w:rsidR="006902C6" w:rsidRPr="008D77D8" w:rsidRDefault="002124C7">
      <w:pPr>
        <w:spacing w:before="5"/>
        <w:ind w:left="1549" w:right="1888"/>
        <w:jc w:val="center"/>
        <w:rPr>
          <w:color w:val="0000FF"/>
          <w:sz w:val="20"/>
          <w:u w:val="single" w:color="0000FF"/>
        </w:rPr>
      </w:pPr>
      <w:hyperlink r:id="rId12" w:tgtFrame="_blank" w:history="1">
        <w:r w:rsidRPr="008D77D8">
          <w:rPr>
            <w:color w:val="0000FF"/>
            <w:sz w:val="20"/>
            <w:u w:val="single" w:color="0000FF"/>
          </w:rPr>
          <w:t>https://www.vdh.virginia.gov/drinking-water/fcap/</w:t>
        </w:r>
      </w:hyperlink>
      <w:r w:rsidRPr="008D77D8">
        <w:rPr>
          <w:color w:val="0000FF"/>
          <w:sz w:val="20"/>
          <w:u w:val="single" w:color="0000FF"/>
        </w:rPr>
        <w:t xml:space="preserve"> </w:t>
      </w:r>
    </w:p>
    <w:p w14:paraId="60B399B1" w14:textId="0F8EA283" w:rsidR="00896044" w:rsidRPr="008D77D8" w:rsidRDefault="00730F67">
      <w:pPr>
        <w:ind w:left="207"/>
        <w:rPr>
          <w:b/>
        </w:rPr>
      </w:pPr>
      <w:r w:rsidRPr="008D77D8">
        <w:rPr>
          <w:b/>
        </w:rPr>
        <w:t>LOCATIONS:</w:t>
      </w:r>
    </w:p>
    <w:p w14:paraId="651BF703" w14:textId="77777777" w:rsidR="00896044" w:rsidRPr="008D77D8" w:rsidRDefault="00730F67">
      <w:pPr>
        <w:spacing w:before="209" w:line="273" w:lineRule="exact"/>
        <w:ind w:left="939"/>
        <w:rPr>
          <w:sz w:val="24"/>
        </w:rPr>
      </w:pPr>
      <w:r w:rsidRPr="008D77D8">
        <w:rPr>
          <w:sz w:val="24"/>
        </w:rPr>
        <w:t>Central Office, 109 Governor Street - 6th Floor, Richmond, Virginia 23219</w:t>
      </w:r>
    </w:p>
    <w:p w14:paraId="589C1082" w14:textId="77777777" w:rsidR="006902C6" w:rsidRPr="008D77D8" w:rsidRDefault="00730F67">
      <w:pPr>
        <w:pStyle w:val="BodyText"/>
        <w:tabs>
          <w:tab w:val="left" w:pos="3819"/>
        </w:tabs>
        <w:spacing w:line="250" w:lineRule="exact"/>
        <w:ind w:left="939"/>
      </w:pPr>
      <w:r w:rsidRPr="008D77D8">
        <w:t>(804) 864 -7501</w:t>
      </w:r>
      <w:r w:rsidRPr="008D77D8">
        <w:tab/>
        <w:t>FAX: (804) 864 7521</w:t>
      </w:r>
    </w:p>
    <w:p w14:paraId="365CFA86" w14:textId="26D51BE6" w:rsidR="00896044" w:rsidRPr="008D77D8" w:rsidRDefault="00730F67">
      <w:pPr>
        <w:spacing w:line="273" w:lineRule="exact"/>
        <w:ind w:left="939"/>
        <w:rPr>
          <w:sz w:val="24"/>
        </w:rPr>
      </w:pPr>
      <w:r w:rsidRPr="008D77D8">
        <w:rPr>
          <w:sz w:val="24"/>
        </w:rPr>
        <w:t>Lexington Field Office, 131 Walker Street, Lexington, VA 24450</w:t>
      </w:r>
    </w:p>
    <w:p w14:paraId="7E5FDC5A" w14:textId="77777777" w:rsidR="006902C6" w:rsidRPr="008D77D8" w:rsidRDefault="00730F67">
      <w:pPr>
        <w:pStyle w:val="BodyText"/>
        <w:tabs>
          <w:tab w:val="left" w:pos="3819"/>
        </w:tabs>
        <w:spacing w:line="250" w:lineRule="exact"/>
        <w:ind w:left="939"/>
      </w:pPr>
      <w:r w:rsidRPr="008D77D8">
        <w:t>(540) 463-7136</w:t>
      </w:r>
      <w:r w:rsidRPr="008D77D8">
        <w:tab/>
      </w:r>
    </w:p>
    <w:p w14:paraId="5A0E9D07" w14:textId="76322FC7" w:rsidR="00896044" w:rsidRPr="008D77D8" w:rsidRDefault="00730F67">
      <w:pPr>
        <w:spacing w:line="274" w:lineRule="exact"/>
        <w:ind w:left="939"/>
        <w:rPr>
          <w:sz w:val="24"/>
        </w:rPr>
      </w:pPr>
      <w:r w:rsidRPr="008D77D8">
        <w:rPr>
          <w:sz w:val="24"/>
        </w:rPr>
        <w:t>Abingdon Field Office, 407 East Main Street, Suite 2, Abingdon, VA 24210</w:t>
      </w:r>
    </w:p>
    <w:p w14:paraId="02C3E9E1" w14:textId="77777777" w:rsidR="006902C6" w:rsidRPr="008D77D8" w:rsidRDefault="00730F67">
      <w:pPr>
        <w:pStyle w:val="BodyText"/>
        <w:tabs>
          <w:tab w:val="left" w:pos="3819"/>
        </w:tabs>
        <w:spacing w:line="251" w:lineRule="exact"/>
        <w:ind w:left="939"/>
      </w:pPr>
      <w:r w:rsidRPr="008D77D8">
        <w:t>(276) 676-5650</w:t>
      </w:r>
      <w:r w:rsidRPr="008D77D8">
        <w:tab/>
        <w:t>FAX: (276) 676-5659</w:t>
      </w:r>
    </w:p>
    <w:p w14:paraId="489F2305" w14:textId="3E955AA9" w:rsidR="00B20E02" w:rsidRPr="008D77D8" w:rsidRDefault="00B20E02">
      <w:pPr>
        <w:pStyle w:val="BodyText"/>
        <w:tabs>
          <w:tab w:val="left" w:pos="3819"/>
        </w:tabs>
        <w:spacing w:line="251" w:lineRule="exact"/>
        <w:ind w:left="939"/>
      </w:pPr>
      <w:r w:rsidRPr="008D77D8">
        <w:t>Danville Field Office, 211 Nor Dan Drive, Suite 1040, Danville, VA 24540</w:t>
      </w:r>
    </w:p>
    <w:p w14:paraId="41F27D3C" w14:textId="78DFF886" w:rsidR="00B20E02" w:rsidRPr="008D77D8" w:rsidRDefault="00B20E02">
      <w:pPr>
        <w:pStyle w:val="BodyText"/>
        <w:tabs>
          <w:tab w:val="left" w:pos="3819"/>
        </w:tabs>
        <w:spacing w:line="251" w:lineRule="exact"/>
        <w:ind w:left="939"/>
      </w:pPr>
      <w:r w:rsidRPr="008D77D8">
        <w:t>(434) 836-8416</w:t>
      </w:r>
      <w:r w:rsidRPr="008D77D8">
        <w:tab/>
        <w:t>FAX: (434) 836-8424</w:t>
      </w:r>
    </w:p>
    <w:p w14:paraId="0240DB77" w14:textId="77777777" w:rsidR="006902C6" w:rsidRPr="008D77D8" w:rsidRDefault="00730F67">
      <w:pPr>
        <w:tabs>
          <w:tab w:val="left" w:pos="1750"/>
        </w:tabs>
        <w:spacing w:before="212"/>
        <w:ind w:left="233"/>
        <w:rPr>
          <w:b/>
          <w:i/>
        </w:rPr>
      </w:pPr>
      <w:r w:rsidRPr="008D77D8">
        <w:rPr>
          <w:b/>
        </w:rPr>
        <w:t>CONTACTS</w:t>
      </w:r>
      <w:r w:rsidRPr="008D77D8">
        <w:rPr>
          <w:b/>
          <w:i/>
        </w:rPr>
        <w:t>:</w:t>
      </w:r>
      <w:r w:rsidRPr="008D77D8">
        <w:rPr>
          <w:b/>
          <w:i/>
        </w:rPr>
        <w:tab/>
      </w:r>
      <w:r w:rsidRPr="008D77D8">
        <w:rPr>
          <w:b/>
          <w:i/>
          <w:u w:val="single"/>
        </w:rPr>
        <w:t xml:space="preserve">As of </w:t>
      </w:r>
      <w:r w:rsidR="008D23C6" w:rsidRPr="008D77D8">
        <w:rPr>
          <w:b/>
          <w:i/>
          <w:u w:val="single"/>
        </w:rPr>
        <w:t xml:space="preserve">February </w:t>
      </w:r>
      <w:r w:rsidR="004008C9" w:rsidRPr="008D77D8">
        <w:rPr>
          <w:b/>
          <w:i/>
          <w:u w:val="single"/>
        </w:rPr>
        <w:t>2</w:t>
      </w:r>
      <w:r w:rsidR="00DB6E0B" w:rsidRPr="008D77D8">
        <w:rPr>
          <w:b/>
          <w:i/>
          <w:u w:val="single"/>
        </w:rPr>
        <w:t>6</w:t>
      </w:r>
      <w:r w:rsidR="008D23C6" w:rsidRPr="008D77D8">
        <w:rPr>
          <w:b/>
          <w:i/>
          <w:u w:val="single"/>
        </w:rPr>
        <w:t>, 202</w:t>
      </w:r>
      <w:r w:rsidR="0062378B" w:rsidRPr="008D77D8">
        <w:rPr>
          <w:b/>
          <w:i/>
          <w:u w:val="single"/>
        </w:rPr>
        <w:t>6</w:t>
      </w:r>
    </w:p>
    <w:p w14:paraId="579DC79E" w14:textId="30F0001B" w:rsidR="00896044" w:rsidRPr="008D77D8" w:rsidRDefault="00896044">
      <w:pPr>
        <w:rPr>
          <w:sz w:val="10"/>
        </w:rPr>
        <w:sectPr w:rsidR="00896044" w:rsidRPr="008D77D8">
          <w:headerReference w:type="default" r:id="rId13"/>
          <w:footerReference w:type="default" r:id="rId14"/>
          <w:pgSz w:w="12240" w:h="15840"/>
          <w:pgMar w:top="1200" w:right="600" w:bottom="960" w:left="1080" w:header="725" w:footer="778" w:gutter="0"/>
          <w:cols w:space="720"/>
        </w:sectPr>
      </w:pPr>
    </w:p>
    <w:p w14:paraId="5AFFD442" w14:textId="6F51790E" w:rsidR="00896044" w:rsidRPr="008D77D8" w:rsidRDefault="003331A1" w:rsidP="006B4176">
      <w:pPr>
        <w:pStyle w:val="ListParagraph"/>
        <w:numPr>
          <w:ilvl w:val="0"/>
          <w:numId w:val="27"/>
        </w:numPr>
        <w:tabs>
          <w:tab w:val="left" w:pos="577"/>
          <w:tab w:val="left" w:pos="6210"/>
        </w:tabs>
        <w:spacing w:line="276" w:lineRule="auto"/>
        <w:ind w:right="-160" w:hanging="396"/>
        <w:jc w:val="left"/>
      </w:pPr>
      <w:r w:rsidRPr="008D77D8">
        <w:rPr>
          <w:b/>
        </w:rPr>
        <w:t>Anthony Hess, MBA</w:t>
      </w:r>
      <w:r w:rsidR="00730F67" w:rsidRPr="008D77D8">
        <w:rPr>
          <w:b/>
        </w:rPr>
        <w:t xml:space="preserve">, </w:t>
      </w:r>
      <w:r w:rsidR="00730F67" w:rsidRPr="008D77D8">
        <w:t>Division Director</w:t>
      </w:r>
      <w:r w:rsidR="006B4176" w:rsidRPr="008D77D8">
        <w:t xml:space="preserve"> </w:t>
      </w:r>
      <w:r w:rsidR="006B4176" w:rsidRPr="008D77D8">
        <w:tab/>
        <w:t xml:space="preserve">Email: </w:t>
      </w:r>
      <w:hyperlink r:id="rId15">
        <w:r w:rsidR="006B4176" w:rsidRPr="008D77D8">
          <w:rPr>
            <w:color w:val="0000FF"/>
            <w:u w:val="single" w:color="0000FF"/>
          </w:rPr>
          <w:t>Anthony.Hess@vdh.virginia.gov</w:t>
        </w:r>
      </w:hyperlink>
    </w:p>
    <w:p w14:paraId="54D7D2D1" w14:textId="78E0BBB8" w:rsidR="00896044" w:rsidRPr="008D77D8" w:rsidRDefault="00730F67" w:rsidP="006B4176">
      <w:pPr>
        <w:pStyle w:val="BodyText"/>
        <w:spacing w:line="360" w:lineRule="auto"/>
        <w:ind w:left="560" w:right="2053"/>
      </w:pPr>
      <w:r w:rsidRPr="008D77D8">
        <w:t xml:space="preserve">(804) </w:t>
      </w:r>
      <w:r w:rsidR="003331A1" w:rsidRPr="008D77D8">
        <w:t>584</w:t>
      </w:r>
      <w:r w:rsidRPr="008D77D8">
        <w:t>-</w:t>
      </w:r>
      <w:r w:rsidR="003331A1" w:rsidRPr="008D77D8">
        <w:t>0413</w:t>
      </w:r>
      <w:r w:rsidR="0016771A" w:rsidRPr="008D77D8">
        <w:t xml:space="preserve"> </w:t>
      </w:r>
      <w:r w:rsidRPr="008D77D8">
        <w:t>(</w:t>
      </w:r>
      <w:r w:rsidR="003331A1" w:rsidRPr="008D77D8">
        <w:t>Lexington</w:t>
      </w:r>
      <w:r w:rsidRPr="008D77D8">
        <w:t>)</w:t>
      </w:r>
    </w:p>
    <w:p w14:paraId="76BF7443" w14:textId="604E1EC9" w:rsidR="00896044" w:rsidRPr="008D77D8" w:rsidRDefault="00730F67" w:rsidP="006B4176">
      <w:pPr>
        <w:pStyle w:val="ListParagraph"/>
        <w:numPr>
          <w:ilvl w:val="0"/>
          <w:numId w:val="27"/>
        </w:numPr>
        <w:tabs>
          <w:tab w:val="left" w:pos="577"/>
          <w:tab w:val="left" w:pos="6210"/>
        </w:tabs>
        <w:spacing w:line="276" w:lineRule="auto"/>
        <w:ind w:right="-160" w:hanging="396"/>
        <w:jc w:val="left"/>
      </w:pPr>
      <w:r w:rsidRPr="008D77D8">
        <w:rPr>
          <w:b/>
        </w:rPr>
        <w:t xml:space="preserve">Keith </w:t>
      </w:r>
      <w:r w:rsidR="002C36A1" w:rsidRPr="008D77D8">
        <w:rPr>
          <w:b/>
        </w:rPr>
        <w:t>Kor</w:t>
      </w:r>
      <w:r w:rsidRPr="008D77D8">
        <w:rPr>
          <w:b/>
        </w:rPr>
        <w:t>negay, P</w:t>
      </w:r>
      <w:r w:rsidR="009F6FEE" w:rsidRPr="008D77D8">
        <w:rPr>
          <w:b/>
        </w:rPr>
        <w:t>.</w:t>
      </w:r>
      <w:r w:rsidRPr="008D77D8">
        <w:rPr>
          <w:b/>
        </w:rPr>
        <w:t>E</w:t>
      </w:r>
      <w:r w:rsidR="009F6FEE" w:rsidRPr="008D77D8">
        <w:rPr>
          <w:b/>
        </w:rPr>
        <w:t>.</w:t>
      </w:r>
      <w:r w:rsidRPr="008D77D8">
        <w:t>, SRF Project Team Leader</w:t>
      </w:r>
      <w:r w:rsidR="006B4176" w:rsidRPr="008D77D8">
        <w:t xml:space="preserve"> </w:t>
      </w:r>
      <w:r w:rsidR="006B4176" w:rsidRPr="008D77D8">
        <w:tab/>
        <w:t xml:space="preserve">Email: </w:t>
      </w:r>
      <w:hyperlink r:id="rId16" w:history="1">
        <w:r w:rsidR="006B4176" w:rsidRPr="008D77D8">
          <w:rPr>
            <w:rStyle w:val="Hyperlink"/>
          </w:rPr>
          <w:t>Keith.Kornegay@vdh.virginia.gov</w:t>
        </w:r>
      </w:hyperlink>
      <w:r w:rsidR="006B4176" w:rsidRPr="008D77D8">
        <w:t xml:space="preserve"> </w:t>
      </w:r>
    </w:p>
    <w:p w14:paraId="7FD57219" w14:textId="6F9D194E" w:rsidR="00896044" w:rsidRPr="008D77D8" w:rsidRDefault="00730F67" w:rsidP="006B4176">
      <w:pPr>
        <w:pStyle w:val="BodyText"/>
        <w:spacing w:line="360" w:lineRule="auto"/>
        <w:ind w:left="560" w:right="2053"/>
      </w:pPr>
      <w:r w:rsidRPr="008D77D8">
        <w:t>(</w:t>
      </w:r>
      <w:r w:rsidR="003331A1" w:rsidRPr="008D77D8">
        <w:t>804</w:t>
      </w:r>
      <w:r w:rsidRPr="008D77D8">
        <w:t xml:space="preserve">) </w:t>
      </w:r>
      <w:r w:rsidR="003331A1" w:rsidRPr="008D77D8">
        <w:t>510-8301</w:t>
      </w:r>
      <w:r w:rsidRPr="008D77D8">
        <w:t xml:space="preserve"> (Lexington)</w:t>
      </w:r>
    </w:p>
    <w:p w14:paraId="3A87241D" w14:textId="0054F0A4" w:rsidR="00896044" w:rsidRPr="008D77D8" w:rsidRDefault="00730F67" w:rsidP="006B4176">
      <w:pPr>
        <w:pStyle w:val="ListParagraph"/>
        <w:numPr>
          <w:ilvl w:val="0"/>
          <w:numId w:val="27"/>
        </w:numPr>
        <w:tabs>
          <w:tab w:val="left" w:pos="577"/>
          <w:tab w:val="left" w:pos="6210"/>
        </w:tabs>
        <w:spacing w:line="276" w:lineRule="auto"/>
        <w:ind w:right="-160" w:hanging="396"/>
        <w:jc w:val="left"/>
      </w:pPr>
      <w:r w:rsidRPr="008D77D8">
        <w:rPr>
          <w:b/>
        </w:rPr>
        <w:t>Theresa Hewlett</w:t>
      </w:r>
      <w:r w:rsidRPr="008D77D8">
        <w:t>, Program Support Tech Senior</w:t>
      </w:r>
      <w:r w:rsidR="006B4176" w:rsidRPr="008D77D8">
        <w:t xml:space="preserve"> </w:t>
      </w:r>
      <w:r w:rsidR="006B4176" w:rsidRPr="008D77D8">
        <w:tab/>
        <w:t xml:space="preserve">Email: </w:t>
      </w:r>
      <w:hyperlink r:id="rId17">
        <w:r w:rsidR="006B4176" w:rsidRPr="008D77D8">
          <w:rPr>
            <w:color w:val="0000FF"/>
            <w:u w:val="single" w:color="0000FF"/>
          </w:rPr>
          <w:t>Theresa.Hewlett@vdh.virginia.gov</w:t>
        </w:r>
      </w:hyperlink>
    </w:p>
    <w:p w14:paraId="14F1117B" w14:textId="1FB4A14F" w:rsidR="00896044" w:rsidRPr="008D77D8" w:rsidRDefault="00730F67" w:rsidP="006B4176">
      <w:pPr>
        <w:pStyle w:val="BodyText"/>
        <w:spacing w:line="360" w:lineRule="auto"/>
        <w:ind w:left="560" w:right="2053"/>
      </w:pPr>
      <w:r w:rsidRPr="008D77D8">
        <w:t>(804) 864-7501 (Richmond)</w:t>
      </w:r>
    </w:p>
    <w:p w14:paraId="7F3847F6" w14:textId="55A06465" w:rsidR="00896044" w:rsidRPr="008D77D8" w:rsidRDefault="00730F67" w:rsidP="006B4176">
      <w:pPr>
        <w:pStyle w:val="ListParagraph"/>
        <w:numPr>
          <w:ilvl w:val="0"/>
          <w:numId w:val="27"/>
        </w:numPr>
        <w:tabs>
          <w:tab w:val="left" w:pos="577"/>
          <w:tab w:val="left" w:pos="6210"/>
        </w:tabs>
        <w:spacing w:line="276" w:lineRule="auto"/>
        <w:ind w:right="-160" w:hanging="396"/>
        <w:jc w:val="left"/>
      </w:pPr>
      <w:r w:rsidRPr="008D77D8">
        <w:rPr>
          <w:b/>
        </w:rPr>
        <w:t>Howard Eckstein</w:t>
      </w:r>
      <w:r w:rsidRPr="008D77D8">
        <w:t>, Project Officer</w:t>
      </w:r>
      <w:r w:rsidR="006B4176" w:rsidRPr="008D77D8">
        <w:t xml:space="preserve"> </w:t>
      </w:r>
      <w:r w:rsidR="006B4176" w:rsidRPr="008D77D8">
        <w:tab/>
        <w:t xml:space="preserve">Email: </w:t>
      </w:r>
      <w:hyperlink r:id="rId18">
        <w:r w:rsidR="006B4176" w:rsidRPr="008D77D8">
          <w:rPr>
            <w:color w:val="0000FF"/>
            <w:u w:val="single" w:color="0000FF"/>
          </w:rPr>
          <w:t>Howard.Eckstein@vdh.virginia.gov</w:t>
        </w:r>
      </w:hyperlink>
    </w:p>
    <w:p w14:paraId="4DAB43B6" w14:textId="66DBF78C" w:rsidR="00896044" w:rsidRPr="008D77D8" w:rsidRDefault="00730F67" w:rsidP="006B4176">
      <w:pPr>
        <w:pStyle w:val="BodyText"/>
        <w:spacing w:line="360" w:lineRule="auto"/>
        <w:ind w:left="560" w:right="2053"/>
      </w:pPr>
      <w:r w:rsidRPr="008D77D8">
        <w:t>(804) 382-7694 (Richmond)</w:t>
      </w:r>
    </w:p>
    <w:p w14:paraId="3E517BAD" w14:textId="053865F7" w:rsidR="00896044" w:rsidRPr="008D77D8" w:rsidRDefault="003331A1" w:rsidP="006B4176">
      <w:pPr>
        <w:pStyle w:val="ListParagraph"/>
        <w:numPr>
          <w:ilvl w:val="0"/>
          <w:numId w:val="27"/>
        </w:numPr>
        <w:tabs>
          <w:tab w:val="left" w:pos="577"/>
          <w:tab w:val="left" w:pos="6210"/>
        </w:tabs>
        <w:spacing w:line="276" w:lineRule="auto"/>
        <w:ind w:right="-160" w:hanging="396"/>
        <w:jc w:val="left"/>
      </w:pPr>
      <w:r w:rsidRPr="008D77D8">
        <w:rPr>
          <w:b/>
        </w:rPr>
        <w:t>Christine Latino</w:t>
      </w:r>
      <w:r w:rsidR="00730F67" w:rsidRPr="008D77D8">
        <w:rPr>
          <w:b/>
        </w:rPr>
        <w:t xml:space="preserve">, </w:t>
      </w:r>
      <w:r w:rsidR="00730F67" w:rsidRPr="008D77D8">
        <w:t xml:space="preserve">Project </w:t>
      </w:r>
      <w:r w:rsidRPr="008D77D8">
        <w:t>Officer</w:t>
      </w:r>
      <w:r w:rsidR="006B4176" w:rsidRPr="008D77D8">
        <w:t xml:space="preserve"> </w:t>
      </w:r>
      <w:r w:rsidR="006B4176" w:rsidRPr="008D77D8">
        <w:tab/>
        <w:t xml:space="preserve">Email: </w:t>
      </w:r>
      <w:hyperlink r:id="rId19" w:history="1">
        <w:r w:rsidR="006B4176" w:rsidRPr="008D77D8">
          <w:rPr>
            <w:rStyle w:val="Hyperlink"/>
          </w:rPr>
          <w:t>Christine.Latino@vdh.virginia.gov</w:t>
        </w:r>
      </w:hyperlink>
    </w:p>
    <w:p w14:paraId="15BCE35A" w14:textId="654D7059" w:rsidR="00896044" w:rsidRPr="008D77D8" w:rsidRDefault="00730F67" w:rsidP="006B4176">
      <w:pPr>
        <w:pStyle w:val="BodyText"/>
        <w:spacing w:line="360" w:lineRule="auto"/>
        <w:ind w:left="560" w:right="2053"/>
      </w:pPr>
      <w:r w:rsidRPr="008D77D8">
        <w:t>(</w:t>
      </w:r>
      <w:r w:rsidR="003331A1" w:rsidRPr="008D77D8">
        <w:t>804</w:t>
      </w:r>
      <w:r w:rsidRPr="008D77D8">
        <w:t xml:space="preserve">) </w:t>
      </w:r>
      <w:r w:rsidR="003331A1" w:rsidRPr="008D77D8">
        <w:t>664-4403</w:t>
      </w:r>
      <w:r w:rsidRPr="008D77D8">
        <w:t xml:space="preserve"> (</w:t>
      </w:r>
      <w:r w:rsidR="003331A1" w:rsidRPr="008D77D8">
        <w:t>Richmond</w:t>
      </w:r>
      <w:r w:rsidRPr="008D77D8">
        <w:t>)</w:t>
      </w:r>
    </w:p>
    <w:p w14:paraId="6A8D91A0" w14:textId="5B7AA9F8" w:rsidR="004008C9" w:rsidRPr="008D77D8" w:rsidRDefault="003331A1" w:rsidP="006B4176">
      <w:pPr>
        <w:pStyle w:val="ListParagraph"/>
        <w:numPr>
          <w:ilvl w:val="0"/>
          <w:numId w:val="27"/>
        </w:numPr>
        <w:tabs>
          <w:tab w:val="left" w:pos="577"/>
          <w:tab w:val="left" w:pos="6210"/>
        </w:tabs>
        <w:spacing w:line="276" w:lineRule="auto"/>
        <w:ind w:right="-160" w:hanging="396"/>
        <w:jc w:val="left"/>
      </w:pPr>
      <w:r w:rsidRPr="008D77D8">
        <w:rPr>
          <w:b/>
        </w:rPr>
        <w:t>Leonardo Suarez Parada</w:t>
      </w:r>
      <w:r w:rsidR="00730F67" w:rsidRPr="008D77D8">
        <w:rPr>
          <w:b/>
        </w:rPr>
        <w:t xml:space="preserve">, </w:t>
      </w:r>
      <w:r w:rsidR="00730F67" w:rsidRPr="008D77D8">
        <w:t>Project Manager</w:t>
      </w:r>
      <w:r w:rsidR="00D727FF" w:rsidRPr="008D77D8">
        <w:t xml:space="preserve"> </w:t>
      </w:r>
      <w:r w:rsidR="006B4176" w:rsidRPr="008D77D8">
        <w:tab/>
        <w:t xml:space="preserve">Email: </w:t>
      </w:r>
      <w:hyperlink r:id="rId20" w:history="1">
        <w:r w:rsidR="006B4176" w:rsidRPr="008D77D8">
          <w:rPr>
            <w:rStyle w:val="Hyperlink"/>
          </w:rPr>
          <w:t>Leonardo.SuarezParada@vdh.virginia.gov</w:t>
        </w:r>
      </w:hyperlink>
    </w:p>
    <w:p w14:paraId="2A128BB7" w14:textId="360EA2F0" w:rsidR="00896044" w:rsidRPr="008D77D8" w:rsidRDefault="00730F67" w:rsidP="0085653E">
      <w:pPr>
        <w:pStyle w:val="ListParagraph"/>
        <w:tabs>
          <w:tab w:val="left" w:pos="577"/>
        </w:tabs>
        <w:spacing w:line="360" w:lineRule="auto"/>
        <w:ind w:left="576" w:right="290" w:firstLine="0"/>
      </w:pPr>
      <w:r w:rsidRPr="008D77D8">
        <w:t xml:space="preserve">(804) </w:t>
      </w:r>
      <w:r w:rsidR="003331A1" w:rsidRPr="008D77D8">
        <w:t>629-0381</w:t>
      </w:r>
      <w:r w:rsidRPr="008D77D8">
        <w:t xml:space="preserve"> (Richmond)</w:t>
      </w:r>
    </w:p>
    <w:p w14:paraId="386FAE21" w14:textId="135A1342" w:rsidR="0085653E" w:rsidRPr="008D77D8" w:rsidRDefault="0085653E" w:rsidP="006B4176">
      <w:pPr>
        <w:pStyle w:val="ListParagraph"/>
        <w:numPr>
          <w:ilvl w:val="0"/>
          <w:numId w:val="27"/>
        </w:numPr>
        <w:tabs>
          <w:tab w:val="left" w:pos="577"/>
          <w:tab w:val="left" w:pos="6210"/>
        </w:tabs>
        <w:spacing w:line="276" w:lineRule="auto"/>
        <w:ind w:right="-160" w:hanging="396"/>
        <w:jc w:val="left"/>
      </w:pPr>
      <w:r w:rsidRPr="008D77D8">
        <w:rPr>
          <w:b/>
        </w:rPr>
        <w:t>Brianna Cornett</w:t>
      </w:r>
      <w:r w:rsidRPr="008D77D8">
        <w:rPr>
          <w:bCs/>
        </w:rPr>
        <w:t>,</w:t>
      </w:r>
      <w:r w:rsidRPr="008D77D8">
        <w:t xml:space="preserve"> Project Manager</w:t>
      </w:r>
      <w:r w:rsidR="006B4176" w:rsidRPr="008D77D8">
        <w:t xml:space="preserve"> </w:t>
      </w:r>
      <w:r w:rsidR="006B4176" w:rsidRPr="008D77D8">
        <w:tab/>
        <w:t xml:space="preserve">Email: </w:t>
      </w:r>
      <w:hyperlink r:id="rId21" w:history="1">
        <w:r w:rsidR="006B4176" w:rsidRPr="008D77D8">
          <w:rPr>
            <w:rStyle w:val="Hyperlink"/>
          </w:rPr>
          <w:t>Brianna.Cornett@vdh.virginia.gov</w:t>
        </w:r>
      </w:hyperlink>
    </w:p>
    <w:p w14:paraId="16E0C36A" w14:textId="3ED40B30" w:rsidR="0085653E" w:rsidRPr="008D77D8" w:rsidRDefault="0085653E" w:rsidP="0085653E">
      <w:pPr>
        <w:pStyle w:val="ListParagraph"/>
        <w:tabs>
          <w:tab w:val="left" w:pos="577"/>
        </w:tabs>
        <w:spacing w:line="360" w:lineRule="auto"/>
        <w:ind w:left="576" w:right="290" w:firstLine="0"/>
      </w:pPr>
      <w:r w:rsidRPr="008D77D8">
        <w:t>(276) 739-8173 (Abingdon)</w:t>
      </w:r>
    </w:p>
    <w:p w14:paraId="2486A6C0" w14:textId="01A18859" w:rsidR="00896044" w:rsidRPr="008D77D8" w:rsidRDefault="00730F67" w:rsidP="006B4176">
      <w:pPr>
        <w:pStyle w:val="ListParagraph"/>
        <w:numPr>
          <w:ilvl w:val="0"/>
          <w:numId w:val="27"/>
        </w:numPr>
        <w:tabs>
          <w:tab w:val="left" w:pos="577"/>
          <w:tab w:val="left" w:pos="6210"/>
        </w:tabs>
        <w:spacing w:line="276" w:lineRule="auto"/>
        <w:ind w:right="-160" w:hanging="396"/>
        <w:jc w:val="left"/>
      </w:pPr>
      <w:r w:rsidRPr="008D77D8">
        <w:rPr>
          <w:b/>
        </w:rPr>
        <w:t>Brad Humphrey</w:t>
      </w:r>
      <w:r w:rsidRPr="008D77D8">
        <w:t>, Project Manager</w:t>
      </w:r>
      <w:r w:rsidR="006B4176" w:rsidRPr="008D77D8">
        <w:t xml:space="preserve"> </w:t>
      </w:r>
      <w:r w:rsidR="006B4176" w:rsidRPr="008D77D8">
        <w:tab/>
        <w:t xml:space="preserve">Email: </w:t>
      </w:r>
      <w:hyperlink r:id="rId22">
        <w:r w:rsidR="006B4176" w:rsidRPr="008D77D8">
          <w:rPr>
            <w:color w:val="0000FF"/>
            <w:u w:val="single" w:color="0000FF"/>
          </w:rPr>
          <w:t>Brad.Humphrey@vdh.virginia.gov</w:t>
        </w:r>
      </w:hyperlink>
    </w:p>
    <w:p w14:paraId="2A14D173" w14:textId="1F9AD229" w:rsidR="0085653E" w:rsidRPr="008D77D8" w:rsidRDefault="00730F67" w:rsidP="0085653E">
      <w:pPr>
        <w:pStyle w:val="ListParagraph"/>
        <w:tabs>
          <w:tab w:val="left" w:pos="577"/>
        </w:tabs>
        <w:spacing w:line="360" w:lineRule="auto"/>
        <w:ind w:left="576" w:right="290" w:firstLine="0"/>
      </w:pPr>
      <w:r w:rsidRPr="008D77D8">
        <w:t>(</w:t>
      </w:r>
      <w:r w:rsidR="0023416F" w:rsidRPr="008D77D8">
        <w:t>804</w:t>
      </w:r>
      <w:r w:rsidRPr="008D77D8">
        <w:t xml:space="preserve">) </w:t>
      </w:r>
      <w:r w:rsidR="0023416F" w:rsidRPr="008D77D8">
        <w:t>337</w:t>
      </w:r>
      <w:r w:rsidRPr="008D77D8">
        <w:t>-</w:t>
      </w:r>
      <w:r w:rsidR="0023416F" w:rsidRPr="008D77D8">
        <w:t>7178</w:t>
      </w:r>
      <w:r w:rsidRPr="008D77D8">
        <w:t xml:space="preserve"> (Abingdon)</w:t>
      </w:r>
    </w:p>
    <w:p w14:paraId="6021D657" w14:textId="2CF868BE" w:rsidR="004008C9" w:rsidRPr="008D77D8" w:rsidRDefault="00151A84" w:rsidP="006B4176">
      <w:pPr>
        <w:pStyle w:val="ListParagraph"/>
        <w:numPr>
          <w:ilvl w:val="0"/>
          <w:numId w:val="27"/>
        </w:numPr>
        <w:tabs>
          <w:tab w:val="left" w:pos="577"/>
          <w:tab w:val="left" w:pos="6210"/>
        </w:tabs>
        <w:spacing w:line="276" w:lineRule="auto"/>
        <w:ind w:right="-160" w:hanging="396"/>
        <w:jc w:val="left"/>
      </w:pPr>
      <w:r w:rsidRPr="008D77D8">
        <w:rPr>
          <w:b/>
        </w:rPr>
        <w:t xml:space="preserve">Jeanean </w:t>
      </w:r>
      <w:r w:rsidR="00DB327D" w:rsidRPr="008D77D8">
        <w:rPr>
          <w:b/>
        </w:rPr>
        <w:t xml:space="preserve">B. </w:t>
      </w:r>
      <w:r w:rsidRPr="008D77D8">
        <w:rPr>
          <w:b/>
        </w:rPr>
        <w:t>Francis</w:t>
      </w:r>
      <w:r w:rsidRPr="008D77D8">
        <w:t>, Project Manager</w:t>
      </w:r>
      <w:r w:rsidR="006B4176" w:rsidRPr="008D77D8">
        <w:t xml:space="preserve"> </w:t>
      </w:r>
      <w:r w:rsidR="006B4176" w:rsidRPr="008D77D8">
        <w:tab/>
        <w:t xml:space="preserve">Email: </w:t>
      </w:r>
      <w:hyperlink r:id="rId23" w:history="1">
        <w:r w:rsidR="006B4176" w:rsidRPr="008D77D8">
          <w:rPr>
            <w:rStyle w:val="Hyperlink"/>
          </w:rPr>
          <w:t>Jeanean.Bustamante@vdh.virginia.gov</w:t>
        </w:r>
      </w:hyperlink>
    </w:p>
    <w:p w14:paraId="49C1689D" w14:textId="6E8C38A1" w:rsidR="00151A84" w:rsidRPr="008D77D8" w:rsidRDefault="00151A84" w:rsidP="0085653E">
      <w:pPr>
        <w:pStyle w:val="ListParagraph"/>
        <w:tabs>
          <w:tab w:val="left" w:pos="577"/>
        </w:tabs>
        <w:spacing w:line="360" w:lineRule="auto"/>
        <w:ind w:left="576" w:firstLine="0"/>
      </w:pPr>
      <w:r w:rsidRPr="008D77D8">
        <w:tab/>
        <w:t>(804) 292-5681 (Danville)</w:t>
      </w:r>
    </w:p>
    <w:p w14:paraId="006F198A" w14:textId="50D71385" w:rsidR="0085653E" w:rsidRPr="008D77D8" w:rsidRDefault="0085653E" w:rsidP="006B4176">
      <w:pPr>
        <w:pStyle w:val="ListParagraph"/>
        <w:numPr>
          <w:ilvl w:val="0"/>
          <w:numId w:val="27"/>
        </w:numPr>
        <w:tabs>
          <w:tab w:val="left" w:pos="577"/>
          <w:tab w:val="left" w:pos="6210"/>
        </w:tabs>
        <w:spacing w:line="276" w:lineRule="auto"/>
        <w:ind w:right="-160" w:hanging="396"/>
        <w:jc w:val="left"/>
      </w:pPr>
      <w:r w:rsidRPr="008D77D8">
        <w:rPr>
          <w:b/>
        </w:rPr>
        <w:t>Christian Michael</w:t>
      </w:r>
      <w:r w:rsidRPr="008D77D8">
        <w:rPr>
          <w:bCs/>
        </w:rPr>
        <w:t>,</w:t>
      </w:r>
      <w:r w:rsidRPr="008D77D8">
        <w:t xml:space="preserve"> Project Manager</w:t>
      </w:r>
      <w:r w:rsidR="006B4176" w:rsidRPr="008D77D8">
        <w:t xml:space="preserve"> </w:t>
      </w:r>
      <w:r w:rsidR="006B4176" w:rsidRPr="008D77D8">
        <w:tab/>
        <w:t xml:space="preserve">Email: </w:t>
      </w:r>
      <w:hyperlink r:id="rId24" w:history="1">
        <w:r w:rsidR="006B4176" w:rsidRPr="008D77D8">
          <w:rPr>
            <w:rStyle w:val="Hyperlink"/>
          </w:rPr>
          <w:t>Christian.Michael@vdh.virginia.gov</w:t>
        </w:r>
      </w:hyperlink>
    </w:p>
    <w:p w14:paraId="073BF367" w14:textId="4124C8C0" w:rsidR="0085653E" w:rsidRPr="008D77D8" w:rsidRDefault="0085653E" w:rsidP="0085653E">
      <w:pPr>
        <w:pStyle w:val="ListParagraph"/>
        <w:tabs>
          <w:tab w:val="left" w:pos="577"/>
        </w:tabs>
        <w:spacing w:line="360" w:lineRule="auto"/>
        <w:ind w:left="576" w:firstLine="0"/>
      </w:pPr>
      <w:r w:rsidRPr="008D77D8">
        <w:t>(540) 784-6938 (Lexington)</w:t>
      </w:r>
    </w:p>
    <w:p w14:paraId="0FED537A" w14:textId="6614BA21" w:rsidR="00896044" w:rsidRPr="008D77D8" w:rsidRDefault="0062378B" w:rsidP="006B4176">
      <w:pPr>
        <w:pStyle w:val="ListParagraph"/>
        <w:numPr>
          <w:ilvl w:val="0"/>
          <w:numId w:val="27"/>
        </w:numPr>
        <w:tabs>
          <w:tab w:val="left" w:pos="577"/>
          <w:tab w:val="left" w:pos="6210"/>
        </w:tabs>
        <w:spacing w:line="276" w:lineRule="auto"/>
        <w:ind w:right="-160" w:hanging="396"/>
        <w:jc w:val="left"/>
      </w:pPr>
      <w:r w:rsidRPr="008D77D8">
        <w:rPr>
          <w:b/>
        </w:rPr>
        <w:t xml:space="preserve">Sarah Rowe, </w:t>
      </w:r>
      <w:r w:rsidR="00730F67" w:rsidRPr="008D77D8">
        <w:t>Capacity Development</w:t>
      </w:r>
      <w:r w:rsidR="003331A1" w:rsidRPr="008D77D8">
        <w:t xml:space="preserve"> Supervisor</w:t>
      </w:r>
      <w:r w:rsidR="006B4176" w:rsidRPr="008D77D8">
        <w:t xml:space="preserve"> </w:t>
      </w:r>
      <w:r w:rsidR="006B4176" w:rsidRPr="008D77D8">
        <w:tab/>
        <w:t xml:space="preserve">Email: </w:t>
      </w:r>
      <w:hyperlink r:id="rId25" w:history="1">
        <w:r w:rsidR="006B4176" w:rsidRPr="008D77D8">
          <w:rPr>
            <w:rStyle w:val="Hyperlink"/>
          </w:rPr>
          <w:t>Sarah.Rowe@vdh.virginia.gov</w:t>
        </w:r>
      </w:hyperlink>
    </w:p>
    <w:p w14:paraId="429480C7" w14:textId="2E6FAD1C" w:rsidR="00896044" w:rsidRPr="008D77D8" w:rsidRDefault="00730F67" w:rsidP="006B4176">
      <w:pPr>
        <w:pStyle w:val="BodyText"/>
        <w:spacing w:line="276" w:lineRule="auto"/>
        <w:ind w:left="577"/>
        <w:sectPr w:rsidR="00896044" w:rsidRPr="008D77D8" w:rsidSect="006B4176">
          <w:type w:val="continuous"/>
          <w:pgSz w:w="12240" w:h="15840"/>
          <w:pgMar w:top="1500" w:right="600" w:bottom="1020" w:left="1080" w:header="725" w:footer="778" w:gutter="0"/>
          <w:cols w:space="816"/>
        </w:sectPr>
      </w:pPr>
      <w:r w:rsidRPr="008D77D8">
        <w:t xml:space="preserve">(804) </w:t>
      </w:r>
      <w:r w:rsidR="0062378B" w:rsidRPr="008D77D8">
        <w:t xml:space="preserve">965-4385 </w:t>
      </w:r>
      <w:r w:rsidRPr="008D77D8">
        <w:t>(Richmond)</w:t>
      </w:r>
    </w:p>
    <w:p w14:paraId="3A18B02B" w14:textId="77777777" w:rsidR="00896044" w:rsidRPr="008D77D8" w:rsidRDefault="00730F67">
      <w:pPr>
        <w:pStyle w:val="Heading1"/>
        <w:spacing w:before="90"/>
        <w:ind w:left="1549" w:right="1166"/>
      </w:pPr>
      <w:r w:rsidRPr="008D77D8">
        <w:rPr>
          <w:u w:val="single"/>
        </w:rPr>
        <w:lastRenderedPageBreak/>
        <w:t>PROGRAM DESIGN MANUAL - TABLE OF CONTENTS</w:t>
      </w:r>
    </w:p>
    <w:p w14:paraId="602B3517" w14:textId="77777777" w:rsidR="00896044" w:rsidRPr="008D77D8" w:rsidRDefault="00730F67" w:rsidP="00476E0A">
      <w:pPr>
        <w:ind w:left="7920" w:right="153" w:firstLine="1440"/>
        <w:rPr>
          <w:b/>
          <w:sz w:val="24"/>
        </w:rPr>
      </w:pPr>
      <w:r w:rsidRPr="008D77D8">
        <w:rPr>
          <w:b/>
          <w:sz w:val="24"/>
        </w:rPr>
        <w:t>PAGE</w:t>
      </w:r>
    </w:p>
    <w:p w14:paraId="74A09A87" w14:textId="77777777" w:rsidR="00896044" w:rsidRPr="008D77D8" w:rsidRDefault="00730F67">
      <w:pPr>
        <w:pStyle w:val="ListParagraph"/>
        <w:numPr>
          <w:ilvl w:val="1"/>
          <w:numId w:val="27"/>
        </w:numPr>
        <w:tabs>
          <w:tab w:val="left" w:pos="1080"/>
          <w:tab w:val="left" w:pos="1081"/>
          <w:tab w:val="right" w:pos="9832"/>
        </w:tabs>
        <w:spacing w:line="248" w:lineRule="exact"/>
        <w:ind w:hanging="611"/>
        <w:jc w:val="left"/>
        <w:rPr>
          <w:b/>
        </w:rPr>
      </w:pPr>
      <w:hyperlink w:anchor="_bookmark0" w:history="1">
        <w:r w:rsidRPr="008D77D8">
          <w:rPr>
            <w:color w:val="0000FF"/>
            <w:u w:val="single" w:color="0000FF"/>
          </w:rPr>
          <w:t>INTRODUCTION</w:t>
        </w:r>
      </w:hyperlink>
      <w:r w:rsidRPr="008D77D8">
        <w:rPr>
          <w:color w:val="0000FF"/>
        </w:rPr>
        <w:tab/>
      </w:r>
      <w:r w:rsidRPr="008D77D8">
        <w:t>4</w:t>
      </w:r>
    </w:p>
    <w:p w14:paraId="505531D1" w14:textId="77777777" w:rsidR="00896044" w:rsidRPr="008D77D8" w:rsidRDefault="00730F67">
      <w:pPr>
        <w:pStyle w:val="ListParagraph"/>
        <w:numPr>
          <w:ilvl w:val="1"/>
          <w:numId w:val="27"/>
        </w:numPr>
        <w:tabs>
          <w:tab w:val="left" w:pos="1080"/>
          <w:tab w:val="left" w:pos="1081"/>
          <w:tab w:val="right" w:pos="9832"/>
        </w:tabs>
        <w:spacing w:before="253"/>
        <w:ind w:hanging="666"/>
        <w:jc w:val="left"/>
        <w:rPr>
          <w:b/>
        </w:rPr>
      </w:pPr>
      <w:hyperlink w:anchor="_bookmark1" w:history="1">
        <w:r w:rsidRPr="008D77D8">
          <w:rPr>
            <w:color w:val="0000FF"/>
            <w:u w:val="single" w:color="0000FF"/>
          </w:rPr>
          <w:t>PROGRAM GOALS</w:t>
        </w:r>
      </w:hyperlink>
      <w:r w:rsidRPr="008D77D8">
        <w:rPr>
          <w:color w:val="0000FF"/>
        </w:rPr>
        <w:tab/>
      </w:r>
      <w:r w:rsidRPr="008D77D8">
        <w:t>5</w:t>
      </w:r>
    </w:p>
    <w:p w14:paraId="6F64F3AB" w14:textId="77777777" w:rsidR="00896044" w:rsidRPr="008D77D8" w:rsidRDefault="00730F67">
      <w:pPr>
        <w:pStyle w:val="ListParagraph"/>
        <w:numPr>
          <w:ilvl w:val="1"/>
          <w:numId w:val="27"/>
        </w:numPr>
        <w:tabs>
          <w:tab w:val="left" w:pos="1080"/>
          <w:tab w:val="left" w:pos="1081"/>
          <w:tab w:val="right" w:pos="9832"/>
        </w:tabs>
        <w:spacing w:before="254"/>
        <w:ind w:hanging="721"/>
        <w:jc w:val="left"/>
        <w:rPr>
          <w:b/>
        </w:rPr>
      </w:pPr>
      <w:hyperlink w:anchor="_bookmark2" w:history="1">
        <w:r w:rsidRPr="008D77D8">
          <w:rPr>
            <w:color w:val="0000FF"/>
            <w:u w:val="single" w:color="0000FF"/>
          </w:rPr>
          <w:t>DEMONSTRATION PROJECT FOR STATE OF VIRGINIA</w:t>
        </w:r>
      </w:hyperlink>
      <w:r w:rsidRPr="008D77D8">
        <w:rPr>
          <w:color w:val="0000FF"/>
        </w:rPr>
        <w:tab/>
      </w:r>
      <w:r w:rsidRPr="008D77D8">
        <w:t>5</w:t>
      </w:r>
    </w:p>
    <w:p w14:paraId="0EE4D1AC" w14:textId="17759F25" w:rsidR="00896044" w:rsidRPr="008D77D8" w:rsidRDefault="00730F67">
      <w:pPr>
        <w:pStyle w:val="ListParagraph"/>
        <w:numPr>
          <w:ilvl w:val="1"/>
          <w:numId w:val="27"/>
        </w:numPr>
        <w:tabs>
          <w:tab w:val="left" w:pos="1080"/>
          <w:tab w:val="left" w:pos="1081"/>
          <w:tab w:val="right" w:pos="9832"/>
        </w:tabs>
        <w:spacing w:before="251"/>
        <w:ind w:hanging="721"/>
        <w:jc w:val="left"/>
        <w:rPr>
          <w:b/>
        </w:rPr>
      </w:pPr>
      <w:hyperlink w:anchor="_bookmark3" w:history="1">
        <w:r w:rsidRPr="008D77D8">
          <w:rPr>
            <w:color w:val="0000FF"/>
            <w:u w:val="single" w:color="0000FF"/>
          </w:rPr>
          <w:t>ELIGIBLE APPLICANTS</w:t>
        </w:r>
      </w:hyperlink>
      <w:r w:rsidRPr="008D77D8">
        <w:rPr>
          <w:color w:val="0000FF"/>
        </w:rPr>
        <w:tab/>
      </w:r>
      <w:r w:rsidR="008C7D7A" w:rsidRPr="008D77D8">
        <w:t>5</w:t>
      </w:r>
    </w:p>
    <w:p w14:paraId="7B4C7259" w14:textId="5D0DD74B" w:rsidR="00896044" w:rsidRPr="008D77D8" w:rsidRDefault="00730F67">
      <w:pPr>
        <w:pStyle w:val="ListParagraph"/>
        <w:numPr>
          <w:ilvl w:val="2"/>
          <w:numId w:val="27"/>
        </w:numPr>
        <w:tabs>
          <w:tab w:val="left" w:pos="1800"/>
          <w:tab w:val="left" w:pos="1801"/>
          <w:tab w:val="right" w:pos="9832"/>
        </w:tabs>
        <w:spacing w:before="1" w:line="252" w:lineRule="exact"/>
        <w:ind w:hanging="721"/>
      </w:pPr>
      <w:r w:rsidRPr="008D77D8">
        <w:t>Construction Loans</w:t>
      </w:r>
      <w:r w:rsidRPr="008D77D8">
        <w:tab/>
      </w:r>
      <w:r w:rsidR="008C7D7A" w:rsidRPr="008D77D8">
        <w:t>5</w:t>
      </w:r>
    </w:p>
    <w:p w14:paraId="3ECBA962" w14:textId="77777777" w:rsidR="00896044" w:rsidRPr="008D77D8" w:rsidRDefault="00730F67">
      <w:pPr>
        <w:pStyle w:val="ListParagraph"/>
        <w:numPr>
          <w:ilvl w:val="2"/>
          <w:numId w:val="27"/>
        </w:numPr>
        <w:tabs>
          <w:tab w:val="left" w:pos="1800"/>
          <w:tab w:val="left" w:pos="1801"/>
          <w:tab w:val="right" w:pos="9832"/>
        </w:tabs>
        <w:spacing w:line="252" w:lineRule="exact"/>
        <w:ind w:hanging="721"/>
      </w:pPr>
      <w:r w:rsidRPr="008D77D8">
        <w:t>Refinance Loans</w:t>
      </w:r>
      <w:r w:rsidRPr="008D77D8">
        <w:tab/>
        <w:t>6</w:t>
      </w:r>
    </w:p>
    <w:p w14:paraId="262DE18E" w14:textId="761E0A38" w:rsidR="00896044" w:rsidRPr="008D77D8" w:rsidRDefault="00730F67">
      <w:pPr>
        <w:pStyle w:val="ListParagraph"/>
        <w:numPr>
          <w:ilvl w:val="2"/>
          <w:numId w:val="27"/>
        </w:numPr>
        <w:tabs>
          <w:tab w:val="left" w:pos="1800"/>
          <w:tab w:val="left" w:pos="1801"/>
          <w:tab w:val="right" w:pos="9832"/>
        </w:tabs>
        <w:spacing w:before="2" w:line="252" w:lineRule="exact"/>
        <w:ind w:hanging="721"/>
      </w:pPr>
      <w:r w:rsidRPr="008D77D8">
        <w:t>Set-</w:t>
      </w:r>
      <w:r w:rsidR="006F289D" w:rsidRPr="008D77D8">
        <w:t>A</w:t>
      </w:r>
      <w:r w:rsidRPr="008D77D8">
        <w:t>sides</w:t>
      </w:r>
      <w:r w:rsidRPr="008D77D8">
        <w:tab/>
        <w:t>6</w:t>
      </w:r>
    </w:p>
    <w:p w14:paraId="4932CCF7" w14:textId="77777777" w:rsidR="00896044" w:rsidRPr="008D77D8" w:rsidRDefault="00730F67">
      <w:pPr>
        <w:pStyle w:val="ListParagraph"/>
        <w:numPr>
          <w:ilvl w:val="3"/>
          <w:numId w:val="27"/>
        </w:numPr>
        <w:tabs>
          <w:tab w:val="left" w:pos="2161"/>
        </w:tabs>
        <w:spacing w:line="252" w:lineRule="exact"/>
        <w:ind w:hanging="361"/>
      </w:pPr>
      <w:r w:rsidRPr="008D77D8">
        <w:t>4% SRF admin</w:t>
      </w:r>
    </w:p>
    <w:p w14:paraId="3CEE0B67" w14:textId="77777777" w:rsidR="00896044" w:rsidRPr="008D77D8" w:rsidRDefault="00730F67">
      <w:pPr>
        <w:pStyle w:val="ListParagraph"/>
        <w:numPr>
          <w:ilvl w:val="3"/>
          <w:numId w:val="27"/>
        </w:numPr>
        <w:tabs>
          <w:tab w:val="left" w:pos="2161"/>
        </w:tabs>
        <w:spacing w:line="252" w:lineRule="exact"/>
        <w:ind w:hanging="361"/>
      </w:pPr>
      <w:r w:rsidRPr="008D77D8">
        <w:t>2% Small Systems Technical Assistance</w:t>
      </w:r>
    </w:p>
    <w:p w14:paraId="133848EF" w14:textId="77777777" w:rsidR="00896044" w:rsidRPr="008D77D8" w:rsidRDefault="00730F67">
      <w:pPr>
        <w:pStyle w:val="ListParagraph"/>
        <w:numPr>
          <w:ilvl w:val="3"/>
          <w:numId w:val="27"/>
        </w:numPr>
        <w:tabs>
          <w:tab w:val="left" w:pos="2161"/>
        </w:tabs>
        <w:spacing w:before="1" w:line="252" w:lineRule="exact"/>
        <w:ind w:hanging="361"/>
      </w:pPr>
      <w:r w:rsidRPr="008D77D8">
        <w:t>10% PWSS/State Programs Support</w:t>
      </w:r>
    </w:p>
    <w:p w14:paraId="7152BC7B" w14:textId="77777777" w:rsidR="00896044" w:rsidRPr="008D77D8" w:rsidRDefault="00730F67">
      <w:pPr>
        <w:pStyle w:val="ListParagraph"/>
        <w:numPr>
          <w:ilvl w:val="3"/>
          <w:numId w:val="27"/>
        </w:numPr>
        <w:tabs>
          <w:tab w:val="left" w:pos="2161"/>
        </w:tabs>
        <w:spacing w:line="252" w:lineRule="exact"/>
        <w:ind w:hanging="361"/>
      </w:pPr>
      <w:r w:rsidRPr="008D77D8">
        <w:t>15% Capacity Development and Source Water Programs</w:t>
      </w:r>
    </w:p>
    <w:p w14:paraId="0E15BBB7" w14:textId="77777777" w:rsidR="00896044" w:rsidRPr="008D77D8" w:rsidRDefault="00730F67">
      <w:pPr>
        <w:pStyle w:val="ListParagraph"/>
        <w:numPr>
          <w:ilvl w:val="2"/>
          <w:numId w:val="27"/>
        </w:numPr>
        <w:tabs>
          <w:tab w:val="left" w:pos="1800"/>
          <w:tab w:val="left" w:pos="1801"/>
          <w:tab w:val="right" w:pos="9832"/>
        </w:tabs>
        <w:spacing w:before="2"/>
        <w:ind w:hanging="721"/>
      </w:pPr>
      <w:r w:rsidRPr="008D77D8">
        <w:t>Training Session/Workshops</w:t>
      </w:r>
      <w:r w:rsidRPr="008D77D8">
        <w:tab/>
        <w:t>7</w:t>
      </w:r>
    </w:p>
    <w:p w14:paraId="72CF06DC" w14:textId="77777777" w:rsidR="00896044" w:rsidRPr="008D77D8" w:rsidRDefault="00730F67">
      <w:pPr>
        <w:pStyle w:val="ListParagraph"/>
        <w:numPr>
          <w:ilvl w:val="1"/>
          <w:numId w:val="27"/>
        </w:numPr>
        <w:tabs>
          <w:tab w:val="left" w:pos="1080"/>
          <w:tab w:val="left" w:pos="1081"/>
          <w:tab w:val="right" w:pos="9832"/>
        </w:tabs>
        <w:spacing w:before="253"/>
        <w:ind w:hanging="721"/>
        <w:jc w:val="left"/>
        <w:rPr>
          <w:b/>
        </w:rPr>
      </w:pPr>
      <w:hyperlink w:anchor="_bookmark4" w:history="1">
        <w:r w:rsidRPr="008D77D8">
          <w:rPr>
            <w:color w:val="0000FF"/>
            <w:u w:val="single" w:color="0000FF"/>
          </w:rPr>
          <w:t>ELIGIBLE COSTS/ELIGIBLE PROJECTS</w:t>
        </w:r>
      </w:hyperlink>
      <w:r w:rsidRPr="008D77D8">
        <w:rPr>
          <w:color w:val="0000FF"/>
        </w:rPr>
        <w:tab/>
      </w:r>
      <w:r w:rsidRPr="008D77D8">
        <w:t>7</w:t>
      </w:r>
    </w:p>
    <w:p w14:paraId="0B472CA6" w14:textId="77777777" w:rsidR="00896044" w:rsidRPr="008D77D8" w:rsidRDefault="00730F67">
      <w:pPr>
        <w:pStyle w:val="ListParagraph"/>
        <w:numPr>
          <w:ilvl w:val="1"/>
          <w:numId w:val="27"/>
        </w:numPr>
        <w:tabs>
          <w:tab w:val="left" w:pos="1080"/>
          <w:tab w:val="left" w:pos="1081"/>
          <w:tab w:val="right" w:pos="9832"/>
        </w:tabs>
        <w:spacing w:before="251"/>
        <w:ind w:hanging="721"/>
        <w:jc w:val="left"/>
        <w:rPr>
          <w:b/>
        </w:rPr>
      </w:pPr>
      <w:hyperlink w:anchor="_bookmark5" w:history="1">
        <w:r w:rsidRPr="008D77D8">
          <w:rPr>
            <w:color w:val="0000FF"/>
            <w:u w:val="single" w:color="0000FF"/>
          </w:rPr>
          <w:t>TYPES OF FINANCIAL ASSISTANCE</w:t>
        </w:r>
      </w:hyperlink>
      <w:r w:rsidRPr="008D77D8">
        <w:rPr>
          <w:color w:val="0000FF"/>
        </w:rPr>
        <w:tab/>
      </w:r>
      <w:r w:rsidRPr="008D77D8">
        <w:t>7</w:t>
      </w:r>
    </w:p>
    <w:p w14:paraId="44888032" w14:textId="77777777" w:rsidR="00896044" w:rsidRPr="008D77D8" w:rsidRDefault="00730F67">
      <w:pPr>
        <w:pStyle w:val="ListParagraph"/>
        <w:numPr>
          <w:ilvl w:val="1"/>
          <w:numId w:val="27"/>
        </w:numPr>
        <w:tabs>
          <w:tab w:val="left" w:pos="1080"/>
          <w:tab w:val="left" w:pos="1081"/>
          <w:tab w:val="right" w:pos="9832"/>
        </w:tabs>
        <w:spacing w:before="254"/>
        <w:ind w:hanging="721"/>
        <w:jc w:val="left"/>
        <w:rPr>
          <w:b/>
        </w:rPr>
      </w:pPr>
      <w:hyperlink w:anchor="_bookmark6" w:history="1">
        <w:r w:rsidRPr="008D77D8">
          <w:rPr>
            <w:color w:val="0000FF"/>
            <w:u w:val="single" w:color="0000FF"/>
          </w:rPr>
          <w:t>CONSTRUCTION AND REFINANCE LOANS</w:t>
        </w:r>
      </w:hyperlink>
      <w:r w:rsidRPr="008D77D8">
        <w:rPr>
          <w:color w:val="0000FF"/>
        </w:rPr>
        <w:tab/>
      </w:r>
      <w:r w:rsidRPr="008D77D8">
        <w:t>8</w:t>
      </w:r>
    </w:p>
    <w:p w14:paraId="43AAD83A" w14:textId="77777777" w:rsidR="00896044" w:rsidRPr="008D77D8" w:rsidRDefault="00730F67">
      <w:pPr>
        <w:pStyle w:val="ListParagraph"/>
        <w:numPr>
          <w:ilvl w:val="2"/>
          <w:numId w:val="27"/>
        </w:numPr>
        <w:tabs>
          <w:tab w:val="left" w:pos="1800"/>
          <w:tab w:val="left" w:pos="1801"/>
          <w:tab w:val="right" w:pos="9832"/>
        </w:tabs>
        <w:spacing w:before="2" w:line="252" w:lineRule="exact"/>
        <w:ind w:hanging="721"/>
      </w:pPr>
      <w:r w:rsidRPr="008D77D8">
        <w:t>Terms</w:t>
      </w:r>
      <w:r w:rsidRPr="008D77D8">
        <w:tab/>
        <w:t>8</w:t>
      </w:r>
    </w:p>
    <w:p w14:paraId="0C360FA7" w14:textId="77777777" w:rsidR="00896044" w:rsidRPr="008D77D8" w:rsidRDefault="00730F67">
      <w:pPr>
        <w:pStyle w:val="ListParagraph"/>
        <w:numPr>
          <w:ilvl w:val="2"/>
          <w:numId w:val="27"/>
        </w:numPr>
        <w:tabs>
          <w:tab w:val="left" w:pos="1800"/>
          <w:tab w:val="left" w:pos="1801"/>
          <w:tab w:val="right" w:pos="9832"/>
        </w:tabs>
        <w:spacing w:line="252" w:lineRule="exact"/>
        <w:ind w:hanging="721"/>
      </w:pPr>
      <w:r w:rsidRPr="008D77D8">
        <w:t>Payments</w:t>
      </w:r>
      <w:r w:rsidRPr="008D77D8">
        <w:tab/>
        <w:t>8</w:t>
      </w:r>
    </w:p>
    <w:p w14:paraId="11032056" w14:textId="77777777" w:rsidR="00896044" w:rsidRPr="008D77D8" w:rsidRDefault="00730F67">
      <w:pPr>
        <w:pStyle w:val="ListParagraph"/>
        <w:numPr>
          <w:ilvl w:val="2"/>
          <w:numId w:val="27"/>
        </w:numPr>
        <w:tabs>
          <w:tab w:val="left" w:pos="1800"/>
          <w:tab w:val="left" w:pos="1801"/>
          <w:tab w:val="right" w:pos="9832"/>
        </w:tabs>
        <w:spacing w:line="252" w:lineRule="exact"/>
        <w:ind w:hanging="721"/>
      </w:pPr>
      <w:r w:rsidRPr="008D77D8">
        <w:t>Core Program Interest Rate</w:t>
      </w:r>
      <w:r w:rsidRPr="008D77D8">
        <w:tab/>
        <w:t>9</w:t>
      </w:r>
    </w:p>
    <w:p w14:paraId="3FFC2C3A" w14:textId="77777777" w:rsidR="00896044" w:rsidRPr="008D77D8" w:rsidRDefault="00730F67">
      <w:pPr>
        <w:pStyle w:val="ListParagraph"/>
        <w:numPr>
          <w:ilvl w:val="2"/>
          <w:numId w:val="27"/>
        </w:numPr>
        <w:tabs>
          <w:tab w:val="left" w:pos="1800"/>
          <w:tab w:val="left" w:pos="1801"/>
          <w:tab w:val="right" w:pos="9832"/>
        </w:tabs>
        <w:spacing w:before="1" w:line="252" w:lineRule="exact"/>
        <w:ind w:hanging="721"/>
      </w:pPr>
      <w:r w:rsidRPr="008D77D8">
        <w:t>Disadvantaged Waterworks Program</w:t>
      </w:r>
      <w:r w:rsidRPr="008D77D8">
        <w:tab/>
        <w:t>9</w:t>
      </w:r>
    </w:p>
    <w:p w14:paraId="4839949F" w14:textId="77777777" w:rsidR="00896044" w:rsidRPr="008D77D8" w:rsidRDefault="00730F67" w:rsidP="003A1D8B">
      <w:pPr>
        <w:pStyle w:val="ListParagraph"/>
        <w:numPr>
          <w:ilvl w:val="0"/>
          <w:numId w:val="26"/>
        </w:numPr>
        <w:tabs>
          <w:tab w:val="left" w:pos="2521"/>
        </w:tabs>
        <w:spacing w:line="252" w:lineRule="exact"/>
        <w:ind w:left="2160" w:hanging="360"/>
        <w:jc w:val="left"/>
      </w:pPr>
      <w:r w:rsidRPr="008D77D8">
        <w:t>General</w:t>
      </w:r>
    </w:p>
    <w:p w14:paraId="640772A6" w14:textId="77777777" w:rsidR="00896044" w:rsidRPr="008D77D8" w:rsidRDefault="00730F67" w:rsidP="003A1D8B">
      <w:pPr>
        <w:pStyle w:val="ListParagraph"/>
        <w:numPr>
          <w:ilvl w:val="0"/>
          <w:numId w:val="26"/>
        </w:numPr>
        <w:tabs>
          <w:tab w:val="left" w:pos="2521"/>
        </w:tabs>
        <w:spacing w:line="252" w:lineRule="exact"/>
        <w:ind w:left="2160" w:hanging="360"/>
        <w:jc w:val="left"/>
      </w:pPr>
      <w:r w:rsidRPr="008D77D8">
        <w:t>Target User Rates</w:t>
      </w:r>
    </w:p>
    <w:p w14:paraId="0CC630CF" w14:textId="77777777" w:rsidR="009574A0" w:rsidRPr="008D77D8" w:rsidRDefault="009574A0" w:rsidP="003A1D8B">
      <w:pPr>
        <w:pStyle w:val="ListParagraph"/>
        <w:numPr>
          <w:ilvl w:val="0"/>
          <w:numId w:val="26"/>
        </w:numPr>
        <w:tabs>
          <w:tab w:val="left" w:pos="2521"/>
        </w:tabs>
        <w:spacing w:line="252" w:lineRule="exact"/>
        <w:ind w:left="2160" w:hanging="360"/>
        <w:jc w:val="left"/>
      </w:pPr>
      <w:r w:rsidRPr="008D77D8">
        <w:t>Environmental Justice</w:t>
      </w:r>
    </w:p>
    <w:p w14:paraId="2A4B3B42" w14:textId="77777777" w:rsidR="00896044" w:rsidRPr="008D77D8" w:rsidRDefault="00730F67" w:rsidP="003A1D8B">
      <w:pPr>
        <w:pStyle w:val="ListParagraph"/>
        <w:numPr>
          <w:ilvl w:val="0"/>
          <w:numId w:val="26"/>
        </w:numPr>
        <w:tabs>
          <w:tab w:val="left" w:pos="2521"/>
        </w:tabs>
        <w:spacing w:line="252" w:lineRule="exact"/>
        <w:ind w:left="2160" w:hanging="360"/>
        <w:jc w:val="left"/>
      </w:pPr>
      <w:r w:rsidRPr="008D77D8">
        <w:t>Benefits</w:t>
      </w:r>
    </w:p>
    <w:p w14:paraId="232D2673" w14:textId="77777777" w:rsidR="00896044" w:rsidRPr="008D77D8" w:rsidRDefault="00896044">
      <w:pPr>
        <w:spacing w:line="252" w:lineRule="exact"/>
        <w:sectPr w:rsidR="00896044" w:rsidRPr="008D77D8">
          <w:headerReference w:type="default" r:id="rId26"/>
          <w:footerReference w:type="default" r:id="rId27"/>
          <w:pgSz w:w="12240" w:h="15840"/>
          <w:pgMar w:top="1200" w:right="600" w:bottom="1182" w:left="1080" w:header="723" w:footer="808" w:gutter="0"/>
          <w:pgNumType w:start="2"/>
          <w:cols w:space="720"/>
        </w:sectPr>
      </w:pPr>
    </w:p>
    <w:sdt>
      <w:sdtPr>
        <w:rPr>
          <w:sz w:val="24"/>
          <w:szCs w:val="24"/>
          <w:u w:val="single" w:color="000000"/>
        </w:rPr>
        <w:id w:val="1115179837"/>
        <w:docPartObj>
          <w:docPartGallery w:val="Table of Contents"/>
          <w:docPartUnique/>
        </w:docPartObj>
      </w:sdtPr>
      <w:sdtEndPr/>
      <w:sdtContent>
        <w:p w14:paraId="1628CA98" w14:textId="77777777" w:rsidR="00896044" w:rsidRPr="008D77D8" w:rsidRDefault="00730F67">
          <w:pPr>
            <w:pStyle w:val="TOC3"/>
            <w:numPr>
              <w:ilvl w:val="2"/>
              <w:numId w:val="27"/>
            </w:numPr>
            <w:tabs>
              <w:tab w:val="left" w:pos="1800"/>
              <w:tab w:val="left" w:pos="1801"/>
              <w:tab w:val="right" w:pos="9942"/>
            </w:tabs>
            <w:ind w:hanging="721"/>
          </w:pPr>
          <w:r w:rsidRPr="008D77D8">
            <w:t>Changes Due to New Laws and Guidelines</w:t>
          </w:r>
          <w:r w:rsidRPr="008D77D8">
            <w:tab/>
            <w:t>10</w:t>
          </w:r>
        </w:p>
        <w:p w14:paraId="35F0E144" w14:textId="77777777" w:rsidR="00896044" w:rsidRPr="008D77D8" w:rsidRDefault="00730F67">
          <w:pPr>
            <w:pStyle w:val="TOC3"/>
            <w:numPr>
              <w:ilvl w:val="2"/>
              <w:numId w:val="27"/>
            </w:numPr>
            <w:tabs>
              <w:tab w:val="left" w:pos="1800"/>
              <w:tab w:val="left" w:pos="1801"/>
              <w:tab w:val="right" w:pos="9937"/>
            </w:tabs>
            <w:spacing w:before="2"/>
            <w:ind w:hanging="721"/>
          </w:pPr>
          <w:r w:rsidRPr="008D77D8">
            <w:t>Projects in the Eastern Virginia Groundwater Management Area</w:t>
          </w:r>
          <w:r w:rsidRPr="008D77D8">
            <w:tab/>
            <w:t>10</w:t>
          </w:r>
        </w:p>
        <w:p w14:paraId="74FEC272" w14:textId="77777777" w:rsidR="00896044" w:rsidRPr="008D77D8" w:rsidRDefault="00730F67">
          <w:pPr>
            <w:pStyle w:val="TOC3"/>
            <w:numPr>
              <w:ilvl w:val="2"/>
              <w:numId w:val="27"/>
            </w:numPr>
            <w:tabs>
              <w:tab w:val="left" w:pos="1800"/>
              <w:tab w:val="left" w:pos="1801"/>
              <w:tab w:val="right" w:pos="9942"/>
            </w:tabs>
            <w:ind w:hanging="721"/>
          </w:pPr>
          <w:r w:rsidRPr="008D77D8">
            <w:t>Readiness to Proceed</w:t>
          </w:r>
          <w:r w:rsidRPr="008D77D8">
            <w:tab/>
            <w:t>10</w:t>
          </w:r>
        </w:p>
        <w:p w14:paraId="6C7679F6" w14:textId="77777777" w:rsidR="00896044" w:rsidRPr="008D77D8" w:rsidRDefault="00730F67">
          <w:pPr>
            <w:pStyle w:val="TOC3"/>
            <w:numPr>
              <w:ilvl w:val="2"/>
              <w:numId w:val="27"/>
            </w:numPr>
            <w:tabs>
              <w:tab w:val="left" w:pos="1800"/>
              <w:tab w:val="left" w:pos="1801"/>
              <w:tab w:val="right" w:pos="9942"/>
            </w:tabs>
            <w:spacing w:before="1" w:line="253" w:lineRule="exact"/>
            <w:ind w:hanging="721"/>
          </w:pPr>
          <w:r w:rsidRPr="008D77D8">
            <w:t>Small Construction Projects</w:t>
          </w:r>
          <w:r w:rsidRPr="008D77D8">
            <w:tab/>
            <w:t>11</w:t>
          </w:r>
        </w:p>
        <w:p w14:paraId="1831B799" w14:textId="77777777" w:rsidR="00896044" w:rsidRPr="008D77D8" w:rsidRDefault="00730F67">
          <w:pPr>
            <w:pStyle w:val="TOC3"/>
            <w:numPr>
              <w:ilvl w:val="2"/>
              <w:numId w:val="27"/>
            </w:numPr>
            <w:tabs>
              <w:tab w:val="left" w:pos="1800"/>
              <w:tab w:val="left" w:pos="1801"/>
              <w:tab w:val="right" w:pos="9942"/>
            </w:tabs>
            <w:ind w:hanging="721"/>
          </w:pPr>
          <w:r w:rsidRPr="008D77D8">
            <w:t>Waterline Extensions to Serve Failing Private Wells</w:t>
          </w:r>
          <w:r w:rsidRPr="008D77D8">
            <w:tab/>
            <w:t>11</w:t>
          </w:r>
        </w:p>
        <w:p w14:paraId="465D2B58" w14:textId="77777777" w:rsidR="00896044" w:rsidRPr="008D77D8" w:rsidRDefault="00730F67">
          <w:pPr>
            <w:pStyle w:val="TOC3"/>
            <w:numPr>
              <w:ilvl w:val="2"/>
              <w:numId w:val="27"/>
            </w:numPr>
            <w:tabs>
              <w:tab w:val="left" w:pos="1800"/>
              <w:tab w:val="left" w:pos="1801"/>
              <w:tab w:val="right" w:pos="9942"/>
            </w:tabs>
            <w:ind w:hanging="721"/>
          </w:pPr>
          <w:r w:rsidRPr="008D77D8">
            <w:t>Asset Management Plans</w:t>
          </w:r>
          <w:r w:rsidRPr="008D77D8">
            <w:tab/>
            <w:t>11</w:t>
          </w:r>
        </w:p>
        <w:p w14:paraId="7F54A2BC" w14:textId="77777777" w:rsidR="00896044" w:rsidRPr="008D77D8" w:rsidRDefault="00730F67">
          <w:pPr>
            <w:pStyle w:val="TOC3"/>
            <w:numPr>
              <w:ilvl w:val="2"/>
              <w:numId w:val="27"/>
            </w:numPr>
            <w:tabs>
              <w:tab w:val="left" w:pos="1800"/>
              <w:tab w:val="left" w:pos="1801"/>
              <w:tab w:val="right" w:pos="9942"/>
            </w:tabs>
            <w:spacing w:before="2"/>
            <w:ind w:hanging="721"/>
          </w:pPr>
          <w:r w:rsidRPr="008D77D8">
            <w:t>Consolidations/Regionalization</w:t>
          </w:r>
          <w:r w:rsidRPr="008D77D8">
            <w:tab/>
            <w:t>11</w:t>
          </w:r>
        </w:p>
        <w:p w14:paraId="6CF40958" w14:textId="1E1082EA" w:rsidR="00896044" w:rsidRPr="008D77D8" w:rsidRDefault="00730F67">
          <w:pPr>
            <w:pStyle w:val="TOC3"/>
            <w:numPr>
              <w:ilvl w:val="2"/>
              <w:numId w:val="27"/>
            </w:numPr>
            <w:tabs>
              <w:tab w:val="left" w:pos="1800"/>
              <w:tab w:val="left" w:pos="1801"/>
              <w:tab w:val="right" w:pos="9942"/>
            </w:tabs>
            <w:ind w:hanging="721"/>
          </w:pPr>
          <w:r w:rsidRPr="008D77D8">
            <w:t>Financial Capacity and Sustainability</w:t>
          </w:r>
          <w:r w:rsidRPr="008D77D8">
            <w:tab/>
            <w:t>1</w:t>
          </w:r>
          <w:r w:rsidR="008C7D7A" w:rsidRPr="008D77D8">
            <w:t>2</w:t>
          </w:r>
        </w:p>
        <w:p w14:paraId="69176955" w14:textId="602D76EB" w:rsidR="00896044" w:rsidRPr="008D77D8" w:rsidRDefault="00730F67">
          <w:pPr>
            <w:pStyle w:val="TOC3"/>
            <w:numPr>
              <w:ilvl w:val="2"/>
              <w:numId w:val="27"/>
            </w:numPr>
            <w:tabs>
              <w:tab w:val="left" w:pos="1800"/>
              <w:tab w:val="left" w:pos="1801"/>
              <w:tab w:val="right" w:pos="9942"/>
            </w:tabs>
            <w:spacing w:before="1"/>
            <w:ind w:hanging="721"/>
          </w:pPr>
          <w:r w:rsidRPr="008D77D8">
            <w:t>Lead Service Line Replacement Rebate Program</w:t>
          </w:r>
          <w:r w:rsidRPr="008D77D8">
            <w:tab/>
            <w:t>1</w:t>
          </w:r>
          <w:r w:rsidR="008C7D7A" w:rsidRPr="008D77D8">
            <w:t>2</w:t>
          </w:r>
        </w:p>
        <w:p w14:paraId="4230BF2A" w14:textId="77777777" w:rsidR="00896044" w:rsidRPr="008D77D8" w:rsidRDefault="00730F67">
          <w:pPr>
            <w:pStyle w:val="TOC3"/>
            <w:numPr>
              <w:ilvl w:val="2"/>
              <w:numId w:val="27"/>
            </w:numPr>
            <w:tabs>
              <w:tab w:val="left" w:pos="1800"/>
              <w:tab w:val="left" w:pos="1801"/>
              <w:tab w:val="right" w:pos="9942"/>
            </w:tabs>
            <w:ind w:hanging="721"/>
          </w:pPr>
          <w:r w:rsidRPr="008D77D8">
            <w:t>Timely Use of Funds</w:t>
          </w:r>
          <w:r w:rsidRPr="008D77D8">
            <w:tab/>
            <w:t>12</w:t>
          </w:r>
        </w:p>
        <w:p w14:paraId="63228D91" w14:textId="77777777" w:rsidR="00896044" w:rsidRPr="008D77D8" w:rsidRDefault="00730F67">
          <w:pPr>
            <w:pStyle w:val="TOC3"/>
            <w:numPr>
              <w:ilvl w:val="2"/>
              <w:numId w:val="27"/>
            </w:numPr>
            <w:tabs>
              <w:tab w:val="left" w:pos="1800"/>
              <w:tab w:val="left" w:pos="1801"/>
              <w:tab w:val="right" w:pos="9942"/>
            </w:tabs>
            <w:ind w:hanging="721"/>
          </w:pPr>
          <w:r w:rsidRPr="008D77D8">
            <w:t>Design Build</w:t>
          </w:r>
          <w:r w:rsidRPr="008D77D8">
            <w:tab/>
            <w:t>12</w:t>
          </w:r>
        </w:p>
        <w:p w14:paraId="3F9DCF50" w14:textId="77777777" w:rsidR="00896044" w:rsidRPr="008D77D8" w:rsidRDefault="00730F67">
          <w:pPr>
            <w:pStyle w:val="TOC3"/>
            <w:numPr>
              <w:ilvl w:val="2"/>
              <w:numId w:val="27"/>
            </w:numPr>
            <w:tabs>
              <w:tab w:val="left" w:pos="1800"/>
              <w:tab w:val="left" w:pos="1801"/>
              <w:tab w:val="right" w:pos="9942"/>
            </w:tabs>
            <w:spacing w:before="1"/>
            <w:ind w:hanging="721"/>
          </w:pPr>
          <w:r w:rsidRPr="008D77D8">
            <w:t>Closings for Multiple Projects</w:t>
          </w:r>
          <w:r w:rsidRPr="008D77D8">
            <w:tab/>
            <w:t>12</w:t>
          </w:r>
        </w:p>
        <w:p w14:paraId="24270F86" w14:textId="3DA1281D" w:rsidR="00896044" w:rsidRPr="008D77D8" w:rsidRDefault="00730F67">
          <w:pPr>
            <w:pStyle w:val="TOC3"/>
            <w:numPr>
              <w:ilvl w:val="2"/>
              <w:numId w:val="27"/>
            </w:numPr>
            <w:tabs>
              <w:tab w:val="left" w:pos="1800"/>
              <w:tab w:val="left" w:pos="1801"/>
              <w:tab w:val="right" w:pos="9942"/>
            </w:tabs>
            <w:ind w:hanging="721"/>
          </w:pPr>
          <w:r w:rsidRPr="008D77D8">
            <w:t>Changes to Disadvantaged Criteria</w:t>
          </w:r>
          <w:r w:rsidRPr="008D77D8">
            <w:tab/>
            <w:t>1</w:t>
          </w:r>
          <w:r w:rsidR="008C7D7A" w:rsidRPr="008D77D8">
            <w:t>3</w:t>
          </w:r>
        </w:p>
        <w:p w14:paraId="098B4AE5" w14:textId="3529F74A" w:rsidR="00896044" w:rsidRPr="008D77D8" w:rsidRDefault="00730F67">
          <w:pPr>
            <w:pStyle w:val="TOC2"/>
            <w:numPr>
              <w:ilvl w:val="1"/>
              <w:numId w:val="27"/>
            </w:numPr>
            <w:tabs>
              <w:tab w:val="left" w:pos="1080"/>
              <w:tab w:val="left" w:pos="1081"/>
              <w:tab w:val="right" w:pos="9942"/>
            </w:tabs>
            <w:spacing w:before="254"/>
            <w:ind w:hanging="721"/>
            <w:jc w:val="left"/>
            <w:rPr>
              <w:b/>
              <w:u w:val="none"/>
            </w:rPr>
          </w:pPr>
          <w:hyperlink w:anchor="_bookmark7" w:history="1">
            <w:r w:rsidRPr="008D77D8">
              <w:rPr>
                <w:color w:val="0000FF"/>
                <w:u w:color="0000FF"/>
              </w:rPr>
              <w:t>COMPREHENSIVE PRIORITY LIST</w:t>
            </w:r>
          </w:hyperlink>
          <w:r w:rsidRPr="008D77D8">
            <w:rPr>
              <w:color w:val="0000FF"/>
              <w:u w:val="none"/>
            </w:rPr>
            <w:tab/>
          </w:r>
          <w:r w:rsidRPr="008D77D8">
            <w:rPr>
              <w:u w:val="none"/>
            </w:rPr>
            <w:t>1</w:t>
          </w:r>
          <w:r w:rsidR="008C7D7A" w:rsidRPr="008D77D8">
            <w:rPr>
              <w:u w:val="none"/>
            </w:rPr>
            <w:t>3</w:t>
          </w:r>
        </w:p>
        <w:p w14:paraId="3FC4E40C" w14:textId="7ED4D766" w:rsidR="00896044" w:rsidRPr="008D77D8" w:rsidRDefault="00730F67">
          <w:pPr>
            <w:pStyle w:val="TOC4"/>
            <w:tabs>
              <w:tab w:val="right" w:pos="9942"/>
            </w:tabs>
          </w:pPr>
          <w:hyperlink w:anchor="_TOC_250003" w:history="1">
            <w:r w:rsidRPr="008D77D8">
              <w:t>Emergency Projects</w:t>
            </w:r>
            <w:r w:rsidRPr="008D77D8">
              <w:tab/>
              <w:t>1</w:t>
            </w:r>
            <w:r w:rsidR="008C7D7A" w:rsidRPr="008D77D8">
              <w:t>4</w:t>
            </w:r>
          </w:hyperlink>
        </w:p>
        <w:p w14:paraId="7F6D6451" w14:textId="46E5D6EA" w:rsidR="00896044" w:rsidRPr="008D77D8" w:rsidRDefault="00730F67">
          <w:pPr>
            <w:pStyle w:val="TOC2"/>
            <w:numPr>
              <w:ilvl w:val="1"/>
              <w:numId w:val="27"/>
            </w:numPr>
            <w:tabs>
              <w:tab w:val="left" w:pos="1080"/>
              <w:tab w:val="left" w:pos="1081"/>
              <w:tab w:val="right" w:pos="9942"/>
            </w:tabs>
            <w:ind w:hanging="721"/>
            <w:jc w:val="left"/>
            <w:rPr>
              <w:b/>
              <w:u w:val="none"/>
            </w:rPr>
          </w:pPr>
          <w:hyperlink w:anchor="_bookmark8" w:history="1">
            <w:r w:rsidRPr="008D77D8">
              <w:rPr>
                <w:color w:val="0000FF"/>
                <w:u w:color="0000FF"/>
              </w:rPr>
              <w:t>BY-PASS PROCEDURES</w:t>
            </w:r>
          </w:hyperlink>
          <w:r w:rsidRPr="008D77D8">
            <w:rPr>
              <w:color w:val="0000FF"/>
              <w:u w:val="none"/>
            </w:rPr>
            <w:tab/>
          </w:r>
          <w:r w:rsidRPr="008D77D8">
            <w:rPr>
              <w:u w:val="none"/>
            </w:rPr>
            <w:t>1</w:t>
          </w:r>
          <w:r w:rsidR="008C7D7A" w:rsidRPr="008D77D8">
            <w:rPr>
              <w:u w:val="none"/>
            </w:rPr>
            <w:t>5</w:t>
          </w:r>
        </w:p>
        <w:p w14:paraId="29D6C35F" w14:textId="1C7F361A" w:rsidR="00896044" w:rsidRPr="008D77D8" w:rsidRDefault="00730F67" w:rsidP="00476E0A">
          <w:pPr>
            <w:pStyle w:val="TOC2"/>
            <w:numPr>
              <w:ilvl w:val="1"/>
              <w:numId w:val="27"/>
            </w:numPr>
            <w:tabs>
              <w:tab w:val="left" w:pos="1080"/>
              <w:tab w:val="left" w:pos="1081"/>
              <w:tab w:val="right" w:pos="9942"/>
            </w:tabs>
            <w:spacing w:before="253"/>
            <w:ind w:hanging="721"/>
            <w:jc w:val="left"/>
          </w:pPr>
          <w:hyperlink w:anchor="_bookmark9" w:history="1">
            <w:r w:rsidRPr="008D77D8">
              <w:rPr>
                <w:color w:val="0000FF"/>
                <w:u w:color="0000FF"/>
              </w:rPr>
              <w:t>CRITERIA UTILIZED IN PRIORITIZING CONSTRUCTION PROJECTS</w:t>
            </w:r>
          </w:hyperlink>
          <w:r w:rsidRPr="008D77D8">
            <w:rPr>
              <w:color w:val="0000FF"/>
              <w:u w:val="none"/>
            </w:rPr>
            <w:tab/>
          </w:r>
          <w:r w:rsidRPr="008D77D8">
            <w:rPr>
              <w:u w:val="none"/>
            </w:rPr>
            <w:t>1</w:t>
          </w:r>
          <w:r w:rsidR="008C7D7A" w:rsidRPr="008D77D8">
            <w:rPr>
              <w:u w:val="none"/>
            </w:rPr>
            <w:t>6</w:t>
          </w:r>
        </w:p>
        <w:p w14:paraId="2F11D9F2" w14:textId="77777777" w:rsidR="00896044" w:rsidRPr="008D77D8" w:rsidRDefault="00730F67">
          <w:pPr>
            <w:pStyle w:val="TOC2"/>
            <w:numPr>
              <w:ilvl w:val="1"/>
              <w:numId w:val="27"/>
            </w:numPr>
            <w:tabs>
              <w:tab w:val="left" w:pos="1080"/>
              <w:tab w:val="left" w:pos="1081"/>
              <w:tab w:val="right" w:pos="9942"/>
            </w:tabs>
            <w:spacing w:before="254"/>
            <w:ind w:hanging="721"/>
            <w:jc w:val="left"/>
            <w:rPr>
              <w:u w:val="none"/>
            </w:rPr>
          </w:pPr>
          <w:hyperlink w:anchor="_bookmark10" w:history="1">
            <w:r w:rsidRPr="008D77D8">
              <w:rPr>
                <w:color w:val="0000FF"/>
                <w:u w:color="0000FF"/>
              </w:rPr>
              <w:t>PLANNING AND DESIGN AWARDS</w:t>
            </w:r>
          </w:hyperlink>
          <w:r w:rsidRPr="008D77D8">
            <w:rPr>
              <w:color w:val="0000FF"/>
              <w:u w:val="none"/>
            </w:rPr>
            <w:tab/>
          </w:r>
          <w:r w:rsidRPr="008D77D8">
            <w:rPr>
              <w:u w:val="none"/>
            </w:rPr>
            <w:t>20</w:t>
          </w:r>
        </w:p>
        <w:p w14:paraId="5AE2E8DC" w14:textId="77777777" w:rsidR="00896044" w:rsidRPr="008D77D8" w:rsidRDefault="00730F67">
          <w:pPr>
            <w:pStyle w:val="TOC1"/>
            <w:numPr>
              <w:ilvl w:val="1"/>
              <w:numId w:val="27"/>
            </w:numPr>
            <w:tabs>
              <w:tab w:val="left" w:pos="1080"/>
              <w:tab w:val="left" w:pos="1081"/>
              <w:tab w:val="right" w:pos="9961"/>
            </w:tabs>
            <w:ind w:hanging="721"/>
            <w:jc w:val="left"/>
            <w:rPr>
              <w:u w:val="none"/>
            </w:rPr>
          </w:pPr>
          <w:hyperlink w:anchor="_bookmark11" w:history="1">
            <w:r w:rsidRPr="008D77D8">
              <w:rPr>
                <w:color w:val="0000FF"/>
                <w:u w:color="0000FF"/>
              </w:rPr>
              <w:t>1452 (K) LOCAL ASSISTANCE AND OTHER STATE PROGRAMS</w:t>
            </w:r>
          </w:hyperlink>
          <w:r w:rsidRPr="008D77D8">
            <w:rPr>
              <w:color w:val="0000FF"/>
              <w:u w:val="none"/>
            </w:rPr>
            <w:tab/>
          </w:r>
          <w:r w:rsidRPr="008D77D8">
            <w:rPr>
              <w:u w:val="none"/>
            </w:rPr>
            <w:t>20</w:t>
          </w:r>
        </w:p>
      </w:sdtContent>
    </w:sdt>
    <w:p w14:paraId="4E0C38DB" w14:textId="77777777" w:rsidR="00896044" w:rsidRPr="008D77D8" w:rsidRDefault="00896044">
      <w:pPr>
        <w:sectPr w:rsidR="00896044" w:rsidRPr="008D77D8">
          <w:type w:val="continuous"/>
          <w:pgSz w:w="12240" w:h="15840"/>
          <w:pgMar w:top="1214" w:right="600" w:bottom="1182" w:left="1080" w:header="723" w:footer="808" w:gutter="0"/>
          <w:cols w:space="720"/>
        </w:sectPr>
      </w:pPr>
    </w:p>
    <w:p w14:paraId="45EE09D7" w14:textId="77777777" w:rsidR="00896044" w:rsidRPr="008D77D8" w:rsidRDefault="00896044">
      <w:pPr>
        <w:pStyle w:val="BodyText"/>
      </w:pPr>
    </w:p>
    <w:p w14:paraId="64CB78B4" w14:textId="03B003DF" w:rsidR="00896044" w:rsidRPr="008D77D8" w:rsidRDefault="003816DB" w:rsidP="003816DB">
      <w:pPr>
        <w:spacing w:line="229" w:lineRule="exact"/>
        <w:ind w:left="360"/>
        <w:rPr>
          <w:b/>
          <w:i/>
          <w:iCs/>
          <w:szCs w:val="24"/>
        </w:rPr>
      </w:pPr>
      <w:r w:rsidRPr="008D77D8">
        <w:rPr>
          <w:b/>
          <w:i/>
          <w:iCs/>
          <w:szCs w:val="24"/>
        </w:rPr>
        <w:t>Appendices</w:t>
      </w:r>
    </w:p>
    <w:p w14:paraId="6CE27C63" w14:textId="77777777" w:rsidR="00896044" w:rsidRPr="008D77D8" w:rsidRDefault="00730F67">
      <w:pPr>
        <w:pStyle w:val="ListParagraph"/>
        <w:numPr>
          <w:ilvl w:val="0"/>
          <w:numId w:val="25"/>
        </w:numPr>
        <w:tabs>
          <w:tab w:val="left" w:pos="1080"/>
          <w:tab w:val="left" w:pos="1081"/>
          <w:tab w:val="left" w:pos="9721"/>
        </w:tabs>
        <w:spacing w:line="228" w:lineRule="exact"/>
        <w:ind w:hanging="721"/>
        <w:rPr>
          <w:sz w:val="20"/>
        </w:rPr>
      </w:pPr>
      <w:r w:rsidRPr="008D77D8">
        <w:rPr>
          <w:sz w:val="20"/>
        </w:rPr>
        <w:t>Synopsis of Construction Loan Program Requirements</w:t>
      </w:r>
      <w:r w:rsidRPr="008D77D8">
        <w:rPr>
          <w:sz w:val="20"/>
        </w:rPr>
        <w:tab/>
        <w:t>21</w:t>
      </w:r>
    </w:p>
    <w:p w14:paraId="47CACA7D" w14:textId="4CD519A4" w:rsidR="00896044" w:rsidRPr="008D77D8" w:rsidRDefault="00730F67">
      <w:pPr>
        <w:pStyle w:val="ListParagraph"/>
        <w:numPr>
          <w:ilvl w:val="0"/>
          <w:numId w:val="25"/>
        </w:numPr>
        <w:tabs>
          <w:tab w:val="left" w:pos="1080"/>
          <w:tab w:val="left" w:pos="1081"/>
          <w:tab w:val="left" w:pos="9721"/>
        </w:tabs>
        <w:spacing w:before="1"/>
        <w:ind w:hanging="721"/>
        <w:rPr>
          <w:sz w:val="20"/>
        </w:rPr>
      </w:pPr>
      <w:r w:rsidRPr="008D77D8">
        <w:rPr>
          <w:sz w:val="20"/>
        </w:rPr>
        <w:t xml:space="preserve">List of presently known Federal </w:t>
      </w:r>
      <w:r w:rsidR="006F289D" w:rsidRPr="008D77D8">
        <w:rPr>
          <w:sz w:val="20"/>
        </w:rPr>
        <w:t>Crosscutters</w:t>
      </w:r>
      <w:r w:rsidRPr="008D77D8">
        <w:rPr>
          <w:sz w:val="20"/>
        </w:rPr>
        <w:tab/>
        <w:t>24</w:t>
      </w:r>
    </w:p>
    <w:p w14:paraId="49C7063C" w14:textId="229212A4" w:rsidR="00896044" w:rsidRPr="008D77D8" w:rsidRDefault="00730F67">
      <w:pPr>
        <w:pStyle w:val="ListParagraph"/>
        <w:numPr>
          <w:ilvl w:val="0"/>
          <w:numId w:val="25"/>
        </w:numPr>
        <w:tabs>
          <w:tab w:val="left" w:pos="1080"/>
          <w:tab w:val="left" w:pos="1081"/>
          <w:tab w:val="left" w:pos="9721"/>
        </w:tabs>
        <w:spacing w:before="1" w:line="229" w:lineRule="exact"/>
        <w:ind w:hanging="721"/>
        <w:rPr>
          <w:sz w:val="20"/>
        </w:rPr>
      </w:pPr>
      <w:r w:rsidRPr="008D77D8">
        <w:rPr>
          <w:sz w:val="20"/>
        </w:rPr>
        <w:t>Green Project Reserve Sample Calculation</w:t>
      </w:r>
      <w:r w:rsidRPr="008D77D8">
        <w:rPr>
          <w:sz w:val="20"/>
        </w:rPr>
        <w:tab/>
        <w:t>2</w:t>
      </w:r>
      <w:r w:rsidR="008C7D7A" w:rsidRPr="008D77D8">
        <w:rPr>
          <w:sz w:val="20"/>
        </w:rPr>
        <w:t>6</w:t>
      </w:r>
    </w:p>
    <w:p w14:paraId="0738A162" w14:textId="6CD85854" w:rsidR="006902C6" w:rsidRPr="008D77D8" w:rsidRDefault="00730F67">
      <w:pPr>
        <w:pStyle w:val="ListParagraph"/>
        <w:numPr>
          <w:ilvl w:val="0"/>
          <w:numId w:val="25"/>
        </w:numPr>
        <w:tabs>
          <w:tab w:val="left" w:pos="1080"/>
          <w:tab w:val="left" w:pos="1081"/>
          <w:tab w:val="left" w:pos="9721"/>
        </w:tabs>
        <w:spacing w:line="229" w:lineRule="exact"/>
        <w:ind w:hanging="721"/>
        <w:rPr>
          <w:sz w:val="20"/>
        </w:rPr>
      </w:pPr>
      <w:r w:rsidRPr="008D77D8">
        <w:rPr>
          <w:sz w:val="20"/>
        </w:rPr>
        <w:t xml:space="preserve">Lead </w:t>
      </w:r>
      <w:r w:rsidR="00362682" w:rsidRPr="008D77D8">
        <w:rPr>
          <w:sz w:val="20"/>
        </w:rPr>
        <w:t>Elimination Assistance</w:t>
      </w:r>
      <w:r w:rsidRPr="008D77D8">
        <w:rPr>
          <w:sz w:val="20"/>
        </w:rPr>
        <w:t xml:space="preserve"> Program</w:t>
      </w:r>
      <w:r w:rsidR="00362682" w:rsidRPr="008D77D8">
        <w:rPr>
          <w:sz w:val="20"/>
        </w:rPr>
        <w:t xml:space="preserve"> (LEAP)</w:t>
      </w:r>
      <w:r w:rsidRPr="008D77D8">
        <w:rPr>
          <w:sz w:val="20"/>
        </w:rPr>
        <w:tab/>
        <w:t>2</w:t>
      </w:r>
      <w:r w:rsidR="008C7D7A" w:rsidRPr="008D77D8">
        <w:rPr>
          <w:sz w:val="20"/>
        </w:rPr>
        <w:t>8</w:t>
      </w:r>
    </w:p>
    <w:p w14:paraId="33FCCDA0" w14:textId="0D300B92" w:rsidR="008D2C49" w:rsidRPr="008D77D8" w:rsidRDefault="008D2C49">
      <w:pPr>
        <w:pStyle w:val="BodyText"/>
        <w:rPr>
          <w:i/>
          <w:iCs/>
          <w:sz w:val="24"/>
          <w:szCs w:val="24"/>
        </w:rPr>
      </w:pPr>
    </w:p>
    <w:p w14:paraId="799C1CCA" w14:textId="26458B09" w:rsidR="008D2C49" w:rsidRPr="008D77D8" w:rsidRDefault="00730F67">
      <w:pPr>
        <w:spacing w:line="229" w:lineRule="exact"/>
        <w:ind w:left="360"/>
        <w:rPr>
          <w:sz w:val="20"/>
        </w:rPr>
      </w:pPr>
      <w:r w:rsidRPr="008D77D8">
        <w:rPr>
          <w:b/>
          <w:i/>
          <w:iCs/>
          <w:szCs w:val="24"/>
        </w:rPr>
        <w:t>Application Packages</w:t>
      </w:r>
      <w:r w:rsidRPr="008D77D8">
        <w:rPr>
          <w:b/>
          <w:sz w:val="20"/>
        </w:rPr>
        <w:t xml:space="preserve"> </w:t>
      </w:r>
      <w:r w:rsidRPr="008D77D8">
        <w:rPr>
          <w:sz w:val="20"/>
        </w:rPr>
        <w:t>available on VDH’s Website</w:t>
      </w:r>
      <w:r w:rsidR="0030234A" w:rsidRPr="008D77D8">
        <w:rPr>
          <w:sz w:val="20"/>
        </w:rPr>
        <w:t xml:space="preserve"> </w:t>
      </w:r>
      <w:r w:rsidR="008D2C49" w:rsidRPr="008D77D8">
        <w:rPr>
          <w:sz w:val="20"/>
        </w:rPr>
        <w:t xml:space="preserve">at: </w:t>
      </w:r>
    </w:p>
    <w:p w14:paraId="207B3A46" w14:textId="2749BE9C" w:rsidR="008D2C49" w:rsidRPr="008D77D8" w:rsidRDefault="008D2C49" w:rsidP="005D6AC0">
      <w:pPr>
        <w:spacing w:line="252" w:lineRule="exact"/>
        <w:ind w:left="360"/>
        <w:rPr>
          <w:sz w:val="20"/>
        </w:rPr>
      </w:pPr>
      <w:hyperlink r:id="rId28" w:history="1">
        <w:r w:rsidRPr="008D77D8">
          <w:rPr>
            <w:rStyle w:val="Hyperlink"/>
            <w:sz w:val="20"/>
          </w:rPr>
          <w:t>https://www.vdh.virginia.gov/drinking-water/fcap/drinking-water-funding-program/</w:t>
        </w:r>
      </w:hyperlink>
    </w:p>
    <w:p w14:paraId="28E79C97" w14:textId="7D146598" w:rsidR="00896044" w:rsidRPr="008D77D8" w:rsidRDefault="00730F67" w:rsidP="008D2C49">
      <w:pPr>
        <w:pStyle w:val="ListParagraph"/>
        <w:numPr>
          <w:ilvl w:val="1"/>
          <w:numId w:val="25"/>
        </w:numPr>
        <w:tabs>
          <w:tab w:val="left" w:pos="1350"/>
        </w:tabs>
        <w:spacing w:line="229" w:lineRule="exact"/>
        <w:ind w:hanging="721"/>
        <w:rPr>
          <w:sz w:val="20"/>
        </w:rPr>
      </w:pPr>
      <w:hyperlink r:id="rId29" w:history="1">
        <w:r w:rsidRPr="008D77D8">
          <w:rPr>
            <w:rStyle w:val="Hyperlink"/>
            <w:sz w:val="20"/>
          </w:rPr>
          <w:t xml:space="preserve">Construction </w:t>
        </w:r>
        <w:r w:rsidR="00AD5DAF" w:rsidRPr="008D77D8">
          <w:rPr>
            <w:rStyle w:val="Hyperlink"/>
            <w:sz w:val="20"/>
          </w:rPr>
          <w:t>Funds Application</w:t>
        </w:r>
      </w:hyperlink>
      <w:r w:rsidR="00AD5DAF" w:rsidRPr="008D77D8">
        <w:rPr>
          <w:sz w:val="20"/>
        </w:rPr>
        <w:t xml:space="preserve"> and </w:t>
      </w:r>
      <w:hyperlink r:id="rId30" w:history="1">
        <w:r w:rsidR="00AD5DAF" w:rsidRPr="008D77D8">
          <w:rPr>
            <w:rStyle w:val="Hyperlink"/>
            <w:sz w:val="20"/>
          </w:rPr>
          <w:t>Instructions</w:t>
        </w:r>
      </w:hyperlink>
    </w:p>
    <w:p w14:paraId="608FF02A" w14:textId="2F2FB791" w:rsidR="00AD5DAF" w:rsidRPr="008D77D8" w:rsidRDefault="00AD5DAF" w:rsidP="00476E0A">
      <w:pPr>
        <w:pStyle w:val="ListParagraph"/>
        <w:numPr>
          <w:ilvl w:val="1"/>
          <w:numId w:val="25"/>
        </w:numPr>
        <w:tabs>
          <w:tab w:val="left" w:pos="1350"/>
        </w:tabs>
        <w:spacing w:line="229" w:lineRule="exact"/>
        <w:ind w:hanging="721"/>
        <w:rPr>
          <w:sz w:val="20"/>
        </w:rPr>
      </w:pPr>
      <w:hyperlink r:id="rId31" w:history="1">
        <w:r w:rsidRPr="008D77D8">
          <w:rPr>
            <w:rStyle w:val="Hyperlink"/>
            <w:sz w:val="20"/>
          </w:rPr>
          <w:t>Lead Elimination Assistance Program (LEAP) Application</w:t>
        </w:r>
      </w:hyperlink>
      <w:r w:rsidRPr="008D77D8">
        <w:rPr>
          <w:sz w:val="20"/>
        </w:rPr>
        <w:t xml:space="preserve"> and </w:t>
      </w:r>
      <w:hyperlink r:id="rId32" w:history="1">
        <w:r w:rsidRPr="008D77D8">
          <w:rPr>
            <w:rStyle w:val="Hyperlink"/>
            <w:sz w:val="20"/>
          </w:rPr>
          <w:t>Instructions</w:t>
        </w:r>
      </w:hyperlink>
    </w:p>
    <w:p w14:paraId="55EE5280" w14:textId="38365ABC" w:rsidR="00AD5DAF" w:rsidRPr="008D77D8" w:rsidRDefault="00AD5DAF" w:rsidP="00AD5DAF">
      <w:pPr>
        <w:pStyle w:val="ListParagraph"/>
        <w:numPr>
          <w:ilvl w:val="1"/>
          <w:numId w:val="25"/>
        </w:numPr>
        <w:tabs>
          <w:tab w:val="left" w:pos="1350"/>
        </w:tabs>
        <w:spacing w:before="1"/>
        <w:ind w:hanging="721"/>
        <w:rPr>
          <w:sz w:val="20"/>
        </w:rPr>
      </w:pPr>
      <w:hyperlink r:id="rId33" w:history="1">
        <w:r w:rsidRPr="008D77D8">
          <w:rPr>
            <w:rStyle w:val="Hyperlink"/>
            <w:sz w:val="20"/>
          </w:rPr>
          <w:t>Planning and Design Fund Application</w:t>
        </w:r>
      </w:hyperlink>
      <w:r w:rsidRPr="008D77D8">
        <w:rPr>
          <w:sz w:val="20"/>
        </w:rPr>
        <w:t xml:space="preserve"> and </w:t>
      </w:r>
      <w:hyperlink r:id="rId34" w:history="1">
        <w:r w:rsidRPr="008D77D8">
          <w:rPr>
            <w:rStyle w:val="Hyperlink"/>
            <w:sz w:val="20"/>
          </w:rPr>
          <w:t>Instructions</w:t>
        </w:r>
      </w:hyperlink>
    </w:p>
    <w:p w14:paraId="586F25A5" w14:textId="476570D3" w:rsidR="00896044" w:rsidRPr="008D77D8" w:rsidRDefault="00550400" w:rsidP="00476E0A">
      <w:pPr>
        <w:pStyle w:val="ListParagraph"/>
        <w:numPr>
          <w:ilvl w:val="1"/>
          <w:numId w:val="25"/>
        </w:numPr>
        <w:tabs>
          <w:tab w:val="left" w:pos="1350"/>
        </w:tabs>
        <w:ind w:hanging="721"/>
        <w:rPr>
          <w:sz w:val="20"/>
        </w:rPr>
      </w:pPr>
      <w:hyperlink r:id="rId35" w:history="1">
        <w:r w:rsidRPr="008D77D8">
          <w:rPr>
            <w:rStyle w:val="Hyperlink"/>
            <w:sz w:val="20"/>
          </w:rPr>
          <w:t>Refinancing Loan or Purchasing Application</w:t>
        </w:r>
      </w:hyperlink>
    </w:p>
    <w:p w14:paraId="259F8E2A" w14:textId="165ED0F0" w:rsidR="00896044" w:rsidRPr="008D77D8" w:rsidRDefault="00730F67" w:rsidP="00476E0A">
      <w:pPr>
        <w:pStyle w:val="ListParagraph"/>
        <w:numPr>
          <w:ilvl w:val="1"/>
          <w:numId w:val="25"/>
        </w:numPr>
        <w:tabs>
          <w:tab w:val="left" w:pos="1350"/>
        </w:tabs>
        <w:ind w:hanging="721"/>
        <w:rPr>
          <w:sz w:val="20"/>
        </w:rPr>
      </w:pPr>
      <w:hyperlink r:id="rId36" w:history="1">
        <w:r w:rsidRPr="008D77D8">
          <w:rPr>
            <w:rStyle w:val="Hyperlink"/>
            <w:sz w:val="20"/>
          </w:rPr>
          <w:t>1452(k) Loans for Source Water Protection Initiative</w:t>
        </w:r>
        <w:r w:rsidR="00AD5DAF" w:rsidRPr="008D77D8">
          <w:rPr>
            <w:rStyle w:val="Hyperlink"/>
            <w:sz w:val="20"/>
          </w:rPr>
          <w:t xml:space="preserve"> Application</w:t>
        </w:r>
      </w:hyperlink>
    </w:p>
    <w:p w14:paraId="1DF9759A" w14:textId="77777777" w:rsidR="006902C6" w:rsidRPr="008D77D8" w:rsidRDefault="00730F67" w:rsidP="00476E0A">
      <w:pPr>
        <w:pStyle w:val="ListParagraph"/>
        <w:numPr>
          <w:ilvl w:val="1"/>
          <w:numId w:val="25"/>
        </w:numPr>
        <w:tabs>
          <w:tab w:val="left" w:pos="1350"/>
        </w:tabs>
        <w:ind w:hanging="721"/>
        <w:rPr>
          <w:sz w:val="20"/>
        </w:rPr>
      </w:pPr>
      <w:hyperlink r:id="rId37" w:history="1">
        <w:r w:rsidRPr="008D77D8">
          <w:rPr>
            <w:rStyle w:val="Hyperlink"/>
            <w:sz w:val="20"/>
          </w:rPr>
          <w:t>Public Comments and Set-Aside Suggestions Form</w:t>
        </w:r>
      </w:hyperlink>
    </w:p>
    <w:p w14:paraId="6611D72D" w14:textId="2293DFB2" w:rsidR="00896044" w:rsidRPr="008D77D8" w:rsidRDefault="00896044">
      <w:pPr>
        <w:pStyle w:val="BodyText"/>
        <w:spacing w:before="2"/>
      </w:pPr>
    </w:p>
    <w:p w14:paraId="49B57CEF" w14:textId="7075D724" w:rsidR="006902C6" w:rsidRPr="008D77D8" w:rsidRDefault="00730F67">
      <w:pPr>
        <w:spacing w:line="252" w:lineRule="exact"/>
        <w:ind w:left="360"/>
        <w:rPr>
          <w:sz w:val="20"/>
        </w:rPr>
      </w:pPr>
      <w:r w:rsidRPr="008D77D8">
        <w:rPr>
          <w:b/>
          <w:i/>
        </w:rPr>
        <w:t xml:space="preserve">Other Factsheets / Forms </w:t>
      </w:r>
      <w:r w:rsidRPr="008D77D8">
        <w:rPr>
          <w:sz w:val="20"/>
        </w:rPr>
        <w:t>available on VDH’s Website at:</w:t>
      </w:r>
      <w:r w:rsidR="008D2C49" w:rsidRPr="008D77D8">
        <w:rPr>
          <w:sz w:val="20"/>
        </w:rPr>
        <w:br/>
      </w:r>
      <w:hyperlink r:id="rId38" w:history="1">
        <w:r w:rsidR="008D2C49" w:rsidRPr="008D77D8">
          <w:rPr>
            <w:rStyle w:val="Hyperlink"/>
            <w:sz w:val="20"/>
          </w:rPr>
          <w:t>https://www.vdh.virginia.gov/drinking-water/fcap/drinking-water-funding-program/</w:t>
        </w:r>
      </w:hyperlink>
      <w:r w:rsidR="008D2C49" w:rsidRPr="008D77D8">
        <w:rPr>
          <w:sz w:val="20"/>
        </w:rPr>
        <w:t xml:space="preserve"> </w:t>
      </w:r>
    </w:p>
    <w:p w14:paraId="2EAE6948" w14:textId="062161E7" w:rsidR="00AD5DAF" w:rsidRPr="008D77D8" w:rsidRDefault="00AD5DAF" w:rsidP="00AD5DAF">
      <w:pPr>
        <w:pStyle w:val="ListParagraph"/>
        <w:numPr>
          <w:ilvl w:val="0"/>
          <w:numId w:val="34"/>
        </w:numPr>
        <w:ind w:right="5872"/>
        <w:rPr>
          <w:sz w:val="20"/>
        </w:rPr>
      </w:pPr>
      <w:hyperlink r:id="rId39" w:history="1">
        <w:r w:rsidRPr="008D77D8">
          <w:rPr>
            <w:rStyle w:val="Hyperlink"/>
            <w:sz w:val="20"/>
          </w:rPr>
          <w:t>Income Survey Template</w:t>
        </w:r>
      </w:hyperlink>
    </w:p>
    <w:p w14:paraId="513B5DF1" w14:textId="62381610" w:rsidR="008D2C49" w:rsidRPr="008D77D8" w:rsidRDefault="008D2C49" w:rsidP="008D2C49">
      <w:pPr>
        <w:pStyle w:val="ListParagraph"/>
        <w:numPr>
          <w:ilvl w:val="0"/>
          <w:numId w:val="34"/>
        </w:numPr>
        <w:ind w:right="5872"/>
        <w:rPr>
          <w:sz w:val="20"/>
        </w:rPr>
      </w:pPr>
      <w:hyperlink r:id="rId40" w:history="1">
        <w:r w:rsidRPr="008D77D8">
          <w:rPr>
            <w:rStyle w:val="Hyperlink"/>
            <w:sz w:val="20"/>
          </w:rPr>
          <w:t>Example Resolution</w:t>
        </w:r>
      </w:hyperlink>
    </w:p>
    <w:p w14:paraId="382F0BBA" w14:textId="0F0C59DD" w:rsidR="00AD5DAF" w:rsidRPr="008D77D8" w:rsidRDefault="00AD5DAF" w:rsidP="00AD5DAF">
      <w:pPr>
        <w:pStyle w:val="ListParagraph"/>
        <w:numPr>
          <w:ilvl w:val="0"/>
          <w:numId w:val="34"/>
        </w:numPr>
        <w:ind w:right="5872"/>
        <w:rPr>
          <w:sz w:val="20"/>
        </w:rPr>
      </w:pPr>
      <w:hyperlink r:id="rId41" w:history="1">
        <w:r w:rsidRPr="008D77D8">
          <w:rPr>
            <w:rStyle w:val="Hyperlink"/>
            <w:sz w:val="20"/>
          </w:rPr>
          <w:t>Certification Regarding Lobbying</w:t>
        </w:r>
      </w:hyperlink>
    </w:p>
    <w:p w14:paraId="6AD8EB94" w14:textId="2B0FB214" w:rsidR="00AD5DAF" w:rsidRPr="008D77D8" w:rsidRDefault="00AD5DAF" w:rsidP="00AD5DAF">
      <w:pPr>
        <w:pStyle w:val="ListParagraph"/>
        <w:numPr>
          <w:ilvl w:val="0"/>
          <w:numId w:val="34"/>
        </w:numPr>
        <w:ind w:right="5872"/>
        <w:rPr>
          <w:sz w:val="20"/>
        </w:rPr>
      </w:pPr>
      <w:hyperlink r:id="rId42" w:history="1">
        <w:r w:rsidRPr="008D77D8">
          <w:rPr>
            <w:rStyle w:val="Hyperlink"/>
            <w:sz w:val="20"/>
          </w:rPr>
          <w:t>Building Financial Sustainability</w:t>
        </w:r>
      </w:hyperlink>
    </w:p>
    <w:p w14:paraId="1611E332" w14:textId="6417AC1D" w:rsidR="00AD5DAF" w:rsidRPr="008D77D8" w:rsidRDefault="00AD5DAF" w:rsidP="008D2C49">
      <w:pPr>
        <w:pStyle w:val="ListParagraph"/>
        <w:numPr>
          <w:ilvl w:val="0"/>
          <w:numId w:val="34"/>
        </w:numPr>
        <w:ind w:right="5872"/>
        <w:rPr>
          <w:sz w:val="20"/>
        </w:rPr>
      </w:pPr>
      <w:hyperlink r:id="rId43" w:history="1">
        <w:r w:rsidRPr="008D77D8">
          <w:rPr>
            <w:rStyle w:val="Hyperlink"/>
            <w:sz w:val="20"/>
          </w:rPr>
          <w:t>Construction Project Schedule</w:t>
        </w:r>
      </w:hyperlink>
    </w:p>
    <w:p w14:paraId="341CFE8F" w14:textId="23B8864E" w:rsidR="008D2C49" w:rsidRPr="008D77D8" w:rsidRDefault="008D2C49" w:rsidP="008D2C49">
      <w:pPr>
        <w:pStyle w:val="ListParagraph"/>
        <w:numPr>
          <w:ilvl w:val="0"/>
          <w:numId w:val="34"/>
        </w:numPr>
        <w:ind w:right="5872"/>
        <w:rPr>
          <w:sz w:val="20"/>
        </w:rPr>
      </w:pPr>
      <w:hyperlink r:id="rId44" w:history="1">
        <w:r w:rsidRPr="008D77D8">
          <w:rPr>
            <w:rStyle w:val="Hyperlink"/>
            <w:sz w:val="20"/>
          </w:rPr>
          <w:t>User Rates Analysis</w:t>
        </w:r>
      </w:hyperlink>
    </w:p>
    <w:p w14:paraId="5F0826C4" w14:textId="297889F8" w:rsidR="00AD5DAF" w:rsidRPr="008D77D8" w:rsidRDefault="00AD5DAF" w:rsidP="00AD5DAF">
      <w:pPr>
        <w:pStyle w:val="ListParagraph"/>
        <w:numPr>
          <w:ilvl w:val="0"/>
          <w:numId w:val="34"/>
        </w:numPr>
        <w:ind w:right="5872"/>
        <w:rPr>
          <w:sz w:val="20"/>
        </w:rPr>
      </w:pPr>
      <w:hyperlink r:id="rId45" w:history="1">
        <w:r w:rsidRPr="008D77D8">
          <w:rPr>
            <w:rStyle w:val="Hyperlink"/>
            <w:sz w:val="20"/>
          </w:rPr>
          <w:t>Factsheet MBE/WBE Requirements</w:t>
        </w:r>
      </w:hyperlink>
    </w:p>
    <w:p w14:paraId="418481E9" w14:textId="00F7653D" w:rsidR="008D2C49" w:rsidRPr="008D77D8" w:rsidRDefault="008D2C49" w:rsidP="008D2C49">
      <w:pPr>
        <w:pStyle w:val="ListParagraph"/>
        <w:numPr>
          <w:ilvl w:val="0"/>
          <w:numId w:val="34"/>
        </w:numPr>
        <w:ind w:right="5872"/>
        <w:rPr>
          <w:sz w:val="20"/>
        </w:rPr>
      </w:pPr>
      <w:hyperlink r:id="rId46" w:history="1">
        <w:r w:rsidRPr="008D77D8">
          <w:rPr>
            <w:rStyle w:val="Hyperlink"/>
            <w:sz w:val="20"/>
          </w:rPr>
          <w:t>Request for Resources</w:t>
        </w:r>
      </w:hyperlink>
    </w:p>
    <w:p w14:paraId="2DF377B4" w14:textId="09AEA316" w:rsidR="00AD5DAF" w:rsidRPr="008D77D8" w:rsidRDefault="00AD5DAF" w:rsidP="008D2C49">
      <w:pPr>
        <w:pStyle w:val="ListParagraph"/>
        <w:numPr>
          <w:ilvl w:val="0"/>
          <w:numId w:val="34"/>
        </w:numPr>
        <w:ind w:right="5872"/>
        <w:rPr>
          <w:sz w:val="20"/>
        </w:rPr>
      </w:pPr>
      <w:hyperlink r:id="rId47" w:history="1">
        <w:r w:rsidRPr="008D77D8">
          <w:rPr>
            <w:rStyle w:val="Hyperlink"/>
            <w:sz w:val="20"/>
          </w:rPr>
          <w:t>Unique Entity ID (UEI) Resources</w:t>
        </w:r>
      </w:hyperlink>
    </w:p>
    <w:p w14:paraId="1BE3B11D" w14:textId="77777777" w:rsidR="00896044" w:rsidRPr="008D77D8" w:rsidRDefault="00896044">
      <w:pPr>
        <w:spacing w:line="480" w:lineRule="auto"/>
        <w:rPr>
          <w:sz w:val="20"/>
        </w:rPr>
        <w:sectPr w:rsidR="00896044" w:rsidRPr="008D77D8">
          <w:type w:val="continuous"/>
          <w:pgSz w:w="12240" w:h="15840"/>
          <w:pgMar w:top="1200" w:right="600" w:bottom="1000" w:left="1080" w:header="723" w:footer="808" w:gutter="0"/>
          <w:cols w:space="720"/>
        </w:sectPr>
      </w:pPr>
    </w:p>
    <w:p w14:paraId="090E776F" w14:textId="77777777" w:rsidR="00896044" w:rsidRPr="008D77D8" w:rsidRDefault="00896044">
      <w:pPr>
        <w:pStyle w:val="BodyText"/>
        <w:spacing w:before="7"/>
        <w:rPr>
          <w:sz w:val="11"/>
        </w:rPr>
      </w:pPr>
    </w:p>
    <w:p w14:paraId="17C68AA7" w14:textId="77777777" w:rsidR="006902C6" w:rsidRPr="008D77D8" w:rsidRDefault="00730F67" w:rsidP="0085653E">
      <w:pPr>
        <w:pStyle w:val="Heading2"/>
        <w:numPr>
          <w:ilvl w:val="0"/>
          <w:numId w:val="24"/>
        </w:numPr>
        <w:tabs>
          <w:tab w:val="left" w:pos="1080"/>
          <w:tab w:val="left" w:pos="1081"/>
        </w:tabs>
        <w:spacing w:before="92" w:after="240"/>
        <w:ind w:right="1524"/>
        <w:rPr>
          <w:u w:val="none"/>
        </w:rPr>
      </w:pPr>
      <w:bookmarkStart w:id="0" w:name="_bookmark0"/>
      <w:bookmarkEnd w:id="0"/>
      <w:r w:rsidRPr="008D77D8">
        <w:t>INTRODUCTION - VIRGINIA DRINKING WATER STATE REVOLVING FUND</w:t>
      </w:r>
      <w:r w:rsidRPr="008D77D8">
        <w:rPr>
          <w:u w:val="none"/>
        </w:rPr>
        <w:t xml:space="preserve"> </w:t>
      </w:r>
      <w:r w:rsidRPr="008D77D8">
        <w:t>(DWSRF) PROGRAM</w:t>
      </w:r>
    </w:p>
    <w:p w14:paraId="48942D2E" w14:textId="60106945" w:rsidR="006902C6" w:rsidRPr="008D77D8" w:rsidRDefault="00730F67" w:rsidP="00975565">
      <w:pPr>
        <w:pStyle w:val="BodyText"/>
        <w:spacing w:before="92" w:after="240"/>
        <w:ind w:left="360" w:right="596"/>
        <w:jc w:val="both"/>
      </w:pPr>
      <w:r w:rsidRPr="008D77D8">
        <w:t>The federal Safe Drinking Water Act Amendments of 1996 (P.L. 104 -182), referred to as SDWA, established a Drinking Water State Revolving Fund (DWSRF) Program. Funds for the DWSRF are awarde</w:t>
      </w:r>
      <w:r w:rsidR="00975565" w:rsidRPr="008D77D8">
        <w:t xml:space="preserve">d </w:t>
      </w:r>
      <w:r w:rsidRPr="008D77D8">
        <w:t>to eligible states through a capitalization grant.</w:t>
      </w:r>
    </w:p>
    <w:p w14:paraId="52D61C1F" w14:textId="77777777" w:rsidR="006902C6" w:rsidRPr="008D77D8" w:rsidRDefault="00730F67" w:rsidP="0085653E">
      <w:pPr>
        <w:pStyle w:val="BodyText"/>
        <w:spacing w:before="92" w:after="240"/>
        <w:ind w:left="360" w:right="596"/>
        <w:jc w:val="both"/>
      </w:pPr>
      <w:r w:rsidRPr="008D77D8">
        <w:t>The Virginia Department of Health (VDH) has had primary enforcement responsibility, primacy, for SDWA since</w:t>
      </w:r>
      <w:r w:rsidR="003F4608" w:rsidRPr="008D77D8">
        <w:t xml:space="preserve"> </w:t>
      </w:r>
      <w:r w:rsidRPr="008D77D8">
        <w:t>1977. Therefore, VDH is designated as the agency to apply for and administer the capitalization grant for the DWSRF and the associated state funds.</w:t>
      </w:r>
    </w:p>
    <w:p w14:paraId="08EE630E" w14:textId="77777777" w:rsidR="006902C6" w:rsidRPr="008D77D8" w:rsidRDefault="00730F67" w:rsidP="0085653E">
      <w:pPr>
        <w:pStyle w:val="BodyText"/>
        <w:spacing w:after="240"/>
        <w:ind w:left="360" w:right="596"/>
        <w:jc w:val="both"/>
      </w:pPr>
      <w:r w:rsidRPr="008D77D8">
        <w:t>Funds awarded to a state through a capitalization grant are categorized into two uses; (i) non-project funds or set-asides and (ii) project funds that are utilized for construction at public drinking water systems (waterworks). Set-aside funds enhance the ability of the state and owners of waterworks to ensure a waterworks’ long-term capacity to produce safe drinking water and to protect construction loan investments. Construction funds for waterworks are utilized to address public health problems and to ensure compliance with the provisions of the SDWA. No application fee is required to access the Virginia DWSRF program.</w:t>
      </w:r>
    </w:p>
    <w:p w14:paraId="7F864E92" w14:textId="77777777" w:rsidR="006902C6" w:rsidRPr="008D77D8" w:rsidRDefault="00730F67" w:rsidP="0085653E">
      <w:pPr>
        <w:pStyle w:val="BodyText"/>
        <w:spacing w:before="92" w:after="240"/>
        <w:ind w:left="360" w:right="596"/>
        <w:jc w:val="both"/>
      </w:pPr>
      <w:r w:rsidRPr="008D77D8">
        <w:t xml:space="preserve">A 20% state match is required to obtain the capitalization grant. The matching funds must be deposited into a dedicated state loan fund on or before the date the state receives federal grant payments. The </w:t>
      </w:r>
      <w:r w:rsidRPr="008D77D8">
        <w:rPr>
          <w:i/>
        </w:rPr>
        <w:t xml:space="preserve">Virginia Water Supply Revolving Fund </w:t>
      </w:r>
      <w:r w:rsidRPr="008D77D8">
        <w:t xml:space="preserve">(§62.1-233 et seq. of the </w:t>
      </w:r>
      <w:r w:rsidRPr="008D77D8">
        <w:rPr>
          <w:i/>
        </w:rPr>
        <w:t>Code of Virginia</w:t>
      </w:r>
      <w:r w:rsidRPr="008D77D8">
        <w:t>) has been chosen by VDH as the dedicated state loan fund for Virginia. Under this state law and in conjunction with VDH, the Virginia Resources Authority has certain responsibilities for individual loans.</w:t>
      </w:r>
    </w:p>
    <w:p w14:paraId="1BE0F1EA" w14:textId="77777777" w:rsidR="006902C6" w:rsidRPr="008D77D8" w:rsidRDefault="00730F67" w:rsidP="0085653E">
      <w:pPr>
        <w:pStyle w:val="BodyText"/>
        <w:spacing w:after="240"/>
        <w:ind w:left="360" w:right="552"/>
        <w:jc w:val="both"/>
      </w:pPr>
      <w:r w:rsidRPr="008D77D8">
        <w:t>The development of an annual Intended Use Plan (IUP) is a required part of the application (§1452 (b) of the SDWA) for a capitalization grant. The IUP describes how the capitalization grant funds are expended, including all set-aside and construction funds.</w:t>
      </w:r>
    </w:p>
    <w:p w14:paraId="58D39FEE" w14:textId="77777777" w:rsidR="006902C6" w:rsidRPr="008D77D8" w:rsidRDefault="00730F67" w:rsidP="0085653E">
      <w:pPr>
        <w:pStyle w:val="BodyText"/>
        <w:spacing w:before="92" w:after="240"/>
        <w:ind w:left="360" w:right="596"/>
        <w:jc w:val="both"/>
      </w:pPr>
      <w:r w:rsidRPr="008D77D8">
        <w:t xml:space="preserve">Congress has set the following </w:t>
      </w:r>
      <w:r w:rsidRPr="008D77D8">
        <w:rPr>
          <w:u w:val="single"/>
        </w:rPr>
        <w:t>goals</w:t>
      </w:r>
      <w:r w:rsidRPr="008D77D8">
        <w:t xml:space="preserve"> in the use of the DWSRF funds:</w:t>
      </w:r>
    </w:p>
    <w:p w14:paraId="4E08A20B" w14:textId="77777777" w:rsidR="006902C6" w:rsidRPr="008D77D8" w:rsidRDefault="00730F67" w:rsidP="0085653E">
      <w:pPr>
        <w:pStyle w:val="ListParagraph"/>
        <w:numPr>
          <w:ilvl w:val="0"/>
          <w:numId w:val="23"/>
        </w:numPr>
        <w:tabs>
          <w:tab w:val="left" w:pos="721"/>
        </w:tabs>
        <w:spacing w:after="240"/>
        <w:ind w:right="796"/>
        <w:jc w:val="both"/>
      </w:pPr>
      <w:r w:rsidRPr="008D77D8">
        <w:t>Assistance to Small Waterworks: A minimum of 15% of the amounts credited to the loan fund as loan assistance to waterworks that regularly serve fewer than 10,000 persons.</w:t>
      </w:r>
    </w:p>
    <w:p w14:paraId="1C0D717D" w14:textId="77777777" w:rsidR="006902C6" w:rsidRPr="008D77D8" w:rsidRDefault="00730F67" w:rsidP="0085653E">
      <w:pPr>
        <w:pStyle w:val="ListParagraph"/>
        <w:numPr>
          <w:ilvl w:val="0"/>
          <w:numId w:val="23"/>
        </w:numPr>
        <w:tabs>
          <w:tab w:val="left" w:pos="721"/>
        </w:tabs>
        <w:spacing w:before="1" w:after="240" w:line="242" w:lineRule="auto"/>
        <w:ind w:right="731"/>
        <w:jc w:val="both"/>
      </w:pPr>
      <w:r w:rsidRPr="008D77D8">
        <w:t>Green Project Reserve (GPR): A minimum of 20% of the capitalization grant to address green infrastructure, water or energy efficiency improvements, or other environmentally innovative activities.</w:t>
      </w:r>
    </w:p>
    <w:p w14:paraId="65AB79CF" w14:textId="77777777" w:rsidR="006902C6" w:rsidRPr="008D77D8" w:rsidRDefault="00730F67" w:rsidP="0085653E">
      <w:pPr>
        <w:pStyle w:val="ListParagraph"/>
        <w:numPr>
          <w:ilvl w:val="0"/>
          <w:numId w:val="23"/>
        </w:numPr>
        <w:tabs>
          <w:tab w:val="left" w:pos="721"/>
        </w:tabs>
        <w:spacing w:before="1" w:after="240"/>
        <w:ind w:right="597"/>
        <w:jc w:val="both"/>
      </w:pPr>
      <w:r w:rsidRPr="008D77D8">
        <w:t>Additional Subsidization: Twenty percent of the capitalization grant for additional subsidies must be provided to communities that could not otherwise afford such projects. The State has the option to apply up to a maximum of 30 percent of the capitalization grant as additional subsidization. To further ensure sustainability of projects receiving additional subsidies, these subsidies should be directed to: 1) repair, replacement, and upgrade of infrastructure in existing communities; 2) investigations, studies, or plans that improve the technical, financial and managerial capacity of the assistance recipient to operate, maintain, and replace financed infrastructure; and/or 3) preliminary planning, alternatives assessment and eligible capital projects that reflect the full life cycle costs of infrastructure assets, conservation of natural resources, and alternative approaches to integrate natural or “green” systems into the built environment.</w:t>
      </w:r>
    </w:p>
    <w:p w14:paraId="35D1F2F6" w14:textId="77777777" w:rsidR="006902C6" w:rsidRPr="008D77D8" w:rsidRDefault="00730F67" w:rsidP="0085653E">
      <w:pPr>
        <w:pStyle w:val="BodyText"/>
        <w:spacing w:after="240"/>
        <w:ind w:left="360" w:right="552"/>
        <w:jc w:val="both"/>
      </w:pPr>
      <w:r w:rsidRPr="008D77D8">
        <w:t>The Commonwealth intends on using the described bypass procedure or revise offers if necessary to meet these goals.</w:t>
      </w:r>
    </w:p>
    <w:p w14:paraId="2C22C7B0" w14:textId="77777777" w:rsidR="006902C6" w:rsidRPr="008D77D8" w:rsidRDefault="00730F67" w:rsidP="0085653E">
      <w:pPr>
        <w:spacing w:before="92" w:after="240"/>
        <w:ind w:left="360" w:right="671"/>
        <w:jc w:val="both"/>
        <w:rPr>
          <w:b/>
        </w:rPr>
      </w:pPr>
      <w:r w:rsidRPr="008D77D8">
        <w:rPr>
          <w:b/>
        </w:rPr>
        <w:t>All applicants for financing must comply with all applicable federal and state law, regulation or other requirements.</w:t>
      </w:r>
    </w:p>
    <w:p w14:paraId="14D7FD79" w14:textId="77777777" w:rsidR="006902C6" w:rsidRPr="008D77D8" w:rsidRDefault="00730F67" w:rsidP="00F56B08">
      <w:pPr>
        <w:pStyle w:val="Heading2"/>
        <w:keepNext/>
        <w:numPr>
          <w:ilvl w:val="0"/>
          <w:numId w:val="24"/>
        </w:numPr>
        <w:tabs>
          <w:tab w:val="left" w:pos="1080"/>
          <w:tab w:val="left" w:pos="1081"/>
        </w:tabs>
        <w:spacing w:before="1" w:after="240"/>
        <w:rPr>
          <w:u w:val="none"/>
        </w:rPr>
      </w:pPr>
      <w:bookmarkStart w:id="1" w:name="_bookmark1"/>
      <w:bookmarkEnd w:id="1"/>
      <w:r w:rsidRPr="008D77D8">
        <w:lastRenderedPageBreak/>
        <w:t>PROGRAM GOALS:</w:t>
      </w:r>
    </w:p>
    <w:p w14:paraId="201C70B0" w14:textId="77777777" w:rsidR="006902C6" w:rsidRPr="008D77D8" w:rsidRDefault="00730F67" w:rsidP="0085653E">
      <w:pPr>
        <w:pStyle w:val="BodyText"/>
        <w:spacing w:before="92" w:after="240"/>
        <w:ind w:left="360" w:right="625"/>
        <w:jc w:val="both"/>
      </w:pPr>
      <w:r w:rsidRPr="008D77D8">
        <w:t>VDH based this Program on the fact that safe drinking water is essential to public health. The goal of VDH in administering the capitalization grant is to provide a comprehensive and integrated technical and financial assistance program to waterworks owners through a balanced approach of using set-aside funding and construction/project loan funds.</w:t>
      </w:r>
    </w:p>
    <w:p w14:paraId="0B9A3A5F" w14:textId="09312731" w:rsidR="006902C6" w:rsidRPr="008D77D8" w:rsidRDefault="00730F67" w:rsidP="0085653E">
      <w:pPr>
        <w:pStyle w:val="BodyText"/>
        <w:spacing w:after="240"/>
        <w:ind w:left="360" w:right="544"/>
        <w:jc w:val="both"/>
      </w:pPr>
      <w:r w:rsidRPr="008D77D8">
        <w:t>Another important VDH goal is to use the DWSRF Program to assist waterworks in building long-term financial sustainability and developing adequate financial capacity for necessary maintenance and infrastructure improvements. As part of the application process</w:t>
      </w:r>
      <w:r w:rsidR="002E2297" w:rsidRPr="008D77D8">
        <w:t>,</w:t>
      </w:r>
      <w:r w:rsidRPr="008D77D8">
        <w:t xml:space="preserve"> VDH recommends all owners use the VDH guidance information to evaluate the current financial health of their waterworks, to evaluate their ability to accept new debt, and to affect changes needed to grow revenues to support these efforts.</w:t>
      </w:r>
    </w:p>
    <w:p w14:paraId="32819708" w14:textId="77777777" w:rsidR="006902C6" w:rsidRPr="008D77D8" w:rsidRDefault="00730F67" w:rsidP="0085653E">
      <w:pPr>
        <w:pStyle w:val="BodyText"/>
        <w:spacing w:after="240"/>
        <w:ind w:left="360" w:right="544"/>
        <w:jc w:val="both"/>
      </w:pPr>
      <w:r w:rsidRPr="008D77D8">
        <w:t>VDH reserves the right to require measures that build financial health and financial sustainability of the waterworks as a condition of any loan or principal forgiveness offer acceptance and in compliance with EPA’s capacity building expectations.</w:t>
      </w:r>
    </w:p>
    <w:p w14:paraId="008BAFFB" w14:textId="77777777" w:rsidR="006902C6" w:rsidRPr="008D77D8" w:rsidRDefault="00730F67" w:rsidP="0085653E">
      <w:pPr>
        <w:pStyle w:val="BodyText"/>
        <w:spacing w:after="240"/>
        <w:ind w:left="360" w:right="548"/>
        <w:jc w:val="both"/>
      </w:pPr>
      <w:r w:rsidRPr="008D77D8">
        <w:t>The final goal is for VDH (in collaboration with the Virginia Resources Authority) to effectively manage the EPA grant, state match, earnings, and repayment funds in a fiscally sound, equitable, and responsible manner so that loan funds will be available in perpetuity to waterworks owners for infrastructure improvements.</w:t>
      </w:r>
    </w:p>
    <w:p w14:paraId="107ABB1C" w14:textId="77777777" w:rsidR="006902C6" w:rsidRPr="008D77D8" w:rsidRDefault="00730F67" w:rsidP="00D75351">
      <w:pPr>
        <w:pStyle w:val="Heading2"/>
        <w:keepNext/>
        <w:numPr>
          <w:ilvl w:val="0"/>
          <w:numId w:val="24"/>
        </w:numPr>
        <w:tabs>
          <w:tab w:val="left" w:pos="1080"/>
          <w:tab w:val="left" w:pos="1081"/>
        </w:tabs>
        <w:spacing w:before="1" w:after="240"/>
        <w:rPr>
          <w:u w:val="none"/>
        </w:rPr>
      </w:pPr>
      <w:bookmarkStart w:id="2" w:name="_bookmark2"/>
      <w:bookmarkEnd w:id="2"/>
      <w:r w:rsidRPr="008D77D8">
        <w:t>DEMONSTRATION PROJECT FOR STATE OF VIRGINIA</w:t>
      </w:r>
    </w:p>
    <w:p w14:paraId="0418C164" w14:textId="5E5BCCF2" w:rsidR="006902C6" w:rsidRPr="008D77D8" w:rsidRDefault="00730F67" w:rsidP="0085653E">
      <w:pPr>
        <w:pStyle w:val="BodyText"/>
        <w:spacing w:before="92" w:after="240"/>
        <w:ind w:left="360" w:right="859"/>
        <w:jc w:val="both"/>
      </w:pPr>
      <w:r w:rsidRPr="008D77D8">
        <w:t xml:space="preserve">The Safe Drinking Water Act of 1996 authorized Virginia to establish a special demonstration project to loan funds to a regional endowment to “...finance new drinking water facilities...” in an area of Southwest Virginia encompassing Planning Districts 1 and 2. The Coalfield Water Development Fund, Inc. (CWDF) was established as a 501c(3) non-profit organization to assist in meeting the special needs of Southwest Virginia. Between the years 1998 and 2000 VDH provided $10 million to the CWDF through a </w:t>
      </w:r>
      <w:r w:rsidR="00281CE3" w:rsidRPr="008D77D8">
        <w:t>30-year</w:t>
      </w:r>
      <w:r w:rsidRPr="008D77D8">
        <w:t>, zero-interest loan. Zero coupon bonds insure repayment of the loan after 30 years. Private gifts have also been donated to the fund by individuals, companies, and foundations associated with the coal industry.</w:t>
      </w:r>
    </w:p>
    <w:p w14:paraId="0B40C21C" w14:textId="77777777" w:rsidR="006902C6" w:rsidRPr="008D77D8" w:rsidRDefault="00730F67" w:rsidP="0085653E">
      <w:pPr>
        <w:pStyle w:val="Heading2"/>
        <w:numPr>
          <w:ilvl w:val="0"/>
          <w:numId w:val="24"/>
        </w:numPr>
        <w:tabs>
          <w:tab w:val="left" w:pos="1080"/>
          <w:tab w:val="left" w:pos="1081"/>
        </w:tabs>
        <w:spacing w:after="240"/>
        <w:ind w:hanging="721"/>
        <w:rPr>
          <w:sz w:val="24"/>
          <w:u w:val="none"/>
        </w:rPr>
      </w:pPr>
      <w:bookmarkStart w:id="3" w:name="_bookmark3"/>
      <w:bookmarkEnd w:id="3"/>
      <w:r w:rsidRPr="008D77D8">
        <w:t>ELIGIBLE APPLICANTS</w:t>
      </w:r>
    </w:p>
    <w:p w14:paraId="54EED9C3" w14:textId="77777777" w:rsidR="006902C6" w:rsidRPr="008D77D8" w:rsidRDefault="00730F67" w:rsidP="0085653E">
      <w:pPr>
        <w:pStyle w:val="BodyText"/>
        <w:spacing w:before="92" w:after="240"/>
        <w:ind w:left="360" w:right="552"/>
        <w:jc w:val="both"/>
      </w:pPr>
      <w:r w:rsidRPr="008D77D8">
        <w:t>Owners of a community waterworks or nonprofit non-community waterworks are eligible, except for state, federal, or tribal governments. Suspended or debarred owners are ineligible. Other requirements may apply.</w:t>
      </w:r>
    </w:p>
    <w:p w14:paraId="24A23258" w14:textId="77777777" w:rsidR="006902C6" w:rsidRPr="008D77D8" w:rsidRDefault="00730F67" w:rsidP="0085653E">
      <w:pPr>
        <w:pStyle w:val="ListParagraph"/>
        <w:numPr>
          <w:ilvl w:val="0"/>
          <w:numId w:val="22"/>
        </w:numPr>
        <w:tabs>
          <w:tab w:val="left" w:pos="721"/>
        </w:tabs>
        <w:spacing w:after="240"/>
        <w:ind w:hanging="361"/>
      </w:pPr>
      <w:r w:rsidRPr="008D77D8">
        <w:t>Construction Loans:</w:t>
      </w:r>
    </w:p>
    <w:p w14:paraId="1BA5BE26" w14:textId="20005F65" w:rsidR="006902C6" w:rsidRPr="008D77D8" w:rsidRDefault="00730F67" w:rsidP="0085653E">
      <w:pPr>
        <w:pStyle w:val="ListParagraph"/>
        <w:numPr>
          <w:ilvl w:val="1"/>
          <w:numId w:val="22"/>
        </w:numPr>
        <w:tabs>
          <w:tab w:val="left" w:pos="1081"/>
        </w:tabs>
        <w:spacing w:after="240"/>
        <w:ind w:right="561"/>
        <w:jc w:val="both"/>
      </w:pPr>
      <w:r w:rsidRPr="008D77D8">
        <w:t xml:space="preserve">SDWA in § 1452 </w:t>
      </w:r>
      <w:r w:rsidR="006F289D" w:rsidRPr="008D77D8">
        <w:t>states” ...</w:t>
      </w:r>
      <w:r w:rsidRPr="008D77D8">
        <w:t>no assistance shall be provided to a public water system that: (</w:t>
      </w:r>
      <w:r w:rsidRPr="008D77D8">
        <w:rPr>
          <w:i/>
        </w:rPr>
        <w:t>i</w:t>
      </w:r>
      <w:r w:rsidRPr="008D77D8">
        <w:t>) does not have the technical, managerial and financial capability to ensure compliance with the requirements of this title or (</w:t>
      </w:r>
      <w:r w:rsidRPr="008D77D8">
        <w:rPr>
          <w:i/>
        </w:rPr>
        <w:t>ii</w:t>
      </w:r>
      <w:r w:rsidRPr="008D77D8">
        <w:t>) is in significant noncompliance with any requirement of the national primary drinking water regulations or variance.” However, a waterworks owner may receive assistance if us</w:t>
      </w:r>
      <w:r w:rsidR="002E2297" w:rsidRPr="008D77D8">
        <w:t xml:space="preserve">e </w:t>
      </w:r>
      <w:r w:rsidRPr="008D77D8">
        <w:t>of the funds will ensure compliance or if the waterworks owner agrees to undertake appropriate changes in operations (including ownership, management, accounting, rates, maintenance, consolidation, alternative water supply, or other procedures) to assure compliance. Significant noncompliance is equivalent to EPA Enforcement Targeting Tool (ETT) scores ≥11.</w:t>
      </w:r>
    </w:p>
    <w:p w14:paraId="56CD2F31" w14:textId="1795BC5D" w:rsidR="006902C6" w:rsidRPr="008D77D8" w:rsidRDefault="00730F67" w:rsidP="00D75351">
      <w:pPr>
        <w:pStyle w:val="ListParagraph"/>
        <w:numPr>
          <w:ilvl w:val="1"/>
          <w:numId w:val="22"/>
        </w:numPr>
        <w:tabs>
          <w:tab w:val="left" w:pos="1081"/>
        </w:tabs>
        <w:spacing w:before="92" w:after="240"/>
        <w:ind w:right="686"/>
        <w:jc w:val="both"/>
      </w:pPr>
      <w:r w:rsidRPr="008D77D8">
        <w:t xml:space="preserve">The </w:t>
      </w:r>
      <w:r w:rsidRPr="008D77D8">
        <w:rPr>
          <w:i/>
        </w:rPr>
        <w:t xml:space="preserve">Code of Virginia </w:t>
      </w:r>
      <w:r w:rsidRPr="008D77D8">
        <w:t xml:space="preserve">requires that a waterworks owner obtain a </w:t>
      </w:r>
      <w:r w:rsidRPr="008D77D8">
        <w:rPr>
          <w:b/>
        </w:rPr>
        <w:t xml:space="preserve">permit </w:t>
      </w:r>
      <w:r w:rsidRPr="008D77D8">
        <w:t xml:space="preserve">from VDH before modifying or establishing a waterworks. VDH’s permitting process includes a </w:t>
      </w:r>
      <w:r w:rsidRPr="008D77D8">
        <w:rPr>
          <w:b/>
        </w:rPr>
        <w:t>waterworks business operation</w:t>
      </w:r>
      <w:r w:rsidR="000B1593" w:rsidRPr="008D77D8">
        <w:rPr>
          <w:b/>
        </w:rPr>
        <w:t xml:space="preserve"> </w:t>
      </w:r>
      <w:r w:rsidRPr="008D77D8">
        <w:rPr>
          <w:b/>
        </w:rPr>
        <w:t>plan</w:t>
      </w:r>
      <w:r w:rsidRPr="008D77D8">
        <w:t>, which addresses the waterworks owner’s ability to supply safe drinking over the long term by identifying sufficient technical, managerial, financial and operational abilities.</w:t>
      </w:r>
    </w:p>
    <w:p w14:paraId="27F52912" w14:textId="77777777" w:rsidR="006902C6" w:rsidRPr="008D77D8" w:rsidRDefault="00730F67" w:rsidP="008C7D7A">
      <w:pPr>
        <w:pStyle w:val="ListParagraph"/>
        <w:keepNext/>
        <w:numPr>
          <w:ilvl w:val="0"/>
          <w:numId w:val="22"/>
        </w:numPr>
        <w:tabs>
          <w:tab w:val="left" w:pos="721"/>
        </w:tabs>
        <w:spacing w:after="240"/>
        <w:jc w:val="both"/>
      </w:pPr>
      <w:r w:rsidRPr="008D77D8">
        <w:lastRenderedPageBreak/>
        <w:t>Refinance and Consolidation Loans:</w:t>
      </w:r>
    </w:p>
    <w:p w14:paraId="2FB69CAD" w14:textId="2BBD9229" w:rsidR="006902C6" w:rsidRPr="008D77D8" w:rsidRDefault="00730F67" w:rsidP="00F56B08">
      <w:pPr>
        <w:pStyle w:val="ListParagraph"/>
        <w:numPr>
          <w:ilvl w:val="1"/>
          <w:numId w:val="22"/>
        </w:numPr>
        <w:tabs>
          <w:tab w:val="left" w:pos="1081"/>
        </w:tabs>
        <w:spacing w:line="276" w:lineRule="auto"/>
        <w:ind w:right="660"/>
        <w:jc w:val="both"/>
      </w:pPr>
      <w:r w:rsidRPr="008D77D8">
        <w:t xml:space="preserve">Local government owners of a </w:t>
      </w:r>
      <w:r w:rsidR="00F56B08" w:rsidRPr="008D77D8">
        <w:t>publicly</w:t>
      </w:r>
      <w:r w:rsidRPr="008D77D8">
        <w:t>-owned community waterworks are eligible. Private, state, federally, and tribally owned waterworks are not eligible.</w:t>
      </w:r>
    </w:p>
    <w:p w14:paraId="641F7EC4" w14:textId="42F90D00" w:rsidR="006902C6" w:rsidRPr="008D77D8" w:rsidRDefault="00730F67" w:rsidP="00F56B08">
      <w:pPr>
        <w:pStyle w:val="ListParagraph"/>
        <w:numPr>
          <w:ilvl w:val="1"/>
          <w:numId w:val="22"/>
        </w:numPr>
        <w:tabs>
          <w:tab w:val="left" w:pos="1081"/>
        </w:tabs>
        <w:spacing w:line="276" w:lineRule="auto"/>
        <w:ind w:right="612"/>
        <w:jc w:val="both"/>
      </w:pPr>
      <w:r w:rsidRPr="008D77D8">
        <w:t xml:space="preserve">If eligible and funds are available, the offer will be a 20-year (or less) loan with </w:t>
      </w:r>
      <w:proofErr w:type="gramStart"/>
      <w:r w:rsidRPr="008D77D8">
        <w:t>the interest</w:t>
      </w:r>
      <w:proofErr w:type="gramEnd"/>
      <w:r w:rsidRPr="008D77D8">
        <w:t xml:space="preserve"> set at the core term rate. VDH reserves the right to offer a </w:t>
      </w:r>
      <w:r w:rsidR="00F56B08" w:rsidRPr="008D77D8">
        <w:t>30-year course</w:t>
      </w:r>
      <w:r w:rsidRPr="008D77D8">
        <w:t xml:space="preserve"> if the waterworks meets disadvantaged criteria.</w:t>
      </w:r>
    </w:p>
    <w:p w14:paraId="217D826A" w14:textId="77777777" w:rsidR="006902C6" w:rsidRPr="008D77D8" w:rsidRDefault="00730F67" w:rsidP="00F56B08">
      <w:pPr>
        <w:pStyle w:val="ListParagraph"/>
        <w:numPr>
          <w:ilvl w:val="1"/>
          <w:numId w:val="22"/>
        </w:numPr>
        <w:tabs>
          <w:tab w:val="left" w:pos="1081"/>
        </w:tabs>
        <w:spacing w:before="1" w:line="276" w:lineRule="auto"/>
        <w:ind w:hanging="361"/>
        <w:jc w:val="both"/>
      </w:pPr>
      <w:r w:rsidRPr="008D77D8">
        <w:t>Any savings realized must be utilized to improve the waterworks infrastructure or financial capacity.</w:t>
      </w:r>
    </w:p>
    <w:p w14:paraId="26B61705" w14:textId="77777777" w:rsidR="006902C6" w:rsidRPr="008D77D8" w:rsidRDefault="00730F67" w:rsidP="00F56B08">
      <w:pPr>
        <w:pStyle w:val="ListParagraph"/>
        <w:numPr>
          <w:ilvl w:val="1"/>
          <w:numId w:val="22"/>
        </w:numPr>
        <w:tabs>
          <w:tab w:val="left" w:pos="1081"/>
        </w:tabs>
        <w:spacing w:line="276" w:lineRule="auto"/>
        <w:ind w:right="583"/>
        <w:jc w:val="both"/>
      </w:pPr>
      <w:r w:rsidRPr="008D77D8">
        <w:t>Debt to be refinanced must have been incurred for drinking water construction with an initiation date after July 1, 1993.</w:t>
      </w:r>
    </w:p>
    <w:p w14:paraId="6F07D67D" w14:textId="77777777" w:rsidR="006902C6" w:rsidRPr="008D77D8" w:rsidRDefault="00730F67" w:rsidP="00F56B08">
      <w:pPr>
        <w:pStyle w:val="ListParagraph"/>
        <w:numPr>
          <w:ilvl w:val="1"/>
          <w:numId w:val="22"/>
        </w:numPr>
        <w:tabs>
          <w:tab w:val="left" w:pos="1081"/>
        </w:tabs>
        <w:spacing w:line="276" w:lineRule="auto"/>
        <w:ind w:hanging="361"/>
        <w:jc w:val="both"/>
      </w:pPr>
      <w:r w:rsidRPr="008D77D8">
        <w:t>Other requirements may apply. See the refinance application.</w:t>
      </w:r>
    </w:p>
    <w:p w14:paraId="484253DC" w14:textId="77777777" w:rsidR="006902C6" w:rsidRPr="008D77D8" w:rsidRDefault="00730F67" w:rsidP="00F56B08">
      <w:pPr>
        <w:pStyle w:val="ListParagraph"/>
        <w:numPr>
          <w:ilvl w:val="1"/>
          <w:numId w:val="22"/>
        </w:numPr>
        <w:tabs>
          <w:tab w:val="left" w:pos="1081"/>
        </w:tabs>
        <w:spacing w:after="240" w:line="276" w:lineRule="auto"/>
        <w:ind w:right="574"/>
        <w:jc w:val="both"/>
      </w:pPr>
      <w:r w:rsidRPr="008D77D8">
        <w:t>Loans to consolidate (acquire ownership by transfer of assets and liabilities) waterworks may receive special funding if the waterworks to be acquired is considered failing, at-risk of failure,</w:t>
      </w:r>
      <w:r w:rsidR="0078307B" w:rsidRPr="008D77D8">
        <w:t xml:space="preserve"> u</w:t>
      </w:r>
      <w:r w:rsidR="00CF1077" w:rsidRPr="008D77D8">
        <w:t>nderperforming or</w:t>
      </w:r>
      <w:r w:rsidRPr="008D77D8">
        <w:t xml:space="preserve"> has inadequate </w:t>
      </w:r>
      <w:r w:rsidR="0078307B" w:rsidRPr="008D77D8">
        <w:t>Technical, Managerial, and Financial (</w:t>
      </w:r>
      <w:r w:rsidRPr="008D77D8">
        <w:t>TMF</w:t>
      </w:r>
      <w:r w:rsidR="0078307B" w:rsidRPr="008D77D8">
        <w:t>)</w:t>
      </w:r>
      <w:r w:rsidRPr="008D77D8">
        <w:t xml:space="preserve"> capacity.</w:t>
      </w:r>
    </w:p>
    <w:p w14:paraId="6654D7D9" w14:textId="77777777" w:rsidR="006902C6" w:rsidRPr="008D77D8" w:rsidRDefault="00730F67" w:rsidP="0085653E">
      <w:pPr>
        <w:pStyle w:val="ListParagraph"/>
        <w:numPr>
          <w:ilvl w:val="0"/>
          <w:numId w:val="22"/>
        </w:numPr>
        <w:tabs>
          <w:tab w:val="left" w:pos="721"/>
        </w:tabs>
        <w:spacing w:after="240"/>
        <w:ind w:hanging="361"/>
        <w:jc w:val="both"/>
      </w:pPr>
      <w:r w:rsidRPr="008D77D8">
        <w:t>Set-asides:</w:t>
      </w:r>
    </w:p>
    <w:p w14:paraId="1F06BDF4" w14:textId="4ACA7864" w:rsidR="006902C6" w:rsidRPr="008D77D8" w:rsidRDefault="00730F67" w:rsidP="0085653E">
      <w:pPr>
        <w:pStyle w:val="BodyText"/>
        <w:spacing w:after="240"/>
        <w:ind w:left="720" w:right="656"/>
        <w:jc w:val="both"/>
      </w:pPr>
      <w:r w:rsidRPr="008D77D8">
        <w:t>The following is a list of activities for which set-aside funds from the capitalization grant may b</w:t>
      </w:r>
      <w:r w:rsidR="002E2297" w:rsidRPr="008D77D8">
        <w:t xml:space="preserve">e </w:t>
      </w:r>
      <w:r w:rsidRPr="008D77D8">
        <w:t>applied. Also, applicant eligibility requirements are specified, if any.</w:t>
      </w:r>
    </w:p>
    <w:p w14:paraId="295D55F9" w14:textId="77777777" w:rsidR="006902C6" w:rsidRPr="008D77D8" w:rsidRDefault="00730F67" w:rsidP="00F56B08">
      <w:pPr>
        <w:pStyle w:val="ListParagraph"/>
        <w:numPr>
          <w:ilvl w:val="1"/>
          <w:numId w:val="22"/>
        </w:numPr>
        <w:tabs>
          <w:tab w:val="left" w:pos="1081"/>
        </w:tabs>
        <w:spacing w:line="276" w:lineRule="auto"/>
        <w:ind w:hanging="361"/>
        <w:jc w:val="both"/>
      </w:pPr>
      <w:r w:rsidRPr="008D77D8">
        <w:t>Administration of the DWSRF program and general technical assistance - 4% maximum of grant.</w:t>
      </w:r>
    </w:p>
    <w:p w14:paraId="36914E17" w14:textId="77777777" w:rsidR="006902C6" w:rsidRPr="008D77D8" w:rsidRDefault="00730F67" w:rsidP="00F56B08">
      <w:pPr>
        <w:pStyle w:val="ListParagraph"/>
        <w:numPr>
          <w:ilvl w:val="1"/>
          <w:numId w:val="22"/>
        </w:numPr>
        <w:tabs>
          <w:tab w:val="left" w:pos="1081"/>
        </w:tabs>
        <w:spacing w:line="276" w:lineRule="auto"/>
        <w:ind w:hanging="361"/>
        <w:jc w:val="both"/>
      </w:pPr>
      <w:r w:rsidRPr="008D77D8">
        <w:t>Technical assistance to small waterworks – 2% maximum of grant.</w:t>
      </w:r>
    </w:p>
    <w:p w14:paraId="2BFFA952" w14:textId="77777777" w:rsidR="006902C6" w:rsidRPr="008D77D8" w:rsidRDefault="00730F67" w:rsidP="00F56B08">
      <w:pPr>
        <w:pStyle w:val="ListParagraph"/>
        <w:numPr>
          <w:ilvl w:val="1"/>
          <w:numId w:val="22"/>
        </w:numPr>
        <w:tabs>
          <w:tab w:val="left" w:pos="1081"/>
        </w:tabs>
        <w:spacing w:before="1" w:line="276" w:lineRule="auto"/>
        <w:ind w:hanging="361"/>
        <w:jc w:val="both"/>
      </w:pPr>
      <w:r w:rsidRPr="008D77D8">
        <w:t>Assistance to state programs – 10% maximum of grant:</w:t>
      </w:r>
    </w:p>
    <w:p w14:paraId="146F63DB" w14:textId="7F6DA27E" w:rsidR="00896044" w:rsidRPr="008D77D8" w:rsidRDefault="00730F67" w:rsidP="00F56B08">
      <w:pPr>
        <w:pStyle w:val="ListParagraph"/>
        <w:numPr>
          <w:ilvl w:val="2"/>
          <w:numId w:val="22"/>
        </w:numPr>
        <w:tabs>
          <w:tab w:val="left" w:pos="1800"/>
          <w:tab w:val="left" w:pos="1801"/>
        </w:tabs>
        <w:spacing w:line="276" w:lineRule="auto"/>
        <w:ind w:hanging="361"/>
        <w:jc w:val="both"/>
      </w:pPr>
      <w:r w:rsidRPr="008D77D8">
        <w:t>for the public water system supervision programs. - None specified</w:t>
      </w:r>
    </w:p>
    <w:p w14:paraId="10568986" w14:textId="77777777" w:rsidR="00896044" w:rsidRPr="008D77D8" w:rsidRDefault="00730F67" w:rsidP="00F56B08">
      <w:pPr>
        <w:pStyle w:val="ListParagraph"/>
        <w:numPr>
          <w:ilvl w:val="2"/>
          <w:numId w:val="22"/>
        </w:numPr>
        <w:tabs>
          <w:tab w:val="left" w:pos="1801"/>
        </w:tabs>
        <w:spacing w:line="276" w:lineRule="auto"/>
        <w:ind w:hanging="361"/>
        <w:jc w:val="both"/>
      </w:pPr>
      <w:r w:rsidRPr="008D77D8">
        <w:t>to provide technical assistance through source water protection programs – None specified.</w:t>
      </w:r>
    </w:p>
    <w:p w14:paraId="62E69FA9" w14:textId="77777777" w:rsidR="00896044" w:rsidRPr="008D77D8" w:rsidRDefault="00730F67" w:rsidP="00F56B08">
      <w:pPr>
        <w:pStyle w:val="ListParagraph"/>
        <w:numPr>
          <w:ilvl w:val="2"/>
          <w:numId w:val="22"/>
        </w:numPr>
        <w:tabs>
          <w:tab w:val="left" w:pos="1800"/>
          <w:tab w:val="left" w:pos="1801"/>
        </w:tabs>
        <w:spacing w:before="1" w:line="276" w:lineRule="auto"/>
        <w:ind w:right="1071"/>
        <w:jc w:val="both"/>
      </w:pPr>
      <w:r w:rsidRPr="008D77D8">
        <w:t>to develop and implement a capacity development strategy under section 1420(c) – any waterworks owner is eligible except for the federal government</w:t>
      </w:r>
    </w:p>
    <w:p w14:paraId="0E757722" w14:textId="77777777" w:rsidR="006902C6" w:rsidRPr="008D77D8" w:rsidRDefault="00730F67" w:rsidP="00F56B08">
      <w:pPr>
        <w:pStyle w:val="ListParagraph"/>
        <w:numPr>
          <w:ilvl w:val="2"/>
          <w:numId w:val="22"/>
        </w:numPr>
        <w:tabs>
          <w:tab w:val="left" w:pos="1801"/>
        </w:tabs>
        <w:spacing w:line="276" w:lineRule="auto"/>
        <w:ind w:hanging="361"/>
        <w:jc w:val="both"/>
      </w:pPr>
      <w:r w:rsidRPr="008D77D8">
        <w:t>for the operator program of section 1419. - None specified.</w:t>
      </w:r>
    </w:p>
    <w:p w14:paraId="71258153" w14:textId="77777777" w:rsidR="006902C6" w:rsidRPr="008D77D8" w:rsidRDefault="00730F67" w:rsidP="00F56B08">
      <w:pPr>
        <w:pStyle w:val="ListParagraph"/>
        <w:numPr>
          <w:ilvl w:val="1"/>
          <w:numId w:val="22"/>
        </w:numPr>
        <w:tabs>
          <w:tab w:val="left" w:pos="1081"/>
        </w:tabs>
        <w:spacing w:before="1" w:line="276" w:lineRule="auto"/>
        <w:ind w:hanging="361"/>
        <w:jc w:val="both"/>
      </w:pPr>
      <w:r w:rsidRPr="008D77D8">
        <w:t>Combination of the following - 15% maximum of grant:</w:t>
      </w:r>
    </w:p>
    <w:p w14:paraId="305090EE" w14:textId="4B6808C6" w:rsidR="00896044" w:rsidRPr="008D77D8" w:rsidRDefault="00730F67" w:rsidP="00F56B08">
      <w:pPr>
        <w:pStyle w:val="ListParagraph"/>
        <w:numPr>
          <w:ilvl w:val="2"/>
          <w:numId w:val="22"/>
        </w:numPr>
        <w:tabs>
          <w:tab w:val="left" w:pos="1800"/>
          <w:tab w:val="left" w:pos="1801"/>
        </w:tabs>
        <w:spacing w:line="276" w:lineRule="auto"/>
        <w:ind w:right="721"/>
        <w:jc w:val="both"/>
      </w:pPr>
      <w:r w:rsidRPr="008D77D8">
        <w:t>loans to acquire land or a conservation easement to protect source water. – Community and nonprofit non-community waterworks owners are eligible.</w:t>
      </w:r>
    </w:p>
    <w:p w14:paraId="1DD4B761" w14:textId="77777777" w:rsidR="00896044" w:rsidRPr="008D77D8" w:rsidRDefault="00730F67" w:rsidP="00F56B08">
      <w:pPr>
        <w:pStyle w:val="ListParagraph"/>
        <w:numPr>
          <w:ilvl w:val="2"/>
          <w:numId w:val="22"/>
        </w:numPr>
        <w:tabs>
          <w:tab w:val="left" w:pos="1801"/>
        </w:tabs>
        <w:spacing w:line="276" w:lineRule="auto"/>
        <w:ind w:right="1394"/>
        <w:jc w:val="both"/>
      </w:pPr>
      <w:r w:rsidRPr="008D77D8">
        <w:t>loans for community water systems to implement voluntary source water protection measures. - Any community waterworks owner is eligible</w:t>
      </w:r>
    </w:p>
    <w:p w14:paraId="048BD191" w14:textId="77777777" w:rsidR="00896044" w:rsidRPr="008D77D8" w:rsidRDefault="00730F67" w:rsidP="00F56B08">
      <w:pPr>
        <w:pStyle w:val="ListParagraph"/>
        <w:numPr>
          <w:ilvl w:val="2"/>
          <w:numId w:val="22"/>
        </w:numPr>
        <w:tabs>
          <w:tab w:val="left" w:pos="1800"/>
          <w:tab w:val="left" w:pos="1801"/>
        </w:tabs>
        <w:spacing w:before="1" w:line="276" w:lineRule="auto"/>
        <w:ind w:right="1485"/>
        <w:jc w:val="both"/>
      </w:pPr>
      <w:r w:rsidRPr="008D77D8">
        <w:t>loans to implement source water protection partnership program - Any community waterworks owner is eligible.</w:t>
      </w:r>
    </w:p>
    <w:p w14:paraId="7337777D" w14:textId="5F7DEBE2" w:rsidR="002A7187" w:rsidRPr="008D77D8" w:rsidRDefault="00730F67" w:rsidP="00F56B08">
      <w:pPr>
        <w:pStyle w:val="ListParagraph"/>
        <w:numPr>
          <w:ilvl w:val="2"/>
          <w:numId w:val="22"/>
        </w:numPr>
        <w:tabs>
          <w:tab w:val="left" w:pos="1801"/>
        </w:tabs>
        <w:spacing w:before="1" w:line="276" w:lineRule="auto"/>
        <w:ind w:right="1074"/>
        <w:jc w:val="both"/>
      </w:pPr>
      <w:r w:rsidRPr="008D77D8">
        <w:t>technical and financial assistance to a water system as part of the capacity development strategy in section 1420(c). - Any community or nonprofit non-community waterworks owner is eligible. Small waterworks are given priority.</w:t>
      </w:r>
    </w:p>
    <w:p w14:paraId="18441072" w14:textId="547964CD" w:rsidR="00896044" w:rsidRPr="008D77D8" w:rsidRDefault="00730F67" w:rsidP="00F56B08">
      <w:pPr>
        <w:pStyle w:val="ListParagraph"/>
        <w:numPr>
          <w:ilvl w:val="2"/>
          <w:numId w:val="22"/>
        </w:numPr>
        <w:tabs>
          <w:tab w:val="left" w:pos="1801"/>
        </w:tabs>
        <w:spacing w:before="1" w:line="276" w:lineRule="auto"/>
        <w:ind w:right="1074"/>
        <w:jc w:val="both"/>
      </w:pPr>
      <w:r w:rsidRPr="008D77D8">
        <w:t>make expenditures from grants available to delineate and assess source</w:t>
      </w:r>
      <w:r w:rsidR="002A7187" w:rsidRPr="008D77D8">
        <w:t xml:space="preserve"> </w:t>
      </w:r>
      <w:r w:rsidRPr="008D77D8">
        <w:t>water protection areas as mentioned in section 1453. - None specified.</w:t>
      </w:r>
    </w:p>
    <w:p w14:paraId="7B072316" w14:textId="77777777" w:rsidR="006902C6" w:rsidRPr="008D77D8" w:rsidRDefault="00730F67" w:rsidP="00F56B08">
      <w:pPr>
        <w:pStyle w:val="ListParagraph"/>
        <w:numPr>
          <w:ilvl w:val="2"/>
          <w:numId w:val="22"/>
        </w:numPr>
        <w:tabs>
          <w:tab w:val="left" w:pos="1800"/>
          <w:tab w:val="left" w:pos="1801"/>
        </w:tabs>
        <w:spacing w:after="240" w:line="276" w:lineRule="auto"/>
        <w:ind w:right="1283"/>
        <w:jc w:val="both"/>
      </w:pPr>
      <w:r w:rsidRPr="008D77D8">
        <w:t>make expenditures to establish and implement wellhead protection programs. - None specified.</w:t>
      </w:r>
    </w:p>
    <w:p w14:paraId="526F2CE1" w14:textId="501CE975" w:rsidR="006902C6" w:rsidRPr="008D77D8" w:rsidRDefault="00730F67" w:rsidP="0085653E">
      <w:pPr>
        <w:pStyle w:val="ListParagraph"/>
        <w:numPr>
          <w:ilvl w:val="0"/>
          <w:numId w:val="22"/>
        </w:numPr>
        <w:tabs>
          <w:tab w:val="left" w:pos="722"/>
        </w:tabs>
        <w:spacing w:after="240" w:line="249" w:lineRule="exact"/>
        <w:ind w:right="115"/>
        <w:jc w:val="both"/>
      </w:pPr>
      <w:r w:rsidRPr="008D77D8">
        <w:t xml:space="preserve">Attendance/viewing is recommended at our workshop/training session on program requirements for execution </w:t>
      </w:r>
      <w:r w:rsidR="004D7207" w:rsidRPr="008D77D8">
        <w:t>of awards for construction</w:t>
      </w:r>
      <w:r w:rsidRPr="008D77D8">
        <w:t xml:space="preserve"> or other activities. Information about upcoming workshops/training sessions can be found at the following website:</w:t>
      </w:r>
      <w:r w:rsidR="00D010D3" w:rsidRPr="008D77D8">
        <w:t xml:space="preserve"> </w:t>
      </w:r>
      <w:hyperlink r:id="rId48" w:history="1">
        <w:r w:rsidR="00D010D3" w:rsidRPr="008D77D8">
          <w:rPr>
            <w:rStyle w:val="Hyperlink"/>
          </w:rPr>
          <w:t>https://www.vdh.virginia.gov/drinking-water/fcap/drinking-water-funding-program/</w:t>
        </w:r>
      </w:hyperlink>
      <w:r w:rsidR="002E2297" w:rsidRPr="008D77D8">
        <w:t>.</w:t>
      </w:r>
      <w:r w:rsidR="00D010D3" w:rsidRPr="008D77D8">
        <w:t xml:space="preserve"> </w:t>
      </w:r>
      <w:r w:rsidRPr="008D77D8">
        <w:t>An initial meeting to review the project specifics is also</w:t>
      </w:r>
      <w:bookmarkStart w:id="4" w:name="_bookmark4"/>
      <w:bookmarkEnd w:id="4"/>
      <w:r w:rsidR="004D7207" w:rsidRPr="008D77D8">
        <w:t xml:space="preserve"> </w:t>
      </w:r>
      <w:r w:rsidRPr="008D77D8">
        <w:t>part of the award process.</w:t>
      </w:r>
    </w:p>
    <w:p w14:paraId="045963F4" w14:textId="77777777" w:rsidR="006902C6" w:rsidRPr="008D77D8" w:rsidRDefault="00730F67" w:rsidP="008A61FD">
      <w:pPr>
        <w:pStyle w:val="Heading2"/>
        <w:keepNext/>
        <w:numPr>
          <w:ilvl w:val="0"/>
          <w:numId w:val="24"/>
        </w:numPr>
        <w:tabs>
          <w:tab w:val="left" w:pos="1080"/>
          <w:tab w:val="left" w:pos="1081"/>
        </w:tabs>
        <w:spacing w:after="240"/>
        <w:rPr>
          <w:u w:val="none"/>
        </w:rPr>
      </w:pPr>
      <w:r w:rsidRPr="008D77D8">
        <w:lastRenderedPageBreak/>
        <w:t>ELIGIBLE COSTS/ELIGIBLE PROJECTS</w:t>
      </w:r>
    </w:p>
    <w:p w14:paraId="0EBCBD73" w14:textId="30F9E9E0" w:rsidR="006902C6" w:rsidRPr="008D77D8" w:rsidRDefault="00730F67" w:rsidP="0085653E">
      <w:pPr>
        <w:pStyle w:val="BodyText"/>
        <w:spacing w:before="92" w:after="240"/>
        <w:ind w:left="360" w:right="552"/>
        <w:jc w:val="both"/>
      </w:pPr>
      <w:r w:rsidRPr="008D77D8">
        <w:t xml:space="preserve">VDH may reduce loan </w:t>
      </w:r>
      <w:r w:rsidR="006F289D" w:rsidRPr="008D77D8">
        <w:t>eligibility or</w:t>
      </w:r>
      <w:r w:rsidRPr="008D77D8">
        <w:t xml:space="preserve"> reduce scope and size of a project to ensure the greatest benefit to as many waterworks as possible. VDH reserves the right to limit funding participation to the least cost of th</w:t>
      </w:r>
      <w:r w:rsidR="002E2297" w:rsidRPr="008D77D8">
        <w:t xml:space="preserve">e </w:t>
      </w:r>
      <w:r w:rsidRPr="008D77D8">
        <w:t>feasible alternatives.</w:t>
      </w:r>
    </w:p>
    <w:p w14:paraId="520A5438" w14:textId="77777777" w:rsidR="006902C6" w:rsidRPr="008D77D8" w:rsidRDefault="00730F67" w:rsidP="0085653E">
      <w:pPr>
        <w:pStyle w:val="BodyText"/>
        <w:spacing w:before="1" w:after="240"/>
        <w:ind w:left="360" w:right="552"/>
        <w:jc w:val="both"/>
      </w:pPr>
      <w:r w:rsidRPr="008D77D8">
        <w:t>Regardless of the size of the community served, successful applicants must comply with the Virginia Public Procurement Act, our program requirements, and procurement procedural guidelines.</w:t>
      </w:r>
    </w:p>
    <w:p w14:paraId="4D986855" w14:textId="77777777" w:rsidR="006902C6" w:rsidRPr="008D77D8" w:rsidRDefault="00730F67" w:rsidP="0085653E">
      <w:pPr>
        <w:pStyle w:val="BodyText"/>
        <w:spacing w:after="240"/>
        <w:ind w:left="360" w:right="691"/>
        <w:jc w:val="both"/>
      </w:pPr>
      <w:r w:rsidRPr="008D77D8">
        <w:t xml:space="preserve">Loans from the construction fund may be utilized for upgrading, rehabilitation or reasonable expansion of </w:t>
      </w:r>
      <w:proofErr w:type="gramStart"/>
      <w:r w:rsidRPr="008D77D8">
        <w:t>a waterworks</w:t>
      </w:r>
      <w:proofErr w:type="gramEnd"/>
      <w:r w:rsidRPr="008D77D8">
        <w:t>. SDWA (§1452(g)(3)(C)) excludes funding to expand any waterworks in anticipation of future (or speculative) population growth. However, the federal DWSRF Program guidance (February 28, 1997) states that if the primary purpose of the project is to solve a compliance or health problem, the entire project is eligible, including that portion to accommodate reasonable growth over the project’s useful life. Funding may be utilized to consolidate waterworks or nonpublic drinking water systems if the water is contaminated or inadequate in quantity or if the system is not able to maintain compliance for financial or managerial reasons.</w:t>
      </w:r>
    </w:p>
    <w:p w14:paraId="6DE6825D" w14:textId="714DB7FD" w:rsidR="00896044" w:rsidRPr="008D77D8" w:rsidRDefault="00730F67" w:rsidP="0085653E">
      <w:pPr>
        <w:pStyle w:val="BodyText"/>
        <w:spacing w:before="1" w:after="240"/>
        <w:ind w:left="360" w:right="596"/>
        <w:jc w:val="both"/>
      </w:pPr>
      <w:r w:rsidRPr="008D77D8">
        <w:t>The DWSRF construction program allows for associated planning and pre-design costs if procurement meets program requirements. Expenses incurred on an approved project prior to execution of a loan agreement may be eligible if VDH requirements have been met. Expenses for any of the following may be eligible if meeting program requirements:</w:t>
      </w:r>
    </w:p>
    <w:p w14:paraId="3F2422B8" w14:textId="77777777" w:rsidR="00896044" w:rsidRPr="008D77D8" w:rsidRDefault="00730F67" w:rsidP="00F56B08">
      <w:pPr>
        <w:pStyle w:val="ListParagraph"/>
        <w:numPr>
          <w:ilvl w:val="1"/>
          <w:numId w:val="24"/>
        </w:numPr>
        <w:tabs>
          <w:tab w:val="left" w:pos="1800"/>
          <w:tab w:val="left" w:pos="1801"/>
        </w:tabs>
        <w:spacing w:before="139" w:line="269" w:lineRule="exact"/>
        <w:ind w:hanging="721"/>
        <w:jc w:val="both"/>
      </w:pPr>
      <w:r w:rsidRPr="008D77D8">
        <w:t>System conditional assessment studies,</w:t>
      </w:r>
    </w:p>
    <w:p w14:paraId="6854CD46"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Asset Management Plans (AMPs),</w:t>
      </w:r>
    </w:p>
    <w:p w14:paraId="1853EDDE"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Capital Improvement Plans (CIPs),</w:t>
      </w:r>
    </w:p>
    <w:p w14:paraId="66D925A7"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Waterworks Business Operations Plans (WBOPs),</w:t>
      </w:r>
    </w:p>
    <w:p w14:paraId="338666DD"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Water Audits,</w:t>
      </w:r>
    </w:p>
    <w:p w14:paraId="4624F50A"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Rate Studies,</w:t>
      </w:r>
    </w:p>
    <w:p w14:paraId="12D968C9" w14:textId="77777777" w:rsidR="00896044" w:rsidRPr="008D77D8" w:rsidRDefault="00730F67" w:rsidP="00F56B08">
      <w:pPr>
        <w:pStyle w:val="ListParagraph"/>
        <w:numPr>
          <w:ilvl w:val="1"/>
          <w:numId w:val="24"/>
        </w:numPr>
        <w:tabs>
          <w:tab w:val="left" w:pos="1800"/>
          <w:tab w:val="left" w:pos="1801"/>
        </w:tabs>
        <w:spacing w:line="269" w:lineRule="exact"/>
        <w:ind w:hanging="721"/>
        <w:jc w:val="both"/>
      </w:pPr>
      <w:r w:rsidRPr="008D77D8">
        <w:t>Security assessments/studies and portable generators, and</w:t>
      </w:r>
    </w:p>
    <w:p w14:paraId="3995ACEE" w14:textId="77777777" w:rsidR="00896044" w:rsidRPr="008D77D8" w:rsidRDefault="00730F67" w:rsidP="0085653E">
      <w:pPr>
        <w:pStyle w:val="ListParagraph"/>
        <w:numPr>
          <w:ilvl w:val="1"/>
          <w:numId w:val="24"/>
        </w:numPr>
        <w:tabs>
          <w:tab w:val="left" w:pos="1800"/>
          <w:tab w:val="left" w:pos="1801"/>
        </w:tabs>
        <w:spacing w:after="240" w:line="269" w:lineRule="exact"/>
        <w:ind w:hanging="721"/>
        <w:jc w:val="both"/>
      </w:pPr>
      <w:r w:rsidRPr="008D77D8">
        <w:t>Other studies.</w:t>
      </w:r>
    </w:p>
    <w:p w14:paraId="4C9EE2AF" w14:textId="77777777" w:rsidR="006902C6" w:rsidRPr="008D77D8" w:rsidRDefault="00730F67" w:rsidP="0085653E">
      <w:pPr>
        <w:pStyle w:val="BodyText"/>
        <w:spacing w:before="133" w:after="240"/>
        <w:ind w:left="360" w:right="534"/>
        <w:jc w:val="both"/>
      </w:pPr>
      <w:r w:rsidRPr="008D77D8">
        <w:t>The purchases of land, easements, or rights-of-way are eligible costs if they are an integral part of the project. In addition, a waterworks owner may purchase land under the special set-aside provision of section 1452 for source water protection.</w:t>
      </w:r>
    </w:p>
    <w:p w14:paraId="58301363" w14:textId="2E0CFFB1" w:rsidR="006902C6" w:rsidRPr="008D77D8" w:rsidRDefault="00730F67" w:rsidP="0085653E">
      <w:pPr>
        <w:pStyle w:val="BodyText"/>
        <w:spacing w:after="240"/>
        <w:ind w:left="360" w:right="673"/>
        <w:jc w:val="both"/>
      </w:pPr>
      <w:r w:rsidRPr="008D77D8">
        <w:t xml:space="preserve">VDH will review all costs for eligibility. To be considered for reimbursement all cost items must be eligible </w:t>
      </w:r>
      <w:bookmarkStart w:id="5" w:name="_bookmark5"/>
      <w:bookmarkEnd w:id="5"/>
      <w:r w:rsidRPr="008D77D8">
        <w:t xml:space="preserve">under program guidelines, specific to the project, and necessary for </w:t>
      </w:r>
      <w:r w:rsidR="00B83696" w:rsidRPr="008D77D8">
        <w:t>infrastructural</w:t>
      </w:r>
      <w:r w:rsidRPr="008D77D8">
        <w:t xml:space="preserve"> improvement. Costs determined to be associated with any type of operation and maintenance activities are ineligible.</w:t>
      </w:r>
    </w:p>
    <w:p w14:paraId="79CEE4EF" w14:textId="77777777" w:rsidR="006902C6" w:rsidRPr="008D77D8" w:rsidRDefault="00730F67" w:rsidP="0085653E">
      <w:pPr>
        <w:pStyle w:val="Heading2"/>
        <w:numPr>
          <w:ilvl w:val="0"/>
          <w:numId w:val="24"/>
        </w:numPr>
        <w:tabs>
          <w:tab w:val="left" w:pos="1080"/>
          <w:tab w:val="left" w:pos="1081"/>
        </w:tabs>
        <w:spacing w:after="240"/>
        <w:ind w:hanging="721"/>
        <w:rPr>
          <w:u w:val="none"/>
        </w:rPr>
      </w:pPr>
      <w:r w:rsidRPr="008D77D8">
        <w:t>TYPES OF FINANCIAL ASSISTANCE</w:t>
      </w:r>
    </w:p>
    <w:p w14:paraId="757335E7" w14:textId="47649C59" w:rsidR="00896044" w:rsidRPr="008D77D8" w:rsidRDefault="00730F67" w:rsidP="0085653E">
      <w:pPr>
        <w:pStyle w:val="BodyText"/>
        <w:spacing w:before="92" w:after="240"/>
        <w:ind w:left="360"/>
        <w:jc w:val="both"/>
      </w:pPr>
      <w:r w:rsidRPr="008D77D8">
        <w:t>As authorized in SDWA section 1452, the Virginia DWSRF Program will allow:</w:t>
      </w:r>
    </w:p>
    <w:p w14:paraId="2C689D4F" w14:textId="77777777" w:rsidR="00896044" w:rsidRPr="008D77D8" w:rsidRDefault="00730F67" w:rsidP="00F56B08">
      <w:pPr>
        <w:pStyle w:val="ListParagraph"/>
        <w:numPr>
          <w:ilvl w:val="0"/>
          <w:numId w:val="21"/>
        </w:numPr>
        <w:tabs>
          <w:tab w:val="left" w:pos="1081"/>
        </w:tabs>
        <w:spacing w:before="92" w:line="252" w:lineRule="exact"/>
        <w:ind w:hanging="361"/>
        <w:jc w:val="both"/>
      </w:pPr>
      <w:r w:rsidRPr="008D77D8">
        <w:t>direct loans for project planning and construction,</w:t>
      </w:r>
    </w:p>
    <w:p w14:paraId="4467B2A5" w14:textId="77777777" w:rsidR="00896044" w:rsidRPr="008D77D8" w:rsidRDefault="00730F67" w:rsidP="00F56B08">
      <w:pPr>
        <w:pStyle w:val="ListParagraph"/>
        <w:numPr>
          <w:ilvl w:val="0"/>
          <w:numId w:val="21"/>
        </w:numPr>
        <w:tabs>
          <w:tab w:val="left" w:pos="1081"/>
        </w:tabs>
        <w:ind w:right="566"/>
        <w:jc w:val="both"/>
      </w:pPr>
      <w:r w:rsidRPr="008D77D8">
        <w:t xml:space="preserve">the buying or refinancing of municipal debt obligations if the drinking </w:t>
      </w:r>
      <w:proofErr w:type="gramStart"/>
      <w:r w:rsidRPr="008D77D8">
        <w:t>water construction</w:t>
      </w:r>
      <w:proofErr w:type="gramEnd"/>
      <w:r w:rsidRPr="008D77D8">
        <w:t xml:space="preserve"> was started and such debt was incurred after July 1, 1993,</w:t>
      </w:r>
    </w:p>
    <w:p w14:paraId="593D40B4" w14:textId="77777777" w:rsidR="00896044" w:rsidRPr="008D77D8" w:rsidRDefault="00730F67" w:rsidP="00F56B08">
      <w:pPr>
        <w:pStyle w:val="ListParagraph"/>
        <w:numPr>
          <w:ilvl w:val="0"/>
          <w:numId w:val="21"/>
        </w:numPr>
        <w:tabs>
          <w:tab w:val="left" w:pos="1081"/>
        </w:tabs>
        <w:ind w:hanging="361"/>
        <w:jc w:val="both"/>
      </w:pPr>
      <w:r w:rsidRPr="008D77D8">
        <w:t>guaranteeing or purchasing insurance for a local obligation, and</w:t>
      </w:r>
    </w:p>
    <w:p w14:paraId="38CE4CB4" w14:textId="77777777" w:rsidR="006902C6" w:rsidRPr="008D77D8" w:rsidRDefault="00730F67" w:rsidP="0085653E">
      <w:pPr>
        <w:pStyle w:val="ListParagraph"/>
        <w:numPr>
          <w:ilvl w:val="0"/>
          <w:numId w:val="21"/>
        </w:numPr>
        <w:tabs>
          <w:tab w:val="left" w:pos="1081"/>
        </w:tabs>
        <w:spacing w:before="1" w:after="240"/>
        <w:ind w:hanging="361"/>
        <w:jc w:val="both"/>
      </w:pPr>
      <w:r w:rsidRPr="008D77D8">
        <w:t>being a source of revenue or security of state bonds if proceeds are deposited in the loan fund.</w:t>
      </w:r>
    </w:p>
    <w:p w14:paraId="7E149AAE" w14:textId="77777777" w:rsidR="006902C6" w:rsidRPr="008D77D8" w:rsidRDefault="00730F67" w:rsidP="0085653E">
      <w:pPr>
        <w:pStyle w:val="BodyText"/>
        <w:spacing w:after="240"/>
        <w:ind w:left="360" w:right="630"/>
        <w:jc w:val="both"/>
      </w:pPr>
      <w:r w:rsidRPr="008D77D8">
        <w:t>The Virginia DWSRF Program evaluates annually the need for establishing a leveraging program depending on infrastructural needs as evidenced in the response during the annual application process. Any leveraging program would be based on EPA’s review and approval.</w:t>
      </w:r>
    </w:p>
    <w:p w14:paraId="5DE2F1FB" w14:textId="77777777" w:rsidR="006902C6" w:rsidRPr="008D77D8" w:rsidRDefault="00730F67" w:rsidP="0085653E">
      <w:pPr>
        <w:pStyle w:val="BodyText"/>
        <w:spacing w:before="1" w:after="240"/>
        <w:ind w:left="360" w:right="686"/>
        <w:jc w:val="both"/>
      </w:pPr>
      <w:r w:rsidRPr="008D77D8">
        <w:lastRenderedPageBreak/>
        <w:t>Direct loans will have below market rates with terms normally for 20 years but may extend to 30 years for a disadvantaged community.</w:t>
      </w:r>
    </w:p>
    <w:p w14:paraId="0FC10278" w14:textId="77777777" w:rsidR="006902C6" w:rsidRPr="008D77D8" w:rsidRDefault="00730F67" w:rsidP="0085653E">
      <w:pPr>
        <w:pStyle w:val="Heading2"/>
        <w:numPr>
          <w:ilvl w:val="0"/>
          <w:numId w:val="24"/>
        </w:numPr>
        <w:tabs>
          <w:tab w:val="left" w:pos="1080"/>
          <w:tab w:val="left" w:pos="1081"/>
        </w:tabs>
        <w:spacing w:after="240"/>
        <w:ind w:hanging="721"/>
        <w:rPr>
          <w:u w:val="none"/>
        </w:rPr>
      </w:pPr>
      <w:bookmarkStart w:id="6" w:name="_bookmark6"/>
      <w:bookmarkEnd w:id="6"/>
      <w:r w:rsidRPr="008D77D8">
        <w:t>CONSTRUCTION AND REFINANCE LOANS</w:t>
      </w:r>
    </w:p>
    <w:p w14:paraId="61BA409A" w14:textId="7AC7BF91" w:rsidR="006902C6" w:rsidRPr="008D77D8" w:rsidRDefault="00730F67" w:rsidP="0085653E">
      <w:pPr>
        <w:pStyle w:val="BodyText"/>
        <w:spacing w:before="92" w:after="240"/>
        <w:ind w:left="360" w:right="578"/>
        <w:jc w:val="both"/>
      </w:pPr>
      <w:r w:rsidRPr="008D77D8">
        <w:t>The VDH recommends that the scope of work for each construction project be consistent with the waterworks asset management plan and be adequate to resolve the construction needs of the waterworks ove</w:t>
      </w:r>
      <w:r w:rsidR="002E2297" w:rsidRPr="008D77D8">
        <w:t xml:space="preserve">r </w:t>
      </w:r>
      <w:r w:rsidRPr="008D77D8">
        <w:t>the next 5 years.</w:t>
      </w:r>
    </w:p>
    <w:p w14:paraId="4A5DB89F" w14:textId="77777777" w:rsidR="006902C6" w:rsidRPr="008D77D8" w:rsidRDefault="00730F67" w:rsidP="0085653E">
      <w:pPr>
        <w:pStyle w:val="BodyText"/>
        <w:spacing w:after="240"/>
        <w:ind w:left="360" w:right="552"/>
        <w:jc w:val="both"/>
      </w:pPr>
      <w:r w:rsidRPr="008D77D8">
        <w:t>Construction loan funds are disbursed on a cost reimbursement basis. All requests for disbursement of loan funds must be substantiated by invoices reviewed and approved by the owner. VDH will review and approve such requests prior to the actual disbursement of funds. All submittals for disbursement are to be made in accordance with the latest version of VDH’s Procedural Guidelines.</w:t>
      </w:r>
    </w:p>
    <w:p w14:paraId="4478834B" w14:textId="77777777" w:rsidR="006902C6" w:rsidRPr="008D77D8" w:rsidRDefault="00730F67" w:rsidP="0085653E">
      <w:pPr>
        <w:pStyle w:val="BodyText"/>
        <w:spacing w:after="240"/>
        <w:ind w:left="360" w:right="656"/>
        <w:jc w:val="both"/>
      </w:pPr>
      <w:r w:rsidRPr="008D77D8">
        <w:t xml:space="preserve">VDH will have preliminary engineering conferences, review and approve preliminary engineering reports and any required business plans, review and approve project plan design, issue construction permits, have a field presence during construction as well as conduct a final project evaluation before issuance of a new operating permit, all under the Board of Health’s Waterworks Regulations. VDH will oversee the </w:t>
      </w:r>
      <w:r w:rsidRPr="008D77D8">
        <w:rPr>
          <w:b/>
        </w:rPr>
        <w:t>environmental review</w:t>
      </w:r>
      <w:r w:rsidRPr="008D77D8">
        <w:t>. This effort, in conjunction with owner’s and consultant’s inspectors, will produce a quality product.</w:t>
      </w:r>
    </w:p>
    <w:p w14:paraId="7BC773BC" w14:textId="4E17FBCA" w:rsidR="006902C6" w:rsidRPr="008D77D8" w:rsidRDefault="00730F67" w:rsidP="0085653E">
      <w:pPr>
        <w:pStyle w:val="BodyText"/>
        <w:spacing w:after="240"/>
        <w:ind w:left="360" w:right="625"/>
        <w:jc w:val="both"/>
      </w:pPr>
      <w:r w:rsidRPr="008D77D8">
        <w:t xml:space="preserve">Typically refinance loans will be </w:t>
      </w:r>
      <w:r w:rsidR="00201A80" w:rsidRPr="008D77D8">
        <w:t>20-year</w:t>
      </w:r>
      <w:r w:rsidRPr="008D77D8">
        <w:t xml:space="preserve"> loans at the core term interest rate. VDH reserves the right to offer a 30</w:t>
      </w:r>
      <w:r w:rsidR="00B83696">
        <w:t>-</w:t>
      </w:r>
      <w:proofErr w:type="gramStart"/>
      <w:r w:rsidRPr="008D77D8">
        <w:t>year</w:t>
      </w:r>
      <w:proofErr w:type="gramEnd"/>
      <w:r w:rsidRPr="008D77D8">
        <w:t xml:space="preserve"> if the waterworks meets disadvantaged criteria.</w:t>
      </w:r>
    </w:p>
    <w:p w14:paraId="4FFB1FD1" w14:textId="77777777" w:rsidR="006902C6" w:rsidRPr="008D77D8" w:rsidRDefault="00730F67" w:rsidP="0085653E">
      <w:pPr>
        <w:pStyle w:val="ListParagraph"/>
        <w:numPr>
          <w:ilvl w:val="0"/>
          <w:numId w:val="20"/>
        </w:numPr>
        <w:tabs>
          <w:tab w:val="left" w:pos="721"/>
        </w:tabs>
        <w:spacing w:after="240"/>
        <w:ind w:hanging="361"/>
        <w:jc w:val="both"/>
        <w:rPr>
          <w:b/>
          <w:bCs/>
        </w:rPr>
      </w:pPr>
      <w:r w:rsidRPr="008D77D8">
        <w:rPr>
          <w:b/>
          <w:bCs/>
        </w:rPr>
        <w:t>Terms</w:t>
      </w:r>
    </w:p>
    <w:p w14:paraId="5EFBE077" w14:textId="77777777" w:rsidR="006902C6" w:rsidRPr="008D77D8" w:rsidRDefault="00730F67" w:rsidP="0085653E">
      <w:pPr>
        <w:pStyle w:val="BodyText"/>
        <w:spacing w:before="1" w:after="240"/>
        <w:ind w:left="720" w:right="552"/>
        <w:jc w:val="both"/>
      </w:pPr>
      <w:r w:rsidRPr="008D77D8">
        <w:t xml:space="preserve">The loan must be fully amortized not later than twenty years (up to 30 years for a construction project serving a </w:t>
      </w:r>
      <w:r w:rsidRPr="008D77D8">
        <w:rPr>
          <w:b/>
        </w:rPr>
        <w:t>disadvantaged waterworks</w:t>
      </w:r>
      <w:r w:rsidRPr="008D77D8">
        <w:t xml:space="preserve">) after completion of the project. In </w:t>
      </w:r>
      <w:r w:rsidR="00201A80" w:rsidRPr="008D77D8">
        <w:t>addition,</w:t>
      </w:r>
      <w:r w:rsidRPr="008D77D8">
        <w:t xml:space="preserve"> the loan repayment period must not exceed the </w:t>
      </w:r>
      <w:proofErr w:type="gramStart"/>
      <w:r w:rsidRPr="008D77D8">
        <w:t>life</w:t>
      </w:r>
      <w:proofErr w:type="gramEnd"/>
      <w:r w:rsidRPr="008D77D8">
        <w:t xml:space="preserve"> of the assets being constructed or replaced.</w:t>
      </w:r>
    </w:p>
    <w:p w14:paraId="2BD07186" w14:textId="77777777" w:rsidR="006902C6" w:rsidRPr="008D77D8" w:rsidRDefault="00730F67" w:rsidP="0085653E">
      <w:pPr>
        <w:pStyle w:val="ListParagraph"/>
        <w:numPr>
          <w:ilvl w:val="0"/>
          <w:numId w:val="20"/>
        </w:numPr>
        <w:tabs>
          <w:tab w:val="left" w:pos="721"/>
        </w:tabs>
        <w:spacing w:before="1" w:after="240"/>
        <w:ind w:hanging="361"/>
        <w:jc w:val="both"/>
        <w:rPr>
          <w:b/>
          <w:bCs/>
        </w:rPr>
      </w:pPr>
      <w:r w:rsidRPr="008D77D8">
        <w:rPr>
          <w:b/>
          <w:bCs/>
        </w:rPr>
        <w:t>Payments</w:t>
      </w:r>
    </w:p>
    <w:p w14:paraId="6E481F9D" w14:textId="7442887D" w:rsidR="006902C6" w:rsidRPr="008D77D8" w:rsidRDefault="00730F67" w:rsidP="0085653E">
      <w:pPr>
        <w:pStyle w:val="BodyText"/>
        <w:spacing w:after="240"/>
        <w:ind w:left="720" w:right="754"/>
        <w:jc w:val="both"/>
      </w:pPr>
      <w:r w:rsidRPr="008D77D8">
        <w:t xml:space="preserve">The loan recipient will establish one or more dedicated sources of revenue (or in the case of a privately owned system </w:t>
      </w:r>
      <w:r w:rsidR="00F56B08" w:rsidRPr="008D77D8">
        <w:t>demonstrates</w:t>
      </w:r>
      <w:r w:rsidRPr="008D77D8">
        <w:t xml:space="preserve"> that there is adequate security) for repayment of the loan.</w:t>
      </w:r>
    </w:p>
    <w:p w14:paraId="479AAFF7" w14:textId="769FDF58" w:rsidR="00896044" w:rsidRPr="008D77D8" w:rsidRDefault="00730F67" w:rsidP="0085653E">
      <w:pPr>
        <w:pStyle w:val="BodyText"/>
        <w:spacing w:after="240"/>
        <w:ind w:left="720" w:right="552"/>
        <w:jc w:val="both"/>
      </w:pPr>
      <w:r w:rsidRPr="008D77D8">
        <w:t>Prior to loan receipt, each applicant’s financial credit history will be evaluated so VDH may make a final determination on offering a loan. The applicant’s financial history will be assessed to determine their default risk and to determine the appropriate collateral to secure repayment of any loan to be offered.</w:t>
      </w:r>
    </w:p>
    <w:p w14:paraId="565C00C6" w14:textId="1EC487FF" w:rsidR="006902C6" w:rsidRPr="008D77D8" w:rsidRDefault="00730F67" w:rsidP="00F56B08">
      <w:pPr>
        <w:pStyle w:val="BodyText"/>
        <w:spacing w:before="2" w:after="240"/>
        <w:ind w:left="720" w:right="552"/>
        <w:jc w:val="both"/>
      </w:pPr>
      <w:r w:rsidRPr="008D77D8">
        <w:t xml:space="preserve">Specific provisions that can be required as a condition to making a loan </w:t>
      </w:r>
      <w:r w:rsidR="00201A80" w:rsidRPr="008D77D8">
        <w:t>are:</w:t>
      </w:r>
      <w:r w:rsidRPr="008D77D8">
        <w:t xml:space="preserve"> establish and collect rents, rates, fees, and charges to produce revenue sufficient; levy and collect ad valorem taxes on all property; create and maintain special funds for the payment of principal and interest; create and maintain other special funds; require audited financial statements; conveyance of or the granting of liens on or securit</w:t>
      </w:r>
      <w:r w:rsidR="00F56B08" w:rsidRPr="008D77D8">
        <w:t xml:space="preserve">y </w:t>
      </w:r>
      <w:r w:rsidRPr="008D77D8">
        <w:t>interests in real and personal property, together with all rights, title and interest therein; or take other actions as deemed necessary or desirable to secure payment of principal and interest.</w:t>
      </w:r>
    </w:p>
    <w:p w14:paraId="0440409D" w14:textId="10FC2043" w:rsidR="006902C6" w:rsidRPr="008D77D8" w:rsidRDefault="00730F67" w:rsidP="0085653E">
      <w:pPr>
        <w:pStyle w:val="BodyText"/>
        <w:spacing w:after="240"/>
        <w:ind w:left="720" w:right="625"/>
        <w:jc w:val="both"/>
      </w:pPr>
      <w:r w:rsidRPr="008D77D8">
        <w:t>VDH reserves the right to apply a $6,000 loan closing fee on select projects that can be added to the principal of the loan. Part of the interest on a loan (from zero to 1.5%) may be designated by VDH as an administration fee and used by VDH for the administration of the program. Except for the origination and admin</w:t>
      </w:r>
      <w:r w:rsidR="002E2297" w:rsidRPr="008D77D8">
        <w:t>istrative</w:t>
      </w:r>
      <w:r w:rsidRPr="008D77D8">
        <w:t xml:space="preserve"> fee all other repayments funds will be returned to the Fund for use on future construction or refinance projects. The administration fee will not be applied to interest free loans.</w:t>
      </w:r>
    </w:p>
    <w:p w14:paraId="5B953C69" w14:textId="77777777" w:rsidR="006902C6" w:rsidRPr="008D77D8" w:rsidRDefault="00730F67" w:rsidP="0085653E">
      <w:pPr>
        <w:pStyle w:val="BodyText"/>
        <w:spacing w:after="240"/>
        <w:ind w:left="720" w:right="717"/>
        <w:jc w:val="both"/>
      </w:pPr>
      <w:r w:rsidRPr="008D77D8">
        <w:t xml:space="preserve">Principal and interest payments on each loan will commence </w:t>
      </w:r>
      <w:proofErr w:type="gramStart"/>
      <w:r w:rsidRPr="008D77D8">
        <w:t>not</w:t>
      </w:r>
      <w:proofErr w:type="gramEnd"/>
      <w:r w:rsidRPr="008D77D8">
        <w:t xml:space="preserve"> later than </w:t>
      </w:r>
      <w:r w:rsidR="00CF1077" w:rsidRPr="008D77D8">
        <w:t>six months</w:t>
      </w:r>
      <w:r w:rsidRPr="008D77D8">
        <w:t xml:space="preserve"> after completion </w:t>
      </w:r>
      <w:r w:rsidR="00CF1077" w:rsidRPr="008D77D8">
        <w:t xml:space="preserve">of the </w:t>
      </w:r>
      <w:r w:rsidRPr="008D77D8">
        <w:t xml:space="preserve">project. Payment terms and the beginning date of the payment of the loan may be negotiated </w:t>
      </w:r>
      <w:r w:rsidRPr="008D77D8">
        <w:lastRenderedPageBreak/>
        <w:t>depending on availability of revenue and the waterworks’ financial situation.</w:t>
      </w:r>
    </w:p>
    <w:p w14:paraId="0D69E3DE" w14:textId="77777777" w:rsidR="006902C6" w:rsidRPr="008D77D8" w:rsidRDefault="00730F67" w:rsidP="0085653E">
      <w:pPr>
        <w:pStyle w:val="ListParagraph"/>
        <w:numPr>
          <w:ilvl w:val="0"/>
          <w:numId w:val="20"/>
        </w:numPr>
        <w:tabs>
          <w:tab w:val="left" w:pos="721"/>
        </w:tabs>
        <w:spacing w:before="1" w:after="240"/>
        <w:ind w:hanging="361"/>
        <w:jc w:val="both"/>
        <w:rPr>
          <w:b/>
          <w:bCs/>
        </w:rPr>
      </w:pPr>
      <w:r w:rsidRPr="008D77D8">
        <w:rPr>
          <w:b/>
          <w:bCs/>
        </w:rPr>
        <w:t>Core Program Interest Rate</w:t>
      </w:r>
    </w:p>
    <w:p w14:paraId="5FADCC07" w14:textId="07A51936" w:rsidR="006902C6" w:rsidRPr="008D77D8" w:rsidRDefault="00730F67" w:rsidP="0085653E">
      <w:pPr>
        <w:pStyle w:val="BodyText"/>
        <w:spacing w:after="240"/>
        <w:ind w:left="720" w:right="596"/>
        <w:jc w:val="both"/>
      </w:pPr>
      <w:r w:rsidRPr="008D77D8">
        <w:t xml:space="preserve">The repayment of loans is critical to sustaining the revolving loan fund in perpetuity. The Core Program is a </w:t>
      </w:r>
      <w:r w:rsidR="00201A80" w:rsidRPr="008D77D8">
        <w:t>20-year</w:t>
      </w:r>
      <w:r w:rsidRPr="008D77D8">
        <w:t xml:space="preserve"> loan with the interest rate set at the time of loan closing. The core program rate is set at 1% below the market interest rate for municipal </w:t>
      </w:r>
      <w:r w:rsidR="00201A80" w:rsidRPr="008D77D8">
        <w:t>20-year</w:t>
      </w:r>
      <w:r w:rsidRPr="008D77D8">
        <w:t xml:space="preserve"> AA revenue bonds. Historically the core program rate has been between 1.4% and 3.</w:t>
      </w:r>
      <w:r w:rsidR="0078307B" w:rsidRPr="008D77D8">
        <w:t>2</w:t>
      </w:r>
      <w:r w:rsidRPr="008D77D8">
        <w:t>%.</w:t>
      </w:r>
      <w:r w:rsidR="00960922" w:rsidRPr="008D77D8">
        <w:t xml:space="preserve"> For 30-year terms, the interest rate is set at </w:t>
      </w:r>
      <w:proofErr w:type="gramStart"/>
      <w:r w:rsidR="00960922" w:rsidRPr="008D77D8">
        <w:t>½ of 1</w:t>
      </w:r>
      <w:proofErr w:type="gramEnd"/>
      <w:r w:rsidR="00960922" w:rsidRPr="008D77D8">
        <w:t>% (50 basis points) below the market rate.</w:t>
      </w:r>
      <w:r w:rsidR="00D727FF" w:rsidRPr="008D77D8">
        <w:t xml:space="preserve"> </w:t>
      </w:r>
    </w:p>
    <w:p w14:paraId="24E9BDEB" w14:textId="77777777" w:rsidR="006902C6" w:rsidRPr="008D77D8" w:rsidRDefault="00730F67" w:rsidP="0085653E">
      <w:pPr>
        <w:pStyle w:val="ListParagraph"/>
        <w:numPr>
          <w:ilvl w:val="0"/>
          <w:numId w:val="20"/>
        </w:numPr>
        <w:tabs>
          <w:tab w:val="left" w:pos="685"/>
        </w:tabs>
        <w:spacing w:after="240"/>
        <w:ind w:left="684" w:hanging="325"/>
        <w:jc w:val="both"/>
        <w:rPr>
          <w:b/>
          <w:bCs/>
        </w:rPr>
      </w:pPr>
      <w:r w:rsidRPr="008D77D8">
        <w:rPr>
          <w:b/>
          <w:bCs/>
        </w:rPr>
        <w:t>Disadvantaged Waterworks Program</w:t>
      </w:r>
    </w:p>
    <w:p w14:paraId="2AD7F58B" w14:textId="77777777" w:rsidR="006902C6" w:rsidRPr="008D77D8" w:rsidRDefault="00730F67" w:rsidP="0085653E">
      <w:pPr>
        <w:pStyle w:val="Heading3"/>
        <w:numPr>
          <w:ilvl w:val="0"/>
          <w:numId w:val="17"/>
        </w:numPr>
        <w:tabs>
          <w:tab w:val="left" w:pos="900"/>
        </w:tabs>
        <w:spacing w:after="240"/>
        <w:ind w:hanging="361"/>
        <w:jc w:val="both"/>
        <w:rPr>
          <w:b w:val="0"/>
          <w:sz w:val="21"/>
        </w:rPr>
      </w:pPr>
      <w:r w:rsidRPr="008D77D8">
        <w:t>General</w:t>
      </w:r>
    </w:p>
    <w:p w14:paraId="42BD0603" w14:textId="3627AB00" w:rsidR="00896044" w:rsidRPr="008D77D8" w:rsidRDefault="00730F67" w:rsidP="0085653E">
      <w:pPr>
        <w:pStyle w:val="BodyText"/>
        <w:spacing w:after="240"/>
        <w:ind w:left="720" w:right="552"/>
        <w:jc w:val="both"/>
      </w:pPr>
      <w:r w:rsidRPr="008D77D8">
        <w:t>In addition to the core program, the DWSRF Program allows the state to provide additional subsidization (partial or full forgiveness of principal) to the owner of a waterworks designated as disadvantaged.</w:t>
      </w:r>
    </w:p>
    <w:p w14:paraId="689C7BE7" w14:textId="77777777" w:rsidR="00896044" w:rsidRPr="008D77D8" w:rsidRDefault="00730F67" w:rsidP="0085653E">
      <w:pPr>
        <w:pStyle w:val="BodyText"/>
        <w:spacing w:after="240"/>
        <w:ind w:left="720" w:right="552"/>
        <w:jc w:val="both"/>
      </w:pPr>
      <w:r w:rsidRPr="008D77D8">
        <w:t>Twenty percent of the capitalization grant must be used to provide this subsidization in accordance with EPA’s requirements. The State has the option to apply up to a maximum of 30 percent of the capitalization grant as additional subsidization. The State has elected to implement a disadvantaged program and will use forgiveness of loan principal to meet the additional subsidization requirement.</w:t>
      </w:r>
    </w:p>
    <w:p w14:paraId="536C757E" w14:textId="77777777" w:rsidR="006902C6" w:rsidRPr="008D77D8" w:rsidRDefault="00730F67" w:rsidP="0085653E">
      <w:pPr>
        <w:pStyle w:val="BodyText"/>
        <w:spacing w:after="240"/>
        <w:ind w:left="720" w:right="552"/>
        <w:jc w:val="both"/>
      </w:pPr>
      <w:r w:rsidRPr="008D77D8">
        <w:t xml:space="preserve">Forgiveness of principal will decrease available loan funds. However, this will allow waterworks to undertake projects they could not otherwise construct and therefore protect the public health; and, when coupled with a waterworks business operation plan, it will reduce demand on the loan fund by insuring the </w:t>
      </w:r>
      <w:r w:rsidR="00201A80" w:rsidRPr="008D77D8">
        <w:t>long-term</w:t>
      </w:r>
      <w:r w:rsidRPr="008D77D8">
        <w:t xml:space="preserve"> well-being of the waterworks. VDH will couple principal forgiveness offers with requirements for building long term long financial sustainability.</w:t>
      </w:r>
    </w:p>
    <w:p w14:paraId="0A7FF2FE" w14:textId="77777777" w:rsidR="006902C6" w:rsidRPr="008D77D8" w:rsidRDefault="00730F67" w:rsidP="0085653E">
      <w:pPr>
        <w:pStyle w:val="BodyText"/>
        <w:spacing w:after="240"/>
        <w:ind w:left="720" w:right="552"/>
        <w:jc w:val="both"/>
      </w:pPr>
      <w:r w:rsidRPr="008D77D8">
        <w:t>VDH intends to build long-term financial sustainability at the waterworks by requiring the implementation of rate changes that meet or exceed the target rate criteria, as described below. No principal and interest payments are due on the portion of a loan designated as “Principal Forgiveness”.</w:t>
      </w:r>
    </w:p>
    <w:p w14:paraId="4978D0FF" w14:textId="02E446E2" w:rsidR="00896044" w:rsidRPr="008D77D8" w:rsidRDefault="00730F67" w:rsidP="0085653E">
      <w:pPr>
        <w:pStyle w:val="BodyText"/>
        <w:spacing w:after="240"/>
        <w:ind w:left="720"/>
        <w:jc w:val="both"/>
      </w:pPr>
      <w:r w:rsidRPr="008D77D8">
        <w:t xml:space="preserve">Disadvantaged waterworks qualifying for </w:t>
      </w:r>
      <w:r w:rsidR="00201A80" w:rsidRPr="008D77D8">
        <w:t>30-year</w:t>
      </w:r>
      <w:r w:rsidRPr="008D77D8">
        <w:t xml:space="preserve"> loans are those who meet the following criteria:</w:t>
      </w:r>
    </w:p>
    <w:p w14:paraId="3AF69563" w14:textId="77777777" w:rsidR="00896044" w:rsidRPr="008D77D8" w:rsidRDefault="00730F67" w:rsidP="0085653E">
      <w:pPr>
        <w:pStyle w:val="ListParagraph"/>
        <w:numPr>
          <w:ilvl w:val="0"/>
          <w:numId w:val="35"/>
        </w:numPr>
        <w:tabs>
          <w:tab w:val="left" w:pos="1081"/>
        </w:tabs>
        <w:spacing w:before="136" w:after="240" w:line="206" w:lineRule="auto"/>
        <w:ind w:right="1145"/>
        <w:jc w:val="both"/>
      </w:pPr>
      <w:r w:rsidRPr="008D77D8">
        <w:t xml:space="preserve">Have or will have monthly user rates that </w:t>
      </w:r>
      <w:r w:rsidRPr="008D77D8">
        <w:rPr>
          <w:u w:val="single"/>
        </w:rPr>
        <w:t>exceed</w:t>
      </w:r>
      <w:r w:rsidRPr="008D77D8">
        <w:t xml:space="preserve"> the target rate(s). See section on Target User Rates.</w:t>
      </w:r>
    </w:p>
    <w:p w14:paraId="3ECD4FF9" w14:textId="7CEA1F41" w:rsidR="00896044" w:rsidRPr="008D77D8" w:rsidRDefault="00730F67" w:rsidP="0085653E">
      <w:pPr>
        <w:pStyle w:val="BodyText"/>
        <w:spacing w:before="76" w:after="240"/>
        <w:ind w:left="729"/>
        <w:jc w:val="both"/>
      </w:pPr>
      <w:r w:rsidRPr="008D77D8">
        <w:t>Disadvantaged waterworks qualifying for principal forgiveness will meet the following criteria:</w:t>
      </w:r>
    </w:p>
    <w:p w14:paraId="45FD2353" w14:textId="4A95D457" w:rsidR="002C7BCF" w:rsidRPr="008D77D8" w:rsidRDefault="00730F67" w:rsidP="00F56B08">
      <w:pPr>
        <w:pStyle w:val="ListParagraph"/>
        <w:numPr>
          <w:ilvl w:val="0"/>
          <w:numId w:val="18"/>
        </w:numPr>
        <w:tabs>
          <w:tab w:val="left" w:pos="1081"/>
        </w:tabs>
        <w:spacing w:before="128" w:line="223" w:lineRule="auto"/>
        <w:ind w:right="778" w:hanging="352"/>
        <w:jc w:val="both"/>
      </w:pPr>
      <w:r w:rsidRPr="008D77D8">
        <w:t xml:space="preserve">Have or will have, </w:t>
      </w:r>
      <w:r w:rsidRPr="008D77D8">
        <w:rPr>
          <w:u w:val="single"/>
        </w:rPr>
        <w:t>after the project is completed</w:t>
      </w:r>
      <w:r w:rsidRPr="008D77D8">
        <w:t xml:space="preserve">, monthly user rates that </w:t>
      </w:r>
      <w:r w:rsidRPr="008D77D8">
        <w:rPr>
          <w:u w:val="single"/>
        </w:rPr>
        <w:t>exceed</w:t>
      </w:r>
      <w:r w:rsidRPr="008D77D8">
        <w:t xml:space="preserve"> the target rate(s). See section on Target User Rates.</w:t>
      </w:r>
    </w:p>
    <w:p w14:paraId="0169843B" w14:textId="7BF02BD2" w:rsidR="00E240B7" w:rsidRPr="008D77D8" w:rsidRDefault="00E240B7" w:rsidP="00F56B08">
      <w:pPr>
        <w:tabs>
          <w:tab w:val="left" w:pos="360"/>
        </w:tabs>
        <w:jc w:val="both"/>
        <w:rPr>
          <w:b/>
          <w:bCs/>
        </w:rPr>
      </w:pPr>
      <w:r w:rsidRPr="008D77D8">
        <w:tab/>
      </w:r>
      <w:r w:rsidRPr="008D77D8">
        <w:tab/>
      </w:r>
      <w:r w:rsidR="009E5BCB" w:rsidRPr="008D77D8">
        <w:rPr>
          <w:b/>
          <w:bCs/>
        </w:rPr>
        <w:t>o</w:t>
      </w:r>
      <w:r w:rsidRPr="008D77D8">
        <w:rPr>
          <w:b/>
          <w:bCs/>
        </w:rPr>
        <w:t xml:space="preserve">r </w:t>
      </w:r>
    </w:p>
    <w:p w14:paraId="242B146A" w14:textId="10660675" w:rsidR="007C4004" w:rsidRPr="008D77D8" w:rsidRDefault="009E5BCB" w:rsidP="00F56B08">
      <w:pPr>
        <w:pStyle w:val="ListParagraph"/>
        <w:numPr>
          <w:ilvl w:val="0"/>
          <w:numId w:val="18"/>
        </w:numPr>
        <w:tabs>
          <w:tab w:val="left" w:pos="360"/>
        </w:tabs>
        <w:spacing w:after="240"/>
        <w:jc w:val="both"/>
      </w:pPr>
      <w:r w:rsidRPr="008D77D8">
        <w:t>A</w:t>
      </w:r>
      <w:r w:rsidR="00E240B7" w:rsidRPr="008D77D8">
        <w:t xml:space="preserve"> project </w:t>
      </w:r>
      <w:r w:rsidRPr="008D77D8">
        <w:t xml:space="preserve">will </w:t>
      </w:r>
      <w:r w:rsidR="00E240B7" w:rsidRPr="008D77D8">
        <w:t xml:space="preserve">qualify as </w:t>
      </w:r>
      <w:r w:rsidR="00E240B7" w:rsidRPr="008D77D8">
        <w:rPr>
          <w:b/>
          <w:bCs/>
        </w:rPr>
        <w:t>Disadvantaged</w:t>
      </w:r>
      <w:r w:rsidR="00E240B7" w:rsidRPr="008D77D8">
        <w:t xml:space="preserve"> if the customer demographic in the area benefitting from the project has a Median Household Income (MHI) of 80% or less than the state MHI (using US Census data).</w:t>
      </w:r>
      <w:r w:rsidR="00D727FF" w:rsidRPr="008D77D8">
        <w:t xml:space="preserve"> </w:t>
      </w:r>
    </w:p>
    <w:p w14:paraId="264247C8" w14:textId="5FACA3A0" w:rsidR="006902C6" w:rsidRPr="008D77D8" w:rsidRDefault="00730F67" w:rsidP="00F56B08">
      <w:pPr>
        <w:pStyle w:val="BodyText"/>
        <w:spacing w:after="240"/>
        <w:ind w:left="720" w:right="552"/>
        <w:jc w:val="both"/>
      </w:pPr>
      <w:r w:rsidRPr="008D77D8">
        <w:t xml:space="preserve">Waterworks </w:t>
      </w:r>
      <w:r w:rsidRPr="008D77D8">
        <w:rPr>
          <w:u w:val="single"/>
        </w:rPr>
        <w:t>may</w:t>
      </w:r>
      <w:r w:rsidRPr="008D77D8">
        <w:t xml:space="preserve"> receive disadvantaged designation if taking over another waterworks which would be determined to be disadvantaged under these criteria, is considered failing, </w:t>
      </w:r>
      <w:r w:rsidR="00201A80" w:rsidRPr="008D77D8">
        <w:t>underperforming</w:t>
      </w:r>
      <w:r w:rsidRPr="008D77D8">
        <w:t>, or by</w:t>
      </w:r>
      <w:r w:rsidR="00F56B08" w:rsidRPr="008D77D8">
        <w:t xml:space="preserve"> </w:t>
      </w:r>
      <w:r w:rsidR="002C7BCF" w:rsidRPr="008D77D8">
        <w:t>p</w:t>
      </w:r>
      <w:r w:rsidRPr="008D77D8">
        <w:t>roviding drinking water service to existing unserved areas with public health challenges.</w:t>
      </w:r>
    </w:p>
    <w:p w14:paraId="451870C7" w14:textId="77777777" w:rsidR="006902C6" w:rsidRPr="008D77D8" w:rsidRDefault="00730F67" w:rsidP="0085653E">
      <w:pPr>
        <w:pStyle w:val="Heading3"/>
        <w:numPr>
          <w:ilvl w:val="0"/>
          <w:numId w:val="17"/>
        </w:numPr>
        <w:tabs>
          <w:tab w:val="left" w:pos="900"/>
        </w:tabs>
        <w:spacing w:after="240"/>
        <w:ind w:hanging="361"/>
        <w:jc w:val="both"/>
        <w:rPr>
          <w:rFonts w:ascii="Symbol" w:hAnsi="Symbol"/>
          <w:b w:val="0"/>
          <w:sz w:val="20"/>
        </w:rPr>
      </w:pPr>
      <w:r w:rsidRPr="008D77D8">
        <w:t>Target User Rates</w:t>
      </w:r>
    </w:p>
    <w:p w14:paraId="279EB12F" w14:textId="6411F147" w:rsidR="006902C6" w:rsidRPr="008D77D8" w:rsidRDefault="00730F67" w:rsidP="0085653E">
      <w:pPr>
        <w:pStyle w:val="BodyText"/>
        <w:spacing w:after="240"/>
        <w:ind w:left="720" w:right="656"/>
        <w:jc w:val="both"/>
      </w:pPr>
      <w:r w:rsidRPr="008D77D8">
        <w:t xml:space="preserve">Target user rates are set as a percentage of Median Household Income (MHI). The MHI utilized for a project will be based upon the latest census figures or latest update for the city, town or county in which the waterworks </w:t>
      </w:r>
      <w:proofErr w:type="gramStart"/>
      <w:r w:rsidRPr="008D77D8">
        <w:t>is</w:t>
      </w:r>
      <w:proofErr w:type="gramEnd"/>
      <w:r w:rsidRPr="008D77D8">
        <w:t xml:space="preserve"> located. Applicants may submit specific MHI comparisons for the waterworks’ entire service area.</w:t>
      </w:r>
      <w:r w:rsidR="000D003C" w:rsidRPr="008D77D8">
        <w:t xml:space="preserve"> </w:t>
      </w:r>
      <w:r w:rsidRPr="008D77D8">
        <w:t xml:space="preserve">VDH will use the average monthly residential water user rate as derived in the required </w:t>
      </w:r>
      <w:r w:rsidRPr="008D77D8">
        <w:lastRenderedPageBreak/>
        <w:t>VDH</w:t>
      </w:r>
      <w:r w:rsidR="00D727FF" w:rsidRPr="008D77D8">
        <w:t xml:space="preserve"> </w:t>
      </w:r>
      <w:r w:rsidRPr="008D77D8">
        <w:t xml:space="preserve">spreadsheet (Attachment </w:t>
      </w:r>
      <w:r w:rsidR="005C6D36" w:rsidRPr="008D77D8">
        <w:t>J</w:t>
      </w:r>
      <w:r w:rsidR="0078307B" w:rsidRPr="008D77D8">
        <w:t>10</w:t>
      </w:r>
      <w:r w:rsidRPr="008D77D8">
        <w:t xml:space="preserve"> of the Application for Construction Funds)</w:t>
      </w:r>
      <w:r w:rsidR="003C1821" w:rsidRPr="008D77D8">
        <w:t>.</w:t>
      </w:r>
    </w:p>
    <w:p w14:paraId="35ECCDAF" w14:textId="77777777" w:rsidR="006902C6" w:rsidRPr="008D77D8" w:rsidRDefault="00D221A4" w:rsidP="0085653E">
      <w:pPr>
        <w:pStyle w:val="BodyText"/>
        <w:spacing w:after="240"/>
        <w:ind w:left="720" w:right="656" w:firstLine="720"/>
        <w:jc w:val="both"/>
      </w:pPr>
      <w:r w:rsidRPr="008D77D8">
        <w:t xml:space="preserve">Target </w:t>
      </w:r>
      <w:r w:rsidR="00201A80" w:rsidRPr="008D77D8">
        <w:t>Rate =</w:t>
      </w:r>
      <w:r w:rsidRPr="008D77D8">
        <w:t xml:space="preserve"> </w:t>
      </w:r>
      <w:r w:rsidRPr="008D77D8">
        <w:tab/>
        <w:t>1.00% of the MHI</w:t>
      </w:r>
    </w:p>
    <w:p w14:paraId="61E25620" w14:textId="09235711" w:rsidR="006902C6" w:rsidRPr="008D77D8" w:rsidRDefault="00730F67" w:rsidP="0085653E">
      <w:pPr>
        <w:pStyle w:val="BodyText"/>
        <w:spacing w:before="1" w:after="240"/>
        <w:ind w:left="720" w:right="656"/>
        <w:jc w:val="both"/>
      </w:pPr>
      <w:r w:rsidRPr="008D77D8">
        <w:t>Waterworks are expected to meet or exceed the target rate criteria at the time of project completion. VDH reserves the right to require an implementation schedule acceptable to VDH for those waterwork</w:t>
      </w:r>
      <w:r w:rsidR="002E2297" w:rsidRPr="008D77D8">
        <w:t>s</w:t>
      </w:r>
      <w:r w:rsidRPr="008D77D8">
        <w:t xml:space="preserve"> that may need additional time for implementation of significant rate increases.</w:t>
      </w:r>
    </w:p>
    <w:p w14:paraId="5A8EA716" w14:textId="589B88F7" w:rsidR="00896044" w:rsidRPr="008D77D8" w:rsidRDefault="00730F67" w:rsidP="0085653E">
      <w:pPr>
        <w:pStyle w:val="Heading3"/>
        <w:numPr>
          <w:ilvl w:val="0"/>
          <w:numId w:val="17"/>
        </w:numPr>
        <w:tabs>
          <w:tab w:val="left" w:pos="900"/>
        </w:tabs>
        <w:spacing w:after="240"/>
        <w:ind w:hanging="361"/>
        <w:jc w:val="both"/>
        <w:rPr>
          <w:b w:val="0"/>
        </w:rPr>
      </w:pPr>
      <w:r w:rsidRPr="008D77D8">
        <w:t>Benefits</w:t>
      </w:r>
    </w:p>
    <w:p w14:paraId="32916058" w14:textId="77777777" w:rsidR="006902C6" w:rsidRPr="008D77D8" w:rsidRDefault="00730F67" w:rsidP="0085653E">
      <w:pPr>
        <w:pStyle w:val="BodyText"/>
        <w:spacing w:before="142" w:after="240"/>
        <w:ind w:left="720"/>
        <w:jc w:val="both"/>
      </w:pPr>
      <w:r w:rsidRPr="008D77D8">
        <w:t xml:space="preserve">Where waterworks/projects are designated as disadvantaged the following </w:t>
      </w:r>
      <w:r w:rsidRPr="008D77D8">
        <w:rPr>
          <w:u w:val="single"/>
        </w:rPr>
        <w:t>will be considered</w:t>
      </w:r>
      <w:r w:rsidRPr="008D77D8">
        <w:t>:</w:t>
      </w:r>
    </w:p>
    <w:p w14:paraId="53DFE7F7" w14:textId="6D505056" w:rsidR="00896044" w:rsidRPr="008D77D8" w:rsidRDefault="00730F67" w:rsidP="00F56B08">
      <w:pPr>
        <w:pStyle w:val="ListParagraph"/>
        <w:numPr>
          <w:ilvl w:val="1"/>
          <w:numId w:val="18"/>
        </w:numPr>
        <w:tabs>
          <w:tab w:val="left" w:pos="1800"/>
          <w:tab w:val="left" w:pos="1801"/>
        </w:tabs>
        <w:spacing w:before="92"/>
        <w:ind w:hanging="361"/>
        <w:jc w:val="both"/>
      </w:pPr>
      <w:r w:rsidRPr="008D77D8">
        <w:t xml:space="preserve">interest rates between zero and </w:t>
      </w:r>
      <w:r w:rsidR="002E2297" w:rsidRPr="008D77D8">
        <w:t>four</w:t>
      </w:r>
      <w:r w:rsidRPr="008D77D8">
        <w:t xml:space="preserve"> percent,</w:t>
      </w:r>
    </w:p>
    <w:p w14:paraId="4FD2C665" w14:textId="77777777" w:rsidR="00896044" w:rsidRPr="008D77D8" w:rsidRDefault="00730F67" w:rsidP="00F56B08">
      <w:pPr>
        <w:pStyle w:val="ListParagraph"/>
        <w:numPr>
          <w:ilvl w:val="1"/>
          <w:numId w:val="18"/>
        </w:numPr>
        <w:tabs>
          <w:tab w:val="left" w:pos="1801"/>
        </w:tabs>
        <w:spacing w:before="1" w:line="252" w:lineRule="exact"/>
        <w:ind w:hanging="361"/>
        <w:jc w:val="both"/>
      </w:pPr>
      <w:r w:rsidRPr="008D77D8">
        <w:t>a repayment term of up to 30 years,</w:t>
      </w:r>
    </w:p>
    <w:p w14:paraId="7826C570" w14:textId="77777777" w:rsidR="006902C6" w:rsidRPr="008D77D8" w:rsidRDefault="00730F67" w:rsidP="0085653E">
      <w:pPr>
        <w:pStyle w:val="ListParagraph"/>
        <w:numPr>
          <w:ilvl w:val="1"/>
          <w:numId w:val="18"/>
        </w:numPr>
        <w:tabs>
          <w:tab w:val="left" w:pos="1800"/>
          <w:tab w:val="left" w:pos="1801"/>
        </w:tabs>
        <w:spacing w:after="240" w:line="252" w:lineRule="exact"/>
        <w:ind w:hanging="361"/>
        <w:jc w:val="both"/>
      </w:pPr>
      <w:r w:rsidRPr="008D77D8">
        <w:t>partial or full forgiveness of principal (PF/grant) at the beginning of the loan.</w:t>
      </w:r>
    </w:p>
    <w:p w14:paraId="513655B6" w14:textId="6148DBB9" w:rsidR="006902C6" w:rsidRPr="008D77D8" w:rsidRDefault="00730F67" w:rsidP="0085653E">
      <w:pPr>
        <w:pStyle w:val="BodyText"/>
        <w:spacing w:after="240"/>
        <w:ind w:left="720" w:right="552"/>
        <w:jc w:val="both"/>
      </w:pPr>
      <w:r w:rsidRPr="008D77D8">
        <w:t xml:space="preserve">Following the process described under target user rate and blending one or more of these three </w:t>
      </w:r>
      <w:r w:rsidR="00B83696" w:rsidRPr="008D77D8">
        <w:t>considerations,</w:t>
      </w:r>
      <w:r w:rsidRPr="008D77D8">
        <w:t xml:space="preserve"> a calculated monthly user rate should result that is more than the target and/or the current rate.</w:t>
      </w:r>
    </w:p>
    <w:p w14:paraId="3C469775" w14:textId="77777777" w:rsidR="006902C6" w:rsidRPr="008D77D8" w:rsidRDefault="00730F67" w:rsidP="0085653E">
      <w:pPr>
        <w:pStyle w:val="BodyText"/>
        <w:spacing w:after="240"/>
        <w:ind w:left="720" w:right="552"/>
        <w:jc w:val="both"/>
      </w:pPr>
      <w:r w:rsidRPr="008D77D8">
        <w:t xml:space="preserve">VDH reserves the right to extend a </w:t>
      </w:r>
      <w:r w:rsidR="00B741D4" w:rsidRPr="008D77D8">
        <w:t>30-year</w:t>
      </w:r>
      <w:r w:rsidRPr="008D77D8">
        <w:t xml:space="preserve"> loan offer and/or principal forgiveness to those waterworks/projects that do not meet all of the above criteria. Additional requirements may apply.</w:t>
      </w:r>
    </w:p>
    <w:p w14:paraId="1C59189D" w14:textId="2C831843" w:rsidR="00896044" w:rsidRPr="008D77D8" w:rsidRDefault="00730F67" w:rsidP="0085653E">
      <w:pPr>
        <w:pStyle w:val="ListParagraph"/>
        <w:numPr>
          <w:ilvl w:val="0"/>
          <w:numId w:val="20"/>
        </w:numPr>
        <w:tabs>
          <w:tab w:val="left" w:pos="831"/>
        </w:tabs>
        <w:spacing w:after="240"/>
        <w:ind w:left="830" w:hanging="471"/>
        <w:jc w:val="both"/>
        <w:rPr>
          <w:b/>
          <w:bCs/>
        </w:rPr>
      </w:pPr>
      <w:r w:rsidRPr="008D77D8">
        <w:rPr>
          <w:b/>
          <w:bCs/>
        </w:rPr>
        <w:t>Changes due to new Laws and Guidelines</w:t>
      </w:r>
    </w:p>
    <w:p w14:paraId="139113E2" w14:textId="77777777" w:rsidR="006902C6" w:rsidRPr="008D77D8" w:rsidRDefault="00730F67" w:rsidP="0085653E">
      <w:pPr>
        <w:pStyle w:val="BodyText"/>
        <w:spacing w:before="37" w:after="240"/>
        <w:ind w:left="811" w:right="655"/>
        <w:jc w:val="both"/>
      </w:pPr>
      <w:r w:rsidRPr="008D77D8">
        <w:t>VDH reserves the right to make required and necessary changes to the program to implement revisions under new state or federal laws</w:t>
      </w:r>
      <w:r w:rsidR="00CA1A06" w:rsidRPr="008D77D8">
        <w:t>.</w:t>
      </w:r>
      <w:r w:rsidRPr="008D77D8">
        <w:t xml:space="preserve"> </w:t>
      </w:r>
    </w:p>
    <w:p w14:paraId="32590F8B" w14:textId="7B2D4A87" w:rsidR="00896044" w:rsidRPr="008D77D8" w:rsidRDefault="00730F67" w:rsidP="0085653E">
      <w:pPr>
        <w:pStyle w:val="ListParagraph"/>
        <w:numPr>
          <w:ilvl w:val="0"/>
          <w:numId w:val="20"/>
        </w:numPr>
        <w:tabs>
          <w:tab w:val="left" w:pos="811"/>
          <w:tab w:val="left" w:pos="812"/>
        </w:tabs>
        <w:spacing w:after="240" w:line="252" w:lineRule="exact"/>
        <w:ind w:left="811" w:hanging="452"/>
        <w:jc w:val="both"/>
        <w:rPr>
          <w:b/>
          <w:bCs/>
        </w:rPr>
      </w:pPr>
      <w:r w:rsidRPr="008D77D8">
        <w:rPr>
          <w:b/>
          <w:bCs/>
        </w:rPr>
        <w:t>Projects in the EVGMA only</w:t>
      </w:r>
    </w:p>
    <w:p w14:paraId="0A0111C0" w14:textId="0DF742EF" w:rsidR="006902C6" w:rsidRPr="008D77D8" w:rsidRDefault="00730F67" w:rsidP="0085653E">
      <w:pPr>
        <w:pStyle w:val="BodyText"/>
        <w:spacing w:after="240"/>
        <w:ind w:left="811" w:right="552"/>
        <w:jc w:val="both"/>
      </w:pPr>
      <w:r w:rsidRPr="008D77D8">
        <w:t xml:space="preserve">In January 2018, the DWSRF Program made the following revision: To conserve water in the Eastern Virginia Groundwater Management Area (EVGMA) created pursuant to the </w:t>
      </w:r>
      <w:r w:rsidR="00D42199" w:rsidRPr="008D77D8">
        <w:t>Ground Water Management Act</w:t>
      </w:r>
      <w:r w:rsidRPr="008D77D8">
        <w:t xml:space="preserve"> of 1992, VD</w:t>
      </w:r>
      <w:r w:rsidR="00E84426" w:rsidRPr="008D77D8">
        <w:t>H</w:t>
      </w:r>
      <w:r w:rsidRPr="008D77D8">
        <w:t xml:space="preserve"> reserves the right to give precedence to water projects that do not involve withdrawal of groundwater from</w:t>
      </w:r>
      <w:r w:rsidR="00D727FF" w:rsidRPr="008D77D8">
        <w:t xml:space="preserve"> </w:t>
      </w:r>
      <w:r w:rsidRPr="008D77D8">
        <w:t xml:space="preserve">the coastal plain aquifer over those projects that do withdraw groundwater in the EVGMA. VDH will only apply this evaluation to any </w:t>
      </w:r>
      <w:r w:rsidRPr="008D77D8">
        <w:rPr>
          <w:u w:val="single"/>
        </w:rPr>
        <w:t>equally ranked projects when both are located in the EVGMA</w:t>
      </w:r>
      <w:r w:rsidRPr="008D77D8">
        <w:t>.</w:t>
      </w:r>
    </w:p>
    <w:p w14:paraId="76E4E853" w14:textId="3FB47BE0" w:rsidR="00896044" w:rsidRPr="008D77D8" w:rsidRDefault="00730F67" w:rsidP="0085653E">
      <w:pPr>
        <w:pStyle w:val="ListParagraph"/>
        <w:numPr>
          <w:ilvl w:val="0"/>
          <w:numId w:val="20"/>
        </w:numPr>
        <w:tabs>
          <w:tab w:val="left" w:pos="721"/>
        </w:tabs>
        <w:spacing w:after="240"/>
        <w:ind w:hanging="361"/>
        <w:jc w:val="both"/>
        <w:rPr>
          <w:b/>
          <w:bCs/>
        </w:rPr>
      </w:pPr>
      <w:r w:rsidRPr="008D77D8">
        <w:rPr>
          <w:b/>
          <w:bCs/>
        </w:rPr>
        <w:t>Readiness to Proceed</w:t>
      </w:r>
    </w:p>
    <w:p w14:paraId="7600FF69" w14:textId="72B9EDC0" w:rsidR="006902C6" w:rsidRPr="008D77D8" w:rsidRDefault="00332B68" w:rsidP="0085653E">
      <w:pPr>
        <w:pStyle w:val="BodyText"/>
        <w:spacing w:before="37" w:after="240"/>
        <w:ind w:left="720" w:right="545"/>
        <w:jc w:val="both"/>
      </w:pPr>
      <w:r w:rsidRPr="008D77D8">
        <w:t>In February 2023, the DWSRF Program made the following revision: ODW reserves the right not to fund any waterworks owner with more than two open/incomplete DWSRF projects but will review this on a case-by-case basis.</w:t>
      </w:r>
      <w:r w:rsidR="00D727FF" w:rsidRPr="008D77D8">
        <w:t xml:space="preserve"> </w:t>
      </w:r>
      <w:r w:rsidR="00730F67" w:rsidRPr="008D77D8">
        <w:t>We request</w:t>
      </w:r>
      <w:r w:rsidR="002E2297" w:rsidRPr="008D77D8">
        <w:t>ed</w:t>
      </w:r>
      <w:r w:rsidR="00730F67" w:rsidRPr="008D77D8">
        <w:t xml:space="preserve"> that applicants focus efforts on completing open DWSRF projects that have alread</w:t>
      </w:r>
      <w:r w:rsidR="0078307B" w:rsidRPr="008D77D8">
        <w:t xml:space="preserve">y </w:t>
      </w:r>
      <w:r w:rsidR="00730F67" w:rsidRPr="008D77D8">
        <w:t xml:space="preserve">been awarded. Applicants </w:t>
      </w:r>
      <w:r w:rsidR="002E2297" w:rsidRPr="008D77D8">
        <w:t>could</w:t>
      </w:r>
      <w:r w:rsidR="00730F67" w:rsidRPr="008D77D8">
        <w:t xml:space="preserve"> withdraw from consideration any open projects that they believe are of</w:t>
      </w:r>
      <w:r w:rsidR="002B605D" w:rsidRPr="008D77D8">
        <w:t xml:space="preserve"> </w:t>
      </w:r>
      <w:proofErr w:type="gramStart"/>
      <w:r w:rsidR="00730F67" w:rsidRPr="008D77D8">
        <w:t>lesser</w:t>
      </w:r>
      <w:proofErr w:type="gramEnd"/>
      <w:r w:rsidR="00730F67" w:rsidRPr="008D77D8">
        <w:t xml:space="preserve"> priority to reduce the number of open DWSRF projects.</w:t>
      </w:r>
    </w:p>
    <w:p w14:paraId="5A27C5FA" w14:textId="4EAA05FC" w:rsidR="006902C6" w:rsidRPr="008D77D8" w:rsidRDefault="00567369" w:rsidP="0085653E">
      <w:pPr>
        <w:tabs>
          <w:tab w:val="left" w:pos="721"/>
        </w:tabs>
        <w:spacing w:after="240"/>
        <w:ind w:left="720"/>
        <w:jc w:val="both"/>
      </w:pPr>
      <w:r w:rsidRPr="008D77D8">
        <w:t>In February 2026, the DWSRF Program made the following revision</w:t>
      </w:r>
      <w:r w:rsidR="00254A2F" w:rsidRPr="008D77D8">
        <w:t xml:space="preserve">: </w:t>
      </w:r>
      <w:r w:rsidR="009C41C4" w:rsidRPr="008D77D8">
        <w:t>the question regarding waterworks owners with more than two open/incomplete DWSRF projects was removed from the “Application for Construction Funds”</w:t>
      </w:r>
      <w:r w:rsidR="009C225C" w:rsidRPr="008D77D8">
        <w:t xml:space="preserve"> and the “Application for the Lead Elimination Assistance Program (LEAP).”</w:t>
      </w:r>
      <w:r w:rsidR="00D727FF" w:rsidRPr="008D77D8">
        <w:t xml:space="preserve"> </w:t>
      </w:r>
      <w:r w:rsidR="009C41C4" w:rsidRPr="008D77D8">
        <w:t xml:space="preserve">However, ODW still reserves the right </w:t>
      </w:r>
      <w:r w:rsidR="00254A2F" w:rsidRPr="008D77D8">
        <w:t xml:space="preserve">not to fund any waterworks owner with more than two open/incomplete DWSRF </w:t>
      </w:r>
      <w:r w:rsidR="009C41C4" w:rsidRPr="008D77D8">
        <w:t>projects but</w:t>
      </w:r>
      <w:r w:rsidR="00254A2F" w:rsidRPr="008D77D8">
        <w:t xml:space="preserve"> will </w:t>
      </w:r>
      <w:r w:rsidR="009C41C4" w:rsidRPr="008D77D8">
        <w:t>continue to r</w:t>
      </w:r>
      <w:r w:rsidR="00254A2F" w:rsidRPr="008D77D8">
        <w:t>eview this on a case-by-case basis.</w:t>
      </w:r>
      <w:r w:rsidR="00D727FF" w:rsidRPr="008D77D8">
        <w:t xml:space="preserve"> </w:t>
      </w:r>
      <w:r w:rsidR="00254A2F" w:rsidRPr="008D77D8">
        <w:t xml:space="preserve">We </w:t>
      </w:r>
      <w:r w:rsidR="009C41C4" w:rsidRPr="008D77D8">
        <w:t xml:space="preserve">continue to </w:t>
      </w:r>
      <w:r w:rsidR="00254A2F" w:rsidRPr="008D77D8">
        <w:t xml:space="preserve">request that applicants focus efforts on completing open DWSRF projects that have already been awarded. </w:t>
      </w:r>
    </w:p>
    <w:p w14:paraId="5F525C89" w14:textId="10C324BD" w:rsidR="006902C6" w:rsidRPr="008D77D8" w:rsidRDefault="00936E63" w:rsidP="0085653E">
      <w:pPr>
        <w:tabs>
          <w:tab w:val="left" w:pos="721"/>
        </w:tabs>
        <w:spacing w:after="240"/>
        <w:ind w:left="720"/>
        <w:jc w:val="both"/>
      </w:pPr>
      <w:bookmarkStart w:id="7" w:name="_Hlk222820449"/>
      <w:r w:rsidRPr="008D77D8">
        <w:t xml:space="preserve">In February 2026, the DWSRF Program made the following revision: </w:t>
      </w:r>
      <w:r w:rsidR="00623578" w:rsidRPr="008D77D8">
        <w:t xml:space="preserve">a Pre-Requirement was added to the “Application for Construction Funds” and the “Application for the Lead Elimination Assistance Program </w:t>
      </w:r>
      <w:r w:rsidR="00623578" w:rsidRPr="008D77D8">
        <w:lastRenderedPageBreak/>
        <w:t xml:space="preserve">(LEAP)” in which the DWSRF Program </w:t>
      </w:r>
      <w:r w:rsidR="00623578" w:rsidRPr="008D77D8">
        <w:rPr>
          <w:u w:val="single"/>
        </w:rPr>
        <w:t>may not</w:t>
      </w:r>
      <w:r w:rsidR="00623578" w:rsidRPr="008D77D8">
        <w:t xml:space="preserve"> fund new applications if the applicant is behind </w:t>
      </w:r>
      <w:r w:rsidR="008C607E" w:rsidRPr="008D77D8">
        <w:t xml:space="preserve">in achieving </w:t>
      </w:r>
      <w:r w:rsidR="00623578" w:rsidRPr="008D77D8">
        <w:t>significant milestones on an existing FCAP funded project.</w:t>
      </w:r>
      <w:r w:rsidR="00D727FF" w:rsidRPr="008D77D8">
        <w:t xml:space="preserve"> </w:t>
      </w:r>
      <w:r w:rsidR="00623578" w:rsidRPr="008D77D8">
        <w:t xml:space="preserve">These milestones include </w:t>
      </w:r>
      <w:r w:rsidR="00B2169A" w:rsidRPr="008D77D8">
        <w:t>having the loan closed within 2 years of receiving the original</w:t>
      </w:r>
      <w:r w:rsidR="006C0EB8" w:rsidRPr="008D77D8">
        <w:t xml:space="preserve"> VDH</w:t>
      </w:r>
      <w:r w:rsidR="00B2169A" w:rsidRPr="008D77D8">
        <w:t xml:space="preserve"> Award Letter and having the project 100 percent complete/closed out within 4 years of receiving the original </w:t>
      </w:r>
      <w:r w:rsidR="006C0EB8" w:rsidRPr="008D77D8">
        <w:t xml:space="preserve">VDH </w:t>
      </w:r>
      <w:r w:rsidR="00B2169A" w:rsidRPr="008D77D8">
        <w:t>Award Letter.</w:t>
      </w:r>
      <w:r w:rsidR="00D727FF" w:rsidRPr="008D77D8">
        <w:t xml:space="preserve"> </w:t>
      </w:r>
      <w:r w:rsidR="009C225C" w:rsidRPr="008D77D8">
        <w:t>Again, we request that applicants focus efforts on completing open DWSRF projects that have already been awarded.</w:t>
      </w:r>
      <w:bookmarkEnd w:id="7"/>
    </w:p>
    <w:p w14:paraId="38FDB4C5" w14:textId="5D2CC591" w:rsidR="006902C6" w:rsidRPr="008D77D8" w:rsidRDefault="00B2169A" w:rsidP="0085653E">
      <w:pPr>
        <w:tabs>
          <w:tab w:val="left" w:pos="721"/>
        </w:tabs>
        <w:spacing w:after="240"/>
        <w:ind w:left="720"/>
        <w:jc w:val="both"/>
      </w:pPr>
      <w:r w:rsidRPr="008D77D8">
        <w:t xml:space="preserve">In February 2026, the DWSRF Program made the following revision: </w:t>
      </w:r>
      <w:bookmarkStart w:id="8" w:name="_Hlk222821344"/>
      <w:r w:rsidRPr="008D77D8">
        <w:t xml:space="preserve">a note was added </w:t>
      </w:r>
      <w:r w:rsidR="009C225C" w:rsidRPr="008D77D8">
        <w:t xml:space="preserve">to the </w:t>
      </w:r>
      <w:r w:rsidRPr="008D77D8">
        <w:t>“Application for Construction Funds” and the “Application for the Lead Elimination Assistance Program (LEAP)” in sections that pertain to the annual audits.</w:t>
      </w:r>
      <w:r w:rsidR="00D727FF" w:rsidRPr="008D77D8">
        <w:t xml:space="preserve"> </w:t>
      </w:r>
      <w:r w:rsidRPr="008D77D8">
        <w:t xml:space="preserve">This </w:t>
      </w:r>
      <w:proofErr w:type="gramStart"/>
      <w:r w:rsidRPr="008D77D8">
        <w:t>note</w:t>
      </w:r>
      <w:proofErr w:type="gramEnd"/>
      <w:r w:rsidRPr="008D77D8">
        <w:t xml:space="preserve"> states that an applicant should have a completed financial audit with no significant findings for </w:t>
      </w:r>
      <w:r w:rsidRPr="008D77D8">
        <w:rPr>
          <w:u w:val="single"/>
        </w:rPr>
        <w:t>at least</w:t>
      </w:r>
      <w:r w:rsidRPr="008D77D8">
        <w:t xml:space="preserve"> one of the last three years prior to the application deadline</w:t>
      </w:r>
      <w:r w:rsidRPr="008D77D8">
        <w:rPr>
          <w:b/>
          <w:bCs/>
        </w:rPr>
        <w:t>.</w:t>
      </w:r>
      <w:r w:rsidR="00D727FF" w:rsidRPr="008D77D8">
        <w:rPr>
          <w:b/>
          <w:bCs/>
        </w:rPr>
        <w:t xml:space="preserve"> </w:t>
      </w:r>
      <w:r w:rsidR="009C225C" w:rsidRPr="008D77D8">
        <w:rPr>
          <w:b/>
          <w:bCs/>
        </w:rPr>
        <w:t xml:space="preserve">It also states </w:t>
      </w:r>
      <w:r w:rsidRPr="008D77D8">
        <w:rPr>
          <w:b/>
          <w:bCs/>
        </w:rPr>
        <w:t xml:space="preserve">that if </w:t>
      </w:r>
      <w:r w:rsidR="008C607E" w:rsidRPr="008D77D8">
        <w:rPr>
          <w:b/>
          <w:bCs/>
        </w:rPr>
        <w:t xml:space="preserve">an applicant </w:t>
      </w:r>
      <w:r w:rsidRPr="008D77D8">
        <w:rPr>
          <w:b/>
          <w:bCs/>
        </w:rPr>
        <w:t>do</w:t>
      </w:r>
      <w:r w:rsidR="008C607E" w:rsidRPr="008D77D8">
        <w:rPr>
          <w:b/>
          <w:bCs/>
        </w:rPr>
        <w:t>es</w:t>
      </w:r>
      <w:r w:rsidRPr="008D77D8">
        <w:rPr>
          <w:b/>
          <w:bCs/>
        </w:rPr>
        <w:t xml:space="preserve"> not have this, then </w:t>
      </w:r>
      <w:r w:rsidR="008C607E" w:rsidRPr="008D77D8">
        <w:rPr>
          <w:b/>
          <w:bCs/>
        </w:rPr>
        <w:t xml:space="preserve">the applicant </w:t>
      </w:r>
      <w:r w:rsidRPr="008D77D8">
        <w:rPr>
          <w:b/>
          <w:bCs/>
          <w:u w:val="single"/>
        </w:rPr>
        <w:t>may not</w:t>
      </w:r>
      <w:r w:rsidRPr="008D77D8">
        <w:rPr>
          <w:b/>
          <w:bCs/>
        </w:rPr>
        <w:t xml:space="preserve"> be eligible to apply for funding</w:t>
      </w:r>
      <w:r w:rsidRPr="008D77D8">
        <w:t>.</w:t>
      </w:r>
      <w:r w:rsidR="00D727FF" w:rsidRPr="008D77D8">
        <w:t xml:space="preserve"> </w:t>
      </w:r>
      <w:r w:rsidRPr="008D77D8">
        <w:t>If this is the case, then please contact VDH’s Capacity Development Team for additional information on this.</w:t>
      </w:r>
      <w:r w:rsidR="00D727FF" w:rsidRPr="008D77D8">
        <w:t xml:space="preserve"> </w:t>
      </w:r>
      <w:r w:rsidRPr="008D77D8">
        <w:t xml:space="preserve">Please see the link for their contact information: </w:t>
      </w:r>
      <w:hyperlink r:id="rId49" w:history="1">
        <w:r w:rsidRPr="008D77D8">
          <w:rPr>
            <w:rStyle w:val="Hyperlink"/>
          </w:rPr>
          <w:t>Capacity Development - Drinking Water</w:t>
        </w:r>
      </w:hyperlink>
    </w:p>
    <w:bookmarkEnd w:id="8"/>
    <w:p w14:paraId="111DACB8" w14:textId="75B4ED3A" w:rsidR="00896044" w:rsidRPr="008D77D8" w:rsidRDefault="00730F67" w:rsidP="0085653E">
      <w:pPr>
        <w:pStyle w:val="ListParagraph"/>
        <w:numPr>
          <w:ilvl w:val="0"/>
          <w:numId w:val="20"/>
        </w:numPr>
        <w:tabs>
          <w:tab w:val="left" w:pos="721"/>
        </w:tabs>
        <w:spacing w:after="240" w:line="252" w:lineRule="exact"/>
        <w:ind w:hanging="361"/>
        <w:jc w:val="both"/>
        <w:rPr>
          <w:b/>
          <w:bCs/>
        </w:rPr>
      </w:pPr>
      <w:r w:rsidRPr="008D77D8">
        <w:rPr>
          <w:b/>
          <w:bCs/>
        </w:rPr>
        <w:t>Small Construction Projects (revised 2019)</w:t>
      </w:r>
    </w:p>
    <w:p w14:paraId="7064ECB8" w14:textId="77777777" w:rsidR="006902C6" w:rsidRPr="008D77D8" w:rsidRDefault="00730F67" w:rsidP="0085653E">
      <w:pPr>
        <w:pStyle w:val="BodyText"/>
        <w:spacing w:after="240"/>
        <w:ind w:left="720" w:right="552"/>
        <w:jc w:val="both"/>
      </w:pPr>
      <w:r w:rsidRPr="008D77D8">
        <w:t>VDH reserves the right to award 100% Principal Forgiveness to small projects to reduce program requirements and costs by avoiding additional costs associated with the loan program, and to expedite awards and disbursements in accordance with EPA requests. VDH reserves the right to limit 100% PF</w:t>
      </w:r>
      <w:r w:rsidR="00CA7EBA" w:rsidRPr="008D77D8">
        <w:t xml:space="preserve"> for s</w:t>
      </w:r>
      <w:r w:rsidRPr="008D77D8">
        <w:t>mall construction projects to projects that have documented acute and/or chronic health issues.</w:t>
      </w:r>
    </w:p>
    <w:p w14:paraId="66E6BBE1" w14:textId="754EF048" w:rsidR="00896044" w:rsidRPr="008D77D8" w:rsidRDefault="00730F67" w:rsidP="0085653E">
      <w:pPr>
        <w:pStyle w:val="ListParagraph"/>
        <w:numPr>
          <w:ilvl w:val="0"/>
          <w:numId w:val="20"/>
        </w:numPr>
        <w:tabs>
          <w:tab w:val="left" w:pos="720"/>
          <w:tab w:val="left" w:pos="721"/>
        </w:tabs>
        <w:spacing w:after="240"/>
        <w:ind w:hanging="361"/>
        <w:jc w:val="both"/>
        <w:rPr>
          <w:b/>
          <w:bCs/>
        </w:rPr>
      </w:pPr>
      <w:r w:rsidRPr="008D77D8">
        <w:rPr>
          <w:b/>
          <w:bCs/>
        </w:rPr>
        <w:t>Waterline Extensions to Serve Failing Private Wells</w:t>
      </w:r>
    </w:p>
    <w:p w14:paraId="3CC29256" w14:textId="108AFFBE" w:rsidR="00896044" w:rsidRPr="008D77D8" w:rsidRDefault="00730F67" w:rsidP="0085653E">
      <w:pPr>
        <w:pStyle w:val="BodyText"/>
        <w:spacing w:before="40" w:after="240"/>
        <w:ind w:left="720" w:right="596"/>
        <w:jc w:val="both"/>
      </w:pPr>
      <w:r w:rsidRPr="008D77D8">
        <w:t>In January 2018</w:t>
      </w:r>
      <w:r w:rsidR="00C112A4" w:rsidRPr="008D77D8">
        <w:t>,</w:t>
      </w:r>
      <w:r w:rsidRPr="008D77D8">
        <w:t xml:space="preserve"> the DWSRF Program made the following revision: VDH </w:t>
      </w:r>
      <w:r w:rsidRPr="008D77D8">
        <w:rPr>
          <w:u w:val="single"/>
        </w:rPr>
        <w:t>will conside</w:t>
      </w:r>
      <w:r w:rsidRPr="008D77D8">
        <w:t>r providing Principal Forgiveness (PF)/grant funding up to a maximum of $12,500 per residence connected for the projects that qual</w:t>
      </w:r>
      <w:r w:rsidR="00AB182B" w:rsidRPr="008D77D8">
        <w:t>ify under disadvantaged criteria</w:t>
      </w:r>
      <w:r w:rsidRPr="008D77D8">
        <w:t xml:space="preserve"> </w:t>
      </w:r>
      <w:r w:rsidR="003233C6" w:rsidRPr="008D77D8">
        <w:t xml:space="preserve">using </w:t>
      </w:r>
      <w:r w:rsidR="002304AD" w:rsidRPr="008D77D8">
        <w:t xml:space="preserve">target rates </w:t>
      </w:r>
      <w:r w:rsidR="003233C6" w:rsidRPr="008D77D8">
        <w:t xml:space="preserve">as a percentage of MHI, </w:t>
      </w:r>
      <w:r w:rsidRPr="008D77D8">
        <w:t>as specified below. All others may be eligible for low</w:t>
      </w:r>
      <w:r w:rsidR="00D727FF" w:rsidRPr="008D77D8">
        <w:t xml:space="preserve"> </w:t>
      </w:r>
      <w:r w:rsidRPr="008D77D8">
        <w:t xml:space="preserve">interest loans. Funds are not to be used for </w:t>
      </w:r>
      <w:r w:rsidR="00CA7EBA" w:rsidRPr="008D77D8">
        <w:t xml:space="preserve">private </w:t>
      </w:r>
      <w:r w:rsidRPr="008D77D8">
        <w:t>service lines</w:t>
      </w:r>
      <w:r w:rsidR="00CA7EBA" w:rsidRPr="008D77D8">
        <w:t xml:space="preserve"> located on the customer’s side of the meter</w:t>
      </w:r>
      <w:r w:rsidRPr="008D77D8">
        <w:t>.</w:t>
      </w:r>
      <w:r w:rsidR="006C0EB8" w:rsidRPr="008D77D8">
        <w:t xml:space="preserve"> In J</w:t>
      </w:r>
      <w:r w:rsidRPr="008D77D8">
        <w:t>anuary 2019</w:t>
      </w:r>
      <w:r w:rsidR="00C112A4" w:rsidRPr="008D77D8">
        <w:t>,</w:t>
      </w:r>
      <w:r w:rsidRPr="008D77D8">
        <w:t xml:space="preserve"> VDH add</w:t>
      </w:r>
      <w:r w:rsidR="00C112A4" w:rsidRPr="008D77D8">
        <w:t>ed</w:t>
      </w:r>
      <w:r w:rsidRPr="008D77D8">
        <w:t xml:space="preserve"> the following</w:t>
      </w:r>
      <w:r w:rsidR="00C112A4" w:rsidRPr="008D77D8">
        <w:t xml:space="preserve"> </w:t>
      </w:r>
      <w:r w:rsidR="00C112A4" w:rsidRPr="008D77D8">
        <w:rPr>
          <w:u w:val="single"/>
        </w:rPr>
        <w:t>to consider</w:t>
      </w:r>
      <w:r w:rsidRPr="008D77D8">
        <w:t>:</w:t>
      </w:r>
    </w:p>
    <w:p w14:paraId="4060169A" w14:textId="1F671627" w:rsidR="0002453E" w:rsidRPr="008D77D8" w:rsidRDefault="00730F67" w:rsidP="00F56B08">
      <w:pPr>
        <w:pStyle w:val="ListParagraph"/>
        <w:numPr>
          <w:ilvl w:val="0"/>
          <w:numId w:val="15"/>
        </w:numPr>
        <w:tabs>
          <w:tab w:val="left" w:pos="1800"/>
          <w:tab w:val="left" w:pos="1801"/>
        </w:tabs>
        <w:spacing w:before="1"/>
        <w:ind w:right="706"/>
        <w:jc w:val="both"/>
      </w:pPr>
      <w:r w:rsidRPr="008D77D8">
        <w:t xml:space="preserve">$0 per connection for actual </w:t>
      </w:r>
      <w:proofErr w:type="gramStart"/>
      <w:r w:rsidRPr="008D77D8">
        <w:t>to target</w:t>
      </w:r>
      <w:proofErr w:type="gramEnd"/>
      <w:r w:rsidRPr="008D77D8">
        <w:t xml:space="preserve"> ratio of less than 1.0. Unless they agree to adjust/raise</w:t>
      </w:r>
      <w:r w:rsidR="0002453E" w:rsidRPr="008D77D8">
        <w:t xml:space="preserve"> </w:t>
      </w:r>
      <w:r w:rsidR="00F92EBD" w:rsidRPr="008D77D8">
        <w:t xml:space="preserve">residential </w:t>
      </w:r>
      <w:r w:rsidR="0002453E" w:rsidRPr="008D77D8">
        <w:t>rates to target.</w:t>
      </w:r>
    </w:p>
    <w:p w14:paraId="0D14CD2B" w14:textId="17B57452" w:rsidR="00896044" w:rsidRPr="008D77D8" w:rsidRDefault="00730F67" w:rsidP="00F56B08">
      <w:pPr>
        <w:pStyle w:val="ListParagraph"/>
        <w:numPr>
          <w:ilvl w:val="0"/>
          <w:numId w:val="15"/>
        </w:numPr>
        <w:tabs>
          <w:tab w:val="left" w:pos="1800"/>
          <w:tab w:val="left" w:pos="1801"/>
        </w:tabs>
        <w:spacing w:before="1"/>
        <w:ind w:right="706"/>
        <w:jc w:val="both"/>
      </w:pPr>
      <w:r w:rsidRPr="008D77D8">
        <w:t xml:space="preserve">$12,500 per connection for actual </w:t>
      </w:r>
      <w:proofErr w:type="gramStart"/>
      <w:r w:rsidRPr="008D77D8">
        <w:t>to target</w:t>
      </w:r>
      <w:proofErr w:type="gramEnd"/>
      <w:r w:rsidRPr="008D77D8">
        <w:t xml:space="preserve"> </w:t>
      </w:r>
      <w:r w:rsidR="002455F4" w:rsidRPr="008D77D8">
        <w:t xml:space="preserve">ratio </w:t>
      </w:r>
      <w:r w:rsidRPr="008D77D8">
        <w:t>of 1.0 to 1.25.</w:t>
      </w:r>
    </w:p>
    <w:p w14:paraId="528AA2F4" w14:textId="77777777" w:rsidR="006902C6" w:rsidRPr="008D77D8" w:rsidRDefault="00730F67" w:rsidP="0085653E">
      <w:pPr>
        <w:pStyle w:val="ListParagraph"/>
        <w:numPr>
          <w:ilvl w:val="0"/>
          <w:numId w:val="15"/>
        </w:numPr>
        <w:tabs>
          <w:tab w:val="left" w:pos="1800"/>
          <w:tab w:val="left" w:pos="1801"/>
        </w:tabs>
        <w:spacing w:after="240"/>
        <w:ind w:hanging="721"/>
        <w:jc w:val="both"/>
      </w:pPr>
      <w:r w:rsidRPr="008D77D8">
        <w:t xml:space="preserve">$25,000 per connection for actual </w:t>
      </w:r>
      <w:proofErr w:type="gramStart"/>
      <w:r w:rsidRPr="008D77D8">
        <w:t>to target</w:t>
      </w:r>
      <w:proofErr w:type="gramEnd"/>
      <w:r w:rsidRPr="008D77D8">
        <w:t xml:space="preserve"> </w:t>
      </w:r>
      <w:r w:rsidR="002455F4" w:rsidRPr="008D77D8">
        <w:t xml:space="preserve">ratio of </w:t>
      </w:r>
      <w:r w:rsidRPr="008D77D8">
        <w:t>greater than 1.25.</w:t>
      </w:r>
    </w:p>
    <w:p w14:paraId="731D9ED8" w14:textId="6ADA44B4" w:rsidR="00896044" w:rsidRPr="008D77D8" w:rsidRDefault="00730F67" w:rsidP="0085653E">
      <w:pPr>
        <w:pStyle w:val="ListParagraph"/>
        <w:numPr>
          <w:ilvl w:val="0"/>
          <w:numId w:val="20"/>
        </w:numPr>
        <w:tabs>
          <w:tab w:val="left" w:pos="721"/>
        </w:tabs>
        <w:spacing w:after="240" w:line="252" w:lineRule="exact"/>
        <w:ind w:hanging="361"/>
        <w:jc w:val="both"/>
      </w:pPr>
      <w:r w:rsidRPr="008D77D8">
        <w:rPr>
          <w:b/>
          <w:bCs/>
        </w:rPr>
        <w:t>Asset Management Plans (AMPs)</w:t>
      </w:r>
    </w:p>
    <w:p w14:paraId="583C349D" w14:textId="7F8EAF16" w:rsidR="006902C6" w:rsidRPr="008D77D8" w:rsidRDefault="00730F67" w:rsidP="0085653E">
      <w:pPr>
        <w:pStyle w:val="BodyText"/>
        <w:spacing w:before="38" w:after="240"/>
        <w:ind w:left="720" w:right="879"/>
        <w:jc w:val="both"/>
      </w:pPr>
      <w:r w:rsidRPr="008D77D8">
        <w:t xml:space="preserve">In January 2019, the DWSRF Program made the following revision: To address aging infrastructure, Asset Management Plans for waterworks </w:t>
      </w:r>
      <w:r w:rsidR="006C0EB8" w:rsidRPr="008D77D8">
        <w:t>were</w:t>
      </w:r>
      <w:r w:rsidRPr="008D77D8">
        <w:t xml:space="preserve"> required to be completed (or updates if older than 5 years) as part of a project if a waterworks does not already have one. </w:t>
      </w:r>
    </w:p>
    <w:p w14:paraId="64790998" w14:textId="77777777" w:rsidR="006902C6" w:rsidRPr="008D77D8" w:rsidRDefault="0078307B" w:rsidP="0085653E">
      <w:pPr>
        <w:pStyle w:val="BodyText"/>
        <w:spacing w:before="38" w:after="240"/>
        <w:ind w:left="720" w:right="879"/>
        <w:jc w:val="both"/>
      </w:pPr>
      <w:r w:rsidRPr="008D77D8">
        <w:t>In January 2025, the DWSRF Program is no longer requiring AMPs for all projects. The requirement for an AMP will be decided on a case-by-case basis as part of Capacity Development’s Technical, Managerial, and Financial (TMF) review.</w:t>
      </w:r>
    </w:p>
    <w:p w14:paraId="6E54FF54" w14:textId="18BB4CAB" w:rsidR="00896044" w:rsidRPr="008D77D8" w:rsidRDefault="00730F67" w:rsidP="0085653E">
      <w:pPr>
        <w:pStyle w:val="ListParagraph"/>
        <w:numPr>
          <w:ilvl w:val="0"/>
          <w:numId w:val="20"/>
        </w:numPr>
        <w:tabs>
          <w:tab w:val="left" w:pos="721"/>
        </w:tabs>
        <w:spacing w:after="240"/>
        <w:ind w:hanging="361"/>
        <w:jc w:val="both"/>
        <w:rPr>
          <w:b/>
          <w:bCs/>
        </w:rPr>
      </w:pPr>
      <w:r w:rsidRPr="008D77D8">
        <w:rPr>
          <w:b/>
          <w:bCs/>
        </w:rPr>
        <w:t>Consolidation/Regionalization</w:t>
      </w:r>
    </w:p>
    <w:p w14:paraId="3B452910" w14:textId="77777777" w:rsidR="006902C6" w:rsidRPr="008D77D8" w:rsidRDefault="00730F67" w:rsidP="0085653E">
      <w:pPr>
        <w:pStyle w:val="BodyText"/>
        <w:spacing w:before="37" w:after="240"/>
        <w:ind w:left="720" w:right="609"/>
        <w:jc w:val="both"/>
      </w:pPr>
      <w:r w:rsidRPr="008D77D8">
        <w:t xml:space="preserve">In January 2019, the DWSRF Program made the following revision: VDH encourages the consolidation of ownership of small, failing, or underperforming systems to better leverage economies of scale and the capacity of existing/larger systems. VDH reserves the right to require regionalization for small systems to improve financial capacity as a condition of the acceptance and receipt of funds. Loans to consolidate (acquire ownership by transfer of assets and liabilities) waterworks may receive special funding if the waterworks to be acquired is considered failing, at-risk of failure, </w:t>
      </w:r>
      <w:r w:rsidR="00C90838" w:rsidRPr="008D77D8">
        <w:t xml:space="preserve">abandoned, </w:t>
      </w:r>
      <w:r w:rsidRPr="008D77D8">
        <w:t>underperforming or has inadequate TMF capacity</w:t>
      </w:r>
      <w:r w:rsidR="00CF7EE8" w:rsidRPr="008D77D8">
        <w:t>.</w:t>
      </w:r>
    </w:p>
    <w:p w14:paraId="74653B8A" w14:textId="12720562" w:rsidR="00896044" w:rsidRPr="008D77D8" w:rsidRDefault="00730F67" w:rsidP="0085653E">
      <w:pPr>
        <w:pStyle w:val="ListParagraph"/>
        <w:numPr>
          <w:ilvl w:val="0"/>
          <w:numId w:val="20"/>
        </w:numPr>
        <w:tabs>
          <w:tab w:val="left" w:pos="721"/>
        </w:tabs>
        <w:spacing w:after="240" w:line="252" w:lineRule="exact"/>
        <w:ind w:hanging="361"/>
        <w:jc w:val="both"/>
        <w:rPr>
          <w:b/>
          <w:bCs/>
        </w:rPr>
      </w:pPr>
      <w:r w:rsidRPr="008D77D8">
        <w:rPr>
          <w:b/>
          <w:bCs/>
        </w:rPr>
        <w:lastRenderedPageBreak/>
        <w:t>Financial Capacity and Sustainability Promotion</w:t>
      </w:r>
    </w:p>
    <w:p w14:paraId="631A66A6" w14:textId="77777777" w:rsidR="006902C6" w:rsidRPr="008D77D8" w:rsidRDefault="00730F67" w:rsidP="0085653E">
      <w:pPr>
        <w:pStyle w:val="BodyText"/>
        <w:spacing w:after="240"/>
        <w:ind w:left="720" w:right="576"/>
        <w:jc w:val="both"/>
      </w:pPr>
      <w:r w:rsidRPr="008D77D8">
        <w:t>In January 2017</w:t>
      </w:r>
      <w:r w:rsidR="00FC35D4" w:rsidRPr="008D77D8">
        <w:t>,</w:t>
      </w:r>
      <w:r w:rsidRPr="008D77D8">
        <w:t xml:space="preserve"> the DWSRF Program made revisions to promote </w:t>
      </w:r>
      <w:r w:rsidR="00491962" w:rsidRPr="008D77D8">
        <w:t>f</w:t>
      </w:r>
      <w:r w:rsidRPr="008D77D8">
        <w:t xml:space="preserve">inancial </w:t>
      </w:r>
      <w:r w:rsidR="00491962" w:rsidRPr="008D77D8">
        <w:t>c</w:t>
      </w:r>
      <w:r w:rsidRPr="008D77D8">
        <w:t>apability and sustainability. As a condition of funding VDH reserves the right to require the implementation of rate changes including</w:t>
      </w:r>
      <w:r w:rsidR="007D7EFE" w:rsidRPr="008D77D8">
        <w:t>,</w:t>
      </w:r>
      <w:r w:rsidRPr="008D77D8">
        <w:t xml:space="preserve"> but not limited to</w:t>
      </w:r>
      <w:r w:rsidR="007D7EFE" w:rsidRPr="008D77D8">
        <w:t>,</w:t>
      </w:r>
      <w:r w:rsidRPr="008D77D8">
        <w:t xml:space="preserve"> annual rate increases in an effort to build long-term financial sustainability </w:t>
      </w:r>
      <w:r w:rsidR="00FC35D4" w:rsidRPr="008D77D8">
        <w:t>at the</w:t>
      </w:r>
      <w:r w:rsidRPr="008D77D8">
        <w:t xml:space="preserve"> waterworks. To build waterworks financial capacity</w:t>
      </w:r>
      <w:r w:rsidR="007D7EFE" w:rsidRPr="008D77D8">
        <w:t>,</w:t>
      </w:r>
      <w:r w:rsidRPr="008D77D8">
        <w:t xml:space="preserve"> VDH </w:t>
      </w:r>
      <w:r w:rsidR="005819E7" w:rsidRPr="008D77D8">
        <w:rPr>
          <w:u w:val="single"/>
        </w:rPr>
        <w:t>may</w:t>
      </w:r>
      <w:r w:rsidRPr="008D77D8">
        <w:rPr>
          <w:u w:val="single"/>
        </w:rPr>
        <w:t xml:space="preserve"> offer</w:t>
      </w:r>
      <w:r w:rsidRPr="008D77D8">
        <w:t xml:space="preserve"> reduced interest rates (up to 25 bps) for recipients that commit to compound annual rate increases of at least 2% a year for five years as long as any additional funds generated are for the use of the waterworks.</w:t>
      </w:r>
    </w:p>
    <w:p w14:paraId="6A5B528B" w14:textId="674527F2" w:rsidR="000A3CB8" w:rsidRPr="008D77D8" w:rsidRDefault="00730F67" w:rsidP="0085653E">
      <w:pPr>
        <w:pStyle w:val="ListParagraph"/>
        <w:numPr>
          <w:ilvl w:val="0"/>
          <w:numId w:val="20"/>
        </w:numPr>
        <w:tabs>
          <w:tab w:val="left" w:pos="721"/>
        </w:tabs>
        <w:spacing w:after="240"/>
        <w:ind w:right="545"/>
        <w:jc w:val="both"/>
        <w:rPr>
          <w:b/>
          <w:bCs/>
        </w:rPr>
      </w:pPr>
      <w:r w:rsidRPr="008D77D8">
        <w:rPr>
          <w:b/>
          <w:bCs/>
        </w:rPr>
        <w:t xml:space="preserve">Lead </w:t>
      </w:r>
      <w:r w:rsidR="00362682" w:rsidRPr="008D77D8">
        <w:rPr>
          <w:b/>
          <w:bCs/>
        </w:rPr>
        <w:t>Elimination Assistance Program (LEAP)</w:t>
      </w:r>
    </w:p>
    <w:p w14:paraId="79EC33C8" w14:textId="435E12BC" w:rsidR="006902C6" w:rsidRPr="008D77D8" w:rsidRDefault="00730F67" w:rsidP="0085653E">
      <w:pPr>
        <w:pStyle w:val="ListParagraph"/>
        <w:tabs>
          <w:tab w:val="left" w:pos="721"/>
        </w:tabs>
        <w:spacing w:after="240"/>
        <w:ind w:left="720" w:right="545" w:firstLine="0"/>
        <w:jc w:val="both"/>
      </w:pPr>
      <w:r w:rsidRPr="008D77D8">
        <w:t>In January 2017, in an effort to accelerate the removal of lead in drinking water</w:t>
      </w:r>
      <w:r w:rsidR="00415329" w:rsidRPr="008D77D8">
        <w:t>,</w:t>
      </w:r>
      <w:r w:rsidRPr="008D77D8">
        <w:t xml:space="preserve"> the DWSRF Program has made revisions to the priority scoring and ranking </w:t>
      </w:r>
      <w:r w:rsidR="00415329" w:rsidRPr="008D77D8">
        <w:t>criteria</w:t>
      </w:r>
      <w:r w:rsidRPr="008D77D8">
        <w:t>. DWSRF funding is available for the complete removal of the public and/or private portion of the LSLs. In conjunction with other available funds</w:t>
      </w:r>
      <w:r w:rsidR="00415329" w:rsidRPr="008D77D8">
        <w:t>,</w:t>
      </w:r>
      <w:r w:rsidRPr="008D77D8">
        <w:t xml:space="preserve"> this program intend</w:t>
      </w:r>
      <w:r w:rsidR="009D408A" w:rsidRPr="008D77D8">
        <w:t>ed</w:t>
      </w:r>
      <w:r w:rsidRPr="008D77D8">
        <w:t xml:space="preserve"> to provide up to $5000 dollars as grant funds (of which up to $500 may be eligible as an admin fee) for each service line replaced on the</w:t>
      </w:r>
      <w:r w:rsidR="00516DC8" w:rsidRPr="008D77D8">
        <w:t xml:space="preserve"> </w:t>
      </w:r>
      <w:r w:rsidR="000A3CB8" w:rsidRPr="008D77D8">
        <w:t>homeowner’s</w:t>
      </w:r>
      <w:r w:rsidRPr="008D77D8">
        <w:t xml:space="preserve"> side of the meter. The LSL includes pipe entry into the structure (up to and including a shut off valve) but excludes the premise plumbing. </w:t>
      </w:r>
      <w:r w:rsidR="0055029A" w:rsidRPr="008D77D8">
        <w:t xml:space="preserve">Up to $250,000 dollars as grant funds </w:t>
      </w:r>
      <w:r w:rsidR="00B83696" w:rsidRPr="008D77D8">
        <w:t>were</w:t>
      </w:r>
      <w:r w:rsidR="0055029A" w:rsidRPr="008D77D8">
        <w:t xml:space="preserve"> available for the building of an LSL Inventory. </w:t>
      </w:r>
      <w:r w:rsidRPr="008D77D8">
        <w:t>Please see Appendix D for details.</w:t>
      </w:r>
    </w:p>
    <w:p w14:paraId="015F0793" w14:textId="4A66CBBD" w:rsidR="006902C6" w:rsidRPr="008D77D8" w:rsidRDefault="00551B54" w:rsidP="0085653E">
      <w:pPr>
        <w:pStyle w:val="ListParagraph"/>
        <w:tabs>
          <w:tab w:val="left" w:pos="721"/>
        </w:tabs>
        <w:spacing w:after="240"/>
        <w:ind w:left="720" w:right="545" w:firstLine="0"/>
        <w:jc w:val="both"/>
      </w:pPr>
      <w:r w:rsidRPr="008D77D8">
        <w:t>In February 2026, there is no dollar limit that can be applied for on LSLR projects; however, the amount applied for needs to be supported with a budget.</w:t>
      </w:r>
      <w:r w:rsidR="00D727FF" w:rsidRPr="008D77D8">
        <w:t xml:space="preserve"> </w:t>
      </w:r>
      <w:r w:rsidRPr="008D77D8">
        <w:t>If the project has documented lead service lines that need to be replaced, then the LSLR project is eligible, and if additional work and associated expenses are needed to finalize the LSL inventory then these costs are also eligible.</w:t>
      </w:r>
      <w:r w:rsidR="00D727FF" w:rsidRPr="008D77D8">
        <w:t xml:space="preserve"> </w:t>
      </w:r>
      <w:r w:rsidRPr="008D77D8">
        <w:t xml:space="preserve">Please note, however, that LSL inventory </w:t>
      </w:r>
      <w:r w:rsidRPr="008D77D8">
        <w:rPr>
          <w:u w:val="single"/>
        </w:rPr>
        <w:t>only</w:t>
      </w:r>
      <w:r w:rsidRPr="008D77D8">
        <w:t xml:space="preserve"> projects are NOT eligible.</w:t>
      </w:r>
      <w:r w:rsidR="00D727FF" w:rsidRPr="008D77D8">
        <w:t xml:space="preserve"> </w:t>
      </w:r>
      <w:r w:rsidRPr="008D77D8">
        <w:t>LSLR costs will be based on the number of service lines planned to be replaced and the amount it costs to replace each line.</w:t>
      </w:r>
      <w:r w:rsidR="00D727FF" w:rsidRPr="008D77D8">
        <w:t xml:space="preserve"> </w:t>
      </w:r>
      <w:r w:rsidRPr="008D77D8">
        <w:t>Based on historic data from VDH funded LSL replacement projects, VDH intends to reimburse actual costs for service line replacement in the range of $6,000 to $10,000 for each service line replaced on the homeowner’s side of the meter.</w:t>
      </w:r>
      <w:r w:rsidR="00D727FF" w:rsidRPr="008D77D8">
        <w:t xml:space="preserve"> </w:t>
      </w:r>
      <w:r w:rsidRPr="008D77D8">
        <w:t>If the estimated costs exceed $10,000, please contact FCAP to discuss this.</w:t>
      </w:r>
      <w:r w:rsidR="00D727FF" w:rsidRPr="008D77D8">
        <w:t xml:space="preserve"> </w:t>
      </w:r>
      <w:r w:rsidR="009D408A" w:rsidRPr="008D77D8">
        <w:t>Please see Appendix D for details.</w:t>
      </w:r>
    </w:p>
    <w:p w14:paraId="45D7BF9D" w14:textId="758B7045" w:rsidR="00896044" w:rsidRPr="008D77D8" w:rsidRDefault="00730F67" w:rsidP="0085653E">
      <w:pPr>
        <w:pStyle w:val="ListParagraph"/>
        <w:numPr>
          <w:ilvl w:val="0"/>
          <w:numId w:val="20"/>
        </w:numPr>
        <w:tabs>
          <w:tab w:val="left" w:pos="721"/>
        </w:tabs>
        <w:spacing w:after="240"/>
        <w:ind w:hanging="361"/>
        <w:jc w:val="both"/>
        <w:rPr>
          <w:b/>
          <w:bCs/>
        </w:rPr>
      </w:pPr>
      <w:r w:rsidRPr="008D77D8">
        <w:rPr>
          <w:b/>
          <w:bCs/>
        </w:rPr>
        <w:t>Timely Use of Funds</w:t>
      </w:r>
    </w:p>
    <w:p w14:paraId="1066BA7D" w14:textId="75201F54" w:rsidR="006902C6" w:rsidRPr="008D77D8" w:rsidRDefault="00730F67" w:rsidP="0085653E">
      <w:pPr>
        <w:pStyle w:val="BodyText"/>
        <w:spacing w:before="1" w:after="240"/>
        <w:ind w:left="720" w:right="571"/>
        <w:jc w:val="both"/>
      </w:pPr>
      <w:r w:rsidRPr="008D77D8">
        <w:t xml:space="preserve">In January 2017, the DWSRF Program made the following revision: To promote readiness to </w:t>
      </w:r>
      <w:proofErr w:type="gramStart"/>
      <w:r w:rsidRPr="008D77D8">
        <w:t>proceed</w:t>
      </w:r>
      <w:proofErr w:type="gramEnd"/>
      <w:r w:rsidRPr="008D77D8">
        <w:t xml:space="preserve"> and timely use of funds</w:t>
      </w:r>
      <w:r w:rsidR="00F96A06" w:rsidRPr="008D77D8">
        <w:t>,</w:t>
      </w:r>
      <w:r w:rsidRPr="008D77D8">
        <w:t xml:space="preserve"> VDH </w:t>
      </w:r>
      <w:r w:rsidR="00316BEA" w:rsidRPr="008D77D8">
        <w:t>offered</w:t>
      </w:r>
      <w:r w:rsidRPr="008D77D8">
        <w:t xml:space="preserve"> reduced interest rates of up to 25 bps for recipients that </w:t>
      </w:r>
      <w:r w:rsidR="00BB3F81" w:rsidRPr="008D77D8">
        <w:t xml:space="preserve">can close </w:t>
      </w:r>
      <w:r w:rsidRPr="008D77D8">
        <w:t xml:space="preserve">loans within 12 months of the standard award date. The award date </w:t>
      </w:r>
      <w:r w:rsidR="00BA3A33" w:rsidRPr="008D77D8">
        <w:t>was</w:t>
      </w:r>
      <w:r w:rsidRPr="008D77D8">
        <w:t xml:space="preserve"> </w:t>
      </w:r>
      <w:proofErr w:type="gramStart"/>
      <w:r w:rsidRPr="008D77D8">
        <w:t>the earlier</w:t>
      </w:r>
      <w:proofErr w:type="gramEnd"/>
      <w:r w:rsidRPr="008D77D8">
        <w:t xml:space="preserve"> of the actual award date or the date that the majority of ODW award letters were mailed.</w:t>
      </w:r>
    </w:p>
    <w:p w14:paraId="1D7D7AED" w14:textId="7E04918E" w:rsidR="006902C6" w:rsidRPr="008D77D8" w:rsidRDefault="001F19CB" w:rsidP="0085653E">
      <w:pPr>
        <w:pStyle w:val="BodyText"/>
        <w:spacing w:before="1" w:after="240"/>
        <w:ind w:left="720" w:right="571"/>
        <w:jc w:val="both"/>
      </w:pPr>
      <w:r w:rsidRPr="008D77D8">
        <w:t xml:space="preserve">In February 2026, the DWSRF Program still intends to promote readiness to proceed and the timely use of funds with the </w:t>
      </w:r>
      <w:proofErr w:type="gramStart"/>
      <w:r w:rsidRPr="008D77D8">
        <w:t>25 bps</w:t>
      </w:r>
      <w:proofErr w:type="gramEnd"/>
      <w:r w:rsidRPr="008D77D8">
        <w:t xml:space="preserve"> interest rate reduction.</w:t>
      </w:r>
      <w:r w:rsidR="00D727FF" w:rsidRPr="008D77D8">
        <w:t xml:space="preserve"> </w:t>
      </w:r>
      <w:r w:rsidRPr="008D77D8">
        <w:t xml:space="preserve">For this, the recipient needs to have the loan closed within 12 months of the original </w:t>
      </w:r>
      <w:r w:rsidR="00DD6C28" w:rsidRPr="008D77D8">
        <w:t>ODW</w:t>
      </w:r>
      <w:r w:rsidRPr="008D77D8">
        <w:t xml:space="preserve"> Award Letter.</w:t>
      </w:r>
    </w:p>
    <w:p w14:paraId="7125C12D" w14:textId="500CFE1D" w:rsidR="00CF7EE8" w:rsidRPr="008D77D8" w:rsidRDefault="00730F67" w:rsidP="0085653E">
      <w:pPr>
        <w:pStyle w:val="ListParagraph"/>
        <w:numPr>
          <w:ilvl w:val="0"/>
          <w:numId w:val="20"/>
        </w:numPr>
        <w:tabs>
          <w:tab w:val="left" w:pos="721"/>
        </w:tabs>
        <w:spacing w:after="240"/>
        <w:ind w:right="547"/>
        <w:jc w:val="both"/>
        <w:rPr>
          <w:b/>
          <w:bCs/>
        </w:rPr>
      </w:pPr>
      <w:r w:rsidRPr="008D77D8">
        <w:rPr>
          <w:b/>
          <w:bCs/>
        </w:rPr>
        <w:t>Design Build</w:t>
      </w:r>
    </w:p>
    <w:p w14:paraId="74310087" w14:textId="1CDB5958" w:rsidR="006902C6" w:rsidRPr="008D77D8" w:rsidRDefault="00730F67" w:rsidP="0085653E">
      <w:pPr>
        <w:pStyle w:val="ListParagraph"/>
        <w:tabs>
          <w:tab w:val="left" w:pos="721"/>
        </w:tabs>
        <w:spacing w:after="240"/>
        <w:ind w:left="720" w:right="547" w:firstLine="0"/>
        <w:jc w:val="both"/>
      </w:pPr>
      <w:r w:rsidRPr="008D77D8">
        <w:t>In January 2016, the DWSRF Program made revisions to accommodate Design Build and</w:t>
      </w:r>
      <w:r w:rsidR="00D727FF" w:rsidRPr="008D77D8">
        <w:t xml:space="preserve"> </w:t>
      </w:r>
      <w:r w:rsidRPr="008D77D8">
        <w:t xml:space="preserve">other alternative project delivery methods. If you </w:t>
      </w:r>
      <w:r w:rsidR="00316BEA" w:rsidRPr="008D77D8">
        <w:t>were</w:t>
      </w:r>
      <w:r w:rsidRPr="008D77D8">
        <w:t xml:space="preserve"> interested, </w:t>
      </w:r>
      <w:r w:rsidR="00BA3A33" w:rsidRPr="008D77D8">
        <w:t>you were advised to</w:t>
      </w:r>
      <w:r w:rsidRPr="008D77D8">
        <w:t xml:space="preserve"> contact the DWSRF Director or </w:t>
      </w:r>
      <w:r w:rsidR="006D5D40" w:rsidRPr="008D77D8">
        <w:t>Project Team Leader</w:t>
      </w:r>
      <w:r w:rsidRPr="008D77D8">
        <w:t xml:space="preserve"> as early as possible to ensure you </w:t>
      </w:r>
      <w:r w:rsidR="00BA3A33" w:rsidRPr="008D77D8">
        <w:t>would have met</w:t>
      </w:r>
      <w:r w:rsidRPr="008D77D8">
        <w:t xml:space="preserve"> our procurement requirements for the Design </w:t>
      </w:r>
      <w:r w:rsidR="00BB3F81" w:rsidRPr="008D77D8">
        <w:t>Build team</w:t>
      </w:r>
      <w:r w:rsidRPr="008D77D8">
        <w:t>.</w:t>
      </w:r>
    </w:p>
    <w:p w14:paraId="4C91AF90" w14:textId="2106AC87" w:rsidR="006902C6" w:rsidRPr="008D77D8" w:rsidRDefault="008C607E" w:rsidP="0085653E">
      <w:pPr>
        <w:pStyle w:val="ListParagraph"/>
        <w:tabs>
          <w:tab w:val="left" w:pos="721"/>
        </w:tabs>
        <w:spacing w:after="240"/>
        <w:ind w:left="720" w:right="547" w:firstLine="0"/>
        <w:jc w:val="both"/>
      </w:pPr>
      <w:bookmarkStart w:id="9" w:name="_Hlk222821525"/>
      <w:r w:rsidRPr="008D77D8">
        <w:t xml:space="preserve">In February 2026, due to current </w:t>
      </w:r>
      <w:r w:rsidR="00DB33F6" w:rsidRPr="008D77D8">
        <w:t xml:space="preserve">staff </w:t>
      </w:r>
      <w:r w:rsidRPr="008D77D8">
        <w:t xml:space="preserve">workload, the DWSRF Program </w:t>
      </w:r>
      <w:r w:rsidR="00560D80" w:rsidRPr="008D77D8">
        <w:rPr>
          <w:u w:val="single"/>
        </w:rPr>
        <w:t xml:space="preserve">cannot </w:t>
      </w:r>
      <w:r w:rsidRPr="008D77D8">
        <w:rPr>
          <w:u w:val="single"/>
        </w:rPr>
        <w:t>accommodat</w:t>
      </w:r>
      <w:r w:rsidR="00560D80" w:rsidRPr="008D77D8">
        <w:rPr>
          <w:u w:val="single"/>
        </w:rPr>
        <w:t>e</w:t>
      </w:r>
      <w:r w:rsidRPr="008D77D8">
        <w:rPr>
          <w:u w:val="single"/>
        </w:rPr>
        <w:t xml:space="preserve"> Design Build or alternative project delivery methods</w:t>
      </w:r>
      <w:r w:rsidR="00560D80" w:rsidRPr="008D77D8">
        <w:rPr>
          <w:u w:val="single"/>
        </w:rPr>
        <w:t xml:space="preserve"> this funding cycle</w:t>
      </w:r>
      <w:r w:rsidRPr="008D77D8">
        <w:rPr>
          <w:u w:val="single"/>
        </w:rPr>
        <w:t>.</w:t>
      </w:r>
      <w:r w:rsidR="00D727FF" w:rsidRPr="008D77D8">
        <w:rPr>
          <w:u w:val="single"/>
        </w:rPr>
        <w:t xml:space="preserve"> </w:t>
      </w:r>
      <w:r w:rsidRPr="008D77D8">
        <w:rPr>
          <w:u w:val="single"/>
        </w:rPr>
        <w:t xml:space="preserve">The DWSRF Program will </w:t>
      </w:r>
      <w:r w:rsidR="00F21D5F" w:rsidRPr="008D77D8">
        <w:rPr>
          <w:u w:val="single"/>
        </w:rPr>
        <w:t xml:space="preserve">only </w:t>
      </w:r>
      <w:r w:rsidRPr="008D77D8">
        <w:rPr>
          <w:u w:val="single"/>
        </w:rPr>
        <w:t xml:space="preserve">be funding traditional Design-Bid-Build construction projects </w:t>
      </w:r>
      <w:r w:rsidR="00F21D5F" w:rsidRPr="008D77D8">
        <w:rPr>
          <w:u w:val="single"/>
        </w:rPr>
        <w:t>this funding cycle.</w:t>
      </w:r>
      <w:r w:rsidR="00D727FF" w:rsidRPr="008D77D8">
        <w:t xml:space="preserve"> </w:t>
      </w:r>
    </w:p>
    <w:bookmarkEnd w:id="9"/>
    <w:p w14:paraId="109B9053" w14:textId="16EE3C72" w:rsidR="00CF7EE8" w:rsidRPr="008D77D8" w:rsidRDefault="00730F67" w:rsidP="00BA3A33">
      <w:pPr>
        <w:pStyle w:val="ListParagraph"/>
        <w:keepNext/>
        <w:numPr>
          <w:ilvl w:val="0"/>
          <w:numId w:val="20"/>
        </w:numPr>
        <w:tabs>
          <w:tab w:val="left" w:pos="721"/>
        </w:tabs>
        <w:spacing w:before="1" w:after="240"/>
        <w:ind w:right="1037"/>
        <w:jc w:val="both"/>
        <w:rPr>
          <w:b/>
          <w:bCs/>
        </w:rPr>
      </w:pPr>
      <w:r w:rsidRPr="008D77D8">
        <w:rPr>
          <w:b/>
          <w:bCs/>
        </w:rPr>
        <w:lastRenderedPageBreak/>
        <w:t>Closings for Multiple Projects</w:t>
      </w:r>
    </w:p>
    <w:p w14:paraId="22562B25" w14:textId="77777777" w:rsidR="006902C6" w:rsidRPr="008D77D8" w:rsidRDefault="00730F67" w:rsidP="0085653E">
      <w:pPr>
        <w:pStyle w:val="ListParagraph"/>
        <w:tabs>
          <w:tab w:val="left" w:pos="721"/>
        </w:tabs>
        <w:spacing w:before="1" w:after="240"/>
        <w:ind w:left="720" w:right="1038" w:firstLine="0"/>
        <w:jc w:val="both"/>
      </w:pPr>
      <w:r w:rsidRPr="008D77D8">
        <w:t xml:space="preserve">If an applicant has multiple successful projects, all closings </w:t>
      </w:r>
      <w:r w:rsidRPr="008D77D8">
        <w:rPr>
          <w:u w:val="single"/>
        </w:rPr>
        <w:t>may</w:t>
      </w:r>
      <w:r w:rsidRPr="008D77D8">
        <w:t xml:space="preserve"> be</w:t>
      </w:r>
      <w:r w:rsidR="0078307B" w:rsidRPr="008D77D8">
        <w:t xml:space="preserve"> </w:t>
      </w:r>
      <w:r w:rsidRPr="008D77D8">
        <w:t>scheduled on the same date</w:t>
      </w:r>
      <w:r w:rsidR="008C607E" w:rsidRPr="008D77D8">
        <w:t xml:space="preserve">, if feasible, </w:t>
      </w:r>
      <w:r w:rsidRPr="008D77D8">
        <w:t>to reduce Program costs.</w:t>
      </w:r>
    </w:p>
    <w:p w14:paraId="36552EC1" w14:textId="2BB037B7" w:rsidR="00896044" w:rsidRPr="008D77D8" w:rsidRDefault="00730F67" w:rsidP="0085653E">
      <w:pPr>
        <w:pStyle w:val="ListParagraph"/>
        <w:numPr>
          <w:ilvl w:val="0"/>
          <w:numId w:val="20"/>
        </w:numPr>
        <w:tabs>
          <w:tab w:val="left" w:pos="721"/>
        </w:tabs>
        <w:spacing w:after="240"/>
        <w:ind w:hanging="361"/>
        <w:jc w:val="both"/>
        <w:rPr>
          <w:b/>
          <w:bCs/>
        </w:rPr>
      </w:pPr>
      <w:r w:rsidRPr="008D77D8">
        <w:rPr>
          <w:b/>
          <w:bCs/>
        </w:rPr>
        <w:t>Changes to Disadvantaged Criteria:</w:t>
      </w:r>
    </w:p>
    <w:p w14:paraId="7CEF7F52" w14:textId="77777777" w:rsidR="00896044" w:rsidRPr="008D77D8" w:rsidRDefault="00730F67" w:rsidP="0085653E">
      <w:pPr>
        <w:pStyle w:val="BodyText"/>
        <w:spacing w:before="37" w:after="240"/>
        <w:ind w:left="720" w:right="576"/>
        <w:jc w:val="both"/>
      </w:pPr>
      <w:r w:rsidRPr="008D77D8">
        <w:t>In January 2019, the DWSRF Program revised disadvantaged criteria to better accommodate waterworks addressing their aging infrastructure. The following were eliminated from Section D, above, as requirements for being considered disadvantaged:</w:t>
      </w:r>
    </w:p>
    <w:p w14:paraId="0AF46B7F" w14:textId="77777777" w:rsidR="00896044" w:rsidRPr="008D77D8" w:rsidRDefault="00730F67" w:rsidP="00F56B08">
      <w:pPr>
        <w:pStyle w:val="ListParagraph"/>
        <w:numPr>
          <w:ilvl w:val="0"/>
          <w:numId w:val="14"/>
        </w:numPr>
        <w:tabs>
          <w:tab w:val="left" w:pos="1440"/>
          <w:tab w:val="left" w:pos="1441"/>
        </w:tabs>
        <w:spacing w:before="1" w:line="276" w:lineRule="auto"/>
        <w:ind w:hanging="361"/>
        <w:jc w:val="both"/>
      </w:pPr>
      <w:r w:rsidRPr="008D77D8">
        <w:t>Apply for a construction loan to resolve a health or compliance problem,</w:t>
      </w:r>
    </w:p>
    <w:p w14:paraId="5DCCA09B" w14:textId="38DAE0F1" w:rsidR="00896044" w:rsidRPr="008D77D8" w:rsidRDefault="00730F67" w:rsidP="00F56B08">
      <w:pPr>
        <w:pStyle w:val="ListParagraph"/>
        <w:numPr>
          <w:ilvl w:val="0"/>
          <w:numId w:val="14"/>
        </w:numPr>
        <w:tabs>
          <w:tab w:val="left" w:pos="1440"/>
          <w:tab w:val="left" w:pos="1441"/>
        </w:tabs>
        <w:spacing w:line="276" w:lineRule="auto"/>
        <w:ind w:hanging="361"/>
        <w:jc w:val="both"/>
      </w:pPr>
      <w:r w:rsidRPr="008D77D8">
        <w:t>Will serve less than 10,000 people on a retail connection basis</w:t>
      </w:r>
      <w:r w:rsidR="00CF7EE8" w:rsidRPr="008D77D8">
        <w:t>.</w:t>
      </w:r>
    </w:p>
    <w:p w14:paraId="0E3A405D" w14:textId="77777777" w:rsidR="00896044" w:rsidRPr="008D77D8" w:rsidRDefault="00730F67" w:rsidP="00F56B08">
      <w:pPr>
        <w:pStyle w:val="ListParagraph"/>
        <w:numPr>
          <w:ilvl w:val="0"/>
          <w:numId w:val="14"/>
        </w:numPr>
        <w:tabs>
          <w:tab w:val="left" w:pos="1440"/>
          <w:tab w:val="left" w:pos="1441"/>
        </w:tabs>
        <w:spacing w:line="276" w:lineRule="auto"/>
        <w:ind w:right="807"/>
        <w:jc w:val="both"/>
      </w:pPr>
      <w:r w:rsidRPr="008D77D8">
        <w:t>Have a customer demographic where the median household income (MHI) is 80% or less than the state average MHI.</w:t>
      </w:r>
    </w:p>
    <w:p w14:paraId="4E8AF09F" w14:textId="77777777" w:rsidR="006902C6" w:rsidRPr="008D77D8" w:rsidRDefault="00730F67" w:rsidP="0085653E">
      <w:pPr>
        <w:pStyle w:val="ListParagraph"/>
        <w:numPr>
          <w:ilvl w:val="0"/>
          <w:numId w:val="14"/>
        </w:numPr>
        <w:tabs>
          <w:tab w:val="left" w:pos="1440"/>
          <w:tab w:val="left" w:pos="1441"/>
        </w:tabs>
        <w:spacing w:after="240" w:line="276" w:lineRule="auto"/>
        <w:ind w:hanging="361"/>
        <w:jc w:val="both"/>
      </w:pPr>
      <w:r w:rsidRPr="008D77D8">
        <w:t>Be experiencing financial stress. One indication may be a negative cash flow.</w:t>
      </w:r>
    </w:p>
    <w:p w14:paraId="73F4263B" w14:textId="5EC1DEBD" w:rsidR="00C90838" w:rsidRPr="008D77D8" w:rsidRDefault="00C90838" w:rsidP="0085653E">
      <w:pPr>
        <w:tabs>
          <w:tab w:val="left" w:pos="1440"/>
          <w:tab w:val="left" w:pos="1441"/>
        </w:tabs>
        <w:spacing w:after="240" w:line="268" w:lineRule="exact"/>
        <w:ind w:left="720"/>
        <w:jc w:val="both"/>
      </w:pPr>
      <w:r w:rsidRPr="008D77D8">
        <w:t>In January 202</w:t>
      </w:r>
      <w:r w:rsidR="00CF7EE8" w:rsidRPr="008D77D8">
        <w:t>3</w:t>
      </w:r>
      <w:r w:rsidRPr="008D77D8">
        <w:t xml:space="preserve">, </w:t>
      </w:r>
      <w:r w:rsidR="0078307B" w:rsidRPr="008D77D8">
        <w:t>t</w:t>
      </w:r>
      <w:r w:rsidRPr="008D77D8">
        <w:t xml:space="preserve">he DWSRF Program revised the disadvantaged criteria to incorporate Environmental Justice criteria. </w:t>
      </w:r>
    </w:p>
    <w:p w14:paraId="364E9B6C" w14:textId="77777777" w:rsidR="006902C6" w:rsidRPr="008D77D8" w:rsidRDefault="00C90838" w:rsidP="0085653E">
      <w:pPr>
        <w:pStyle w:val="ListParagraph"/>
        <w:numPr>
          <w:ilvl w:val="0"/>
          <w:numId w:val="28"/>
        </w:numPr>
        <w:spacing w:after="240"/>
        <w:jc w:val="both"/>
      </w:pPr>
      <w:r w:rsidRPr="008D77D8">
        <w:t xml:space="preserve">The </w:t>
      </w:r>
      <w:r w:rsidR="00CF7EE8" w:rsidRPr="008D77D8">
        <w:t>eight</w:t>
      </w:r>
      <w:r w:rsidRPr="008D77D8">
        <w:t xml:space="preserve"> Environmental Justice Indexes obtained from the </w:t>
      </w:r>
      <w:r w:rsidR="008D23C6" w:rsidRPr="008D77D8">
        <w:t xml:space="preserve">Council on Environmental </w:t>
      </w:r>
      <w:r w:rsidR="00CF7EE8" w:rsidRPr="008D77D8">
        <w:t>Quality (CEQ) Climate and Economic Justice Screening Tool (CEJST)</w:t>
      </w:r>
      <w:r w:rsidRPr="008D77D8">
        <w:t xml:space="preserve"> for the community served by the applicant’s project will be </w:t>
      </w:r>
      <w:r w:rsidR="00CF7EE8" w:rsidRPr="008D77D8">
        <w:t>considered</w:t>
      </w:r>
      <w:r w:rsidRPr="008D77D8">
        <w:t xml:space="preserve">. If the </w:t>
      </w:r>
      <w:r w:rsidR="00CF7EE8" w:rsidRPr="008D77D8">
        <w:t>community meets the threshold for at least one burden</w:t>
      </w:r>
      <w:r w:rsidRPr="008D77D8">
        <w:t xml:space="preserve">, the applicant </w:t>
      </w:r>
      <w:r w:rsidR="00517EDA" w:rsidRPr="008D77D8">
        <w:t>may</w:t>
      </w:r>
      <w:r w:rsidRPr="008D77D8">
        <w:t xml:space="preserve"> be considered to be serving an Environmental Justice Community.</w:t>
      </w:r>
    </w:p>
    <w:p w14:paraId="12EDDB8A" w14:textId="61E181F0" w:rsidR="006902C6" w:rsidRPr="008D77D8" w:rsidRDefault="00062006" w:rsidP="0085653E">
      <w:pPr>
        <w:tabs>
          <w:tab w:val="left" w:pos="1440"/>
          <w:tab w:val="left" w:pos="1441"/>
        </w:tabs>
        <w:spacing w:after="240" w:line="268" w:lineRule="exact"/>
        <w:ind w:left="720"/>
        <w:jc w:val="both"/>
      </w:pPr>
      <w:r w:rsidRPr="008D77D8">
        <w:t xml:space="preserve">In February 2025, the DWSRF Program </w:t>
      </w:r>
      <w:r w:rsidR="00B83696">
        <w:t>wa</w:t>
      </w:r>
      <w:r w:rsidRPr="008D77D8">
        <w:t xml:space="preserve">s no longer using the CEJST. </w:t>
      </w:r>
    </w:p>
    <w:p w14:paraId="6D817FD4" w14:textId="54008756" w:rsidR="008C607E" w:rsidRPr="008D77D8" w:rsidRDefault="008C607E" w:rsidP="0085653E">
      <w:pPr>
        <w:tabs>
          <w:tab w:val="left" w:pos="1440"/>
          <w:tab w:val="left" w:pos="1441"/>
        </w:tabs>
        <w:spacing w:after="240" w:line="268" w:lineRule="exact"/>
        <w:ind w:left="720"/>
        <w:jc w:val="both"/>
      </w:pPr>
      <w:r w:rsidRPr="008D77D8">
        <w:t>In February 2026, the DWSRF Program added back the following disadvantaged criteria</w:t>
      </w:r>
      <w:r w:rsidR="00B83696">
        <w:t>:</w:t>
      </w:r>
      <w:r w:rsidRPr="008D77D8">
        <w:t xml:space="preserve"> </w:t>
      </w:r>
    </w:p>
    <w:p w14:paraId="79316AA8" w14:textId="6EC8A141" w:rsidR="00462FDC" w:rsidRPr="008D77D8" w:rsidRDefault="008C607E" w:rsidP="0085653E">
      <w:pPr>
        <w:pStyle w:val="ListParagraph"/>
        <w:numPr>
          <w:ilvl w:val="0"/>
          <w:numId w:val="14"/>
        </w:numPr>
        <w:tabs>
          <w:tab w:val="left" w:pos="1440"/>
          <w:tab w:val="left" w:pos="1441"/>
        </w:tabs>
        <w:spacing w:after="240" w:line="276" w:lineRule="auto"/>
        <w:ind w:right="807"/>
        <w:jc w:val="both"/>
      </w:pPr>
      <w:r w:rsidRPr="008D77D8">
        <w:t>H</w:t>
      </w:r>
      <w:r w:rsidR="00B83696">
        <w:t>as</w:t>
      </w:r>
      <w:r w:rsidRPr="008D77D8">
        <w:t xml:space="preserve"> a customer demographic where the median household income (MHI) is 80% or less </w:t>
      </w:r>
      <w:r w:rsidR="00B83696" w:rsidRPr="008D77D8">
        <w:t>than the</w:t>
      </w:r>
      <w:r w:rsidRPr="008D77D8">
        <w:t xml:space="preserve"> state MHI (using US Census Data).</w:t>
      </w:r>
      <w:r w:rsidR="00D727FF" w:rsidRPr="008D77D8">
        <w:t xml:space="preserve"> </w:t>
      </w:r>
    </w:p>
    <w:p w14:paraId="18586199" w14:textId="3A1E297A" w:rsidR="008C607E" w:rsidRPr="008D77D8" w:rsidRDefault="00462FDC" w:rsidP="00CB740B">
      <w:pPr>
        <w:tabs>
          <w:tab w:val="left" w:pos="1440"/>
          <w:tab w:val="left" w:pos="1441"/>
        </w:tabs>
        <w:spacing w:after="240" w:line="268" w:lineRule="exact"/>
        <w:ind w:left="720"/>
        <w:jc w:val="both"/>
      </w:pPr>
      <w:r w:rsidRPr="008D77D8">
        <w:t>As such, in February 2026, a project application may be considered Disadvantaged based on MHI (see bullet point above) or water rates (see section titled Target User Rates).</w:t>
      </w:r>
      <w:r w:rsidR="00D727FF" w:rsidRPr="008D77D8">
        <w:t xml:space="preserve"> </w:t>
      </w:r>
    </w:p>
    <w:p w14:paraId="457F6057" w14:textId="77777777" w:rsidR="006902C6" w:rsidRPr="008D77D8" w:rsidRDefault="00730F67" w:rsidP="0085653E">
      <w:pPr>
        <w:pStyle w:val="Heading2"/>
        <w:numPr>
          <w:ilvl w:val="0"/>
          <w:numId w:val="24"/>
        </w:numPr>
        <w:tabs>
          <w:tab w:val="left" w:pos="1080"/>
          <w:tab w:val="left" w:pos="1081"/>
        </w:tabs>
        <w:spacing w:before="210" w:after="240"/>
        <w:ind w:hanging="721"/>
        <w:rPr>
          <w:u w:val="none"/>
        </w:rPr>
      </w:pPr>
      <w:bookmarkStart w:id="10" w:name="_bookmark7"/>
      <w:bookmarkEnd w:id="10"/>
      <w:r w:rsidRPr="008D77D8">
        <w:t>COMPREHENSIVE PRIORITY LIST</w:t>
      </w:r>
    </w:p>
    <w:p w14:paraId="048FEFCF" w14:textId="77777777" w:rsidR="006902C6" w:rsidRPr="008D77D8" w:rsidRDefault="00730F67" w:rsidP="0085653E">
      <w:pPr>
        <w:pStyle w:val="BodyText"/>
        <w:spacing w:before="91" w:after="240"/>
        <w:ind w:left="360" w:right="551"/>
        <w:jc w:val="both"/>
      </w:pPr>
      <w:r w:rsidRPr="008D77D8">
        <w:t>The Intended Use Plan (IUP) must contain (i) a comprehensive priority list of projects and set-aside activities that are eligible for assistance, and (ii) a list of eligible projects and set-aside activities to receive funding from the capitalization grant. These lists may be combined into a single list that designates those applicants and set-aside activities to receive funding. Loan applications are solicited annually and prioritized in accordance with rating criteria described below.</w:t>
      </w:r>
    </w:p>
    <w:p w14:paraId="2DB3EB25" w14:textId="429FB92E" w:rsidR="00BB3F81" w:rsidRPr="008D77D8" w:rsidRDefault="00730F67" w:rsidP="00CB740B">
      <w:pPr>
        <w:pStyle w:val="Heading3"/>
        <w:spacing w:after="240"/>
      </w:pPr>
      <w:r w:rsidRPr="008D77D8">
        <w:t xml:space="preserve">Application Review and Prioritization </w:t>
      </w:r>
    </w:p>
    <w:p w14:paraId="0DA983EF" w14:textId="0C36B86C" w:rsidR="00FF5B96" w:rsidRPr="008D77D8" w:rsidRDefault="00730F67" w:rsidP="00D75351">
      <w:pPr>
        <w:pStyle w:val="BodyText"/>
        <w:spacing w:after="240"/>
        <w:ind w:left="360" w:right="656"/>
        <w:jc w:val="both"/>
      </w:pPr>
      <w:r w:rsidRPr="008D77D8">
        <w:t xml:space="preserve">VDH intends to conduct one round of reviews for all projects received or postmarked by </w:t>
      </w:r>
      <w:r w:rsidR="00DF3A6B" w:rsidRPr="008D77D8">
        <w:t>5</w:t>
      </w:r>
      <w:r w:rsidR="002A4973" w:rsidRPr="008D77D8">
        <w:t xml:space="preserve"> </w:t>
      </w:r>
      <w:r w:rsidRPr="008D77D8">
        <w:t xml:space="preserve">PM on the date of the application deadline, which </w:t>
      </w:r>
      <w:r w:rsidR="00FF5B96" w:rsidRPr="008D77D8">
        <w:t xml:space="preserve">has recently been </w:t>
      </w:r>
      <w:r w:rsidR="000314AC" w:rsidRPr="008D77D8">
        <w:t>the first Friday of</w:t>
      </w:r>
      <w:r w:rsidR="00FF5B96" w:rsidRPr="008D77D8">
        <w:t xml:space="preserve"> </w:t>
      </w:r>
      <w:r w:rsidR="000314AC" w:rsidRPr="008D77D8">
        <w:rPr>
          <w:bCs/>
        </w:rPr>
        <w:t>May</w:t>
      </w:r>
      <w:r w:rsidRPr="008D77D8">
        <w:rPr>
          <w:b/>
        </w:rPr>
        <w:t xml:space="preserve"> </w:t>
      </w:r>
      <w:r w:rsidRPr="008D77D8">
        <w:t>of every year.</w:t>
      </w:r>
      <w:r w:rsidR="00D727FF" w:rsidRPr="008D77D8">
        <w:t xml:space="preserve"> </w:t>
      </w:r>
      <w:r w:rsidR="00FF5B96" w:rsidRPr="008D77D8">
        <w:t xml:space="preserve">This year, the funding application deadline has been pushed back to the </w:t>
      </w:r>
      <w:r w:rsidR="00FF5B96" w:rsidRPr="008D77D8">
        <w:rPr>
          <w:u w:val="single"/>
        </w:rPr>
        <w:t>first Friday of August</w:t>
      </w:r>
      <w:r w:rsidR="00FF5B96" w:rsidRPr="008D77D8">
        <w:t>.</w:t>
      </w:r>
      <w:r w:rsidR="00D727FF" w:rsidRPr="008D77D8">
        <w:t xml:space="preserve"> </w:t>
      </w:r>
      <w:r w:rsidR="00FF5B96" w:rsidRPr="008D77D8">
        <w:t>This way, applicants will not have to wait as long between when they apply and when they receive a funding offer, if they receive an offer.</w:t>
      </w:r>
      <w:r w:rsidR="00D727FF" w:rsidRPr="008D77D8">
        <w:t xml:space="preserve"> </w:t>
      </w:r>
      <w:r w:rsidR="00FF5B96" w:rsidRPr="008D77D8">
        <w:t>VDH is not in a position to make funding offers until the Federal Budget has been finalized.</w:t>
      </w:r>
    </w:p>
    <w:p w14:paraId="698DCF5C" w14:textId="7590240B" w:rsidR="006902C6" w:rsidRPr="008D77D8" w:rsidRDefault="00871CD0" w:rsidP="0085653E">
      <w:pPr>
        <w:pStyle w:val="BodyText"/>
        <w:spacing w:after="240"/>
        <w:ind w:left="360" w:right="656"/>
        <w:jc w:val="both"/>
      </w:pPr>
      <w:r w:rsidRPr="008D77D8">
        <w:t xml:space="preserve">Applicants are encouraged to apply for all infrastructure projects they are considering over the next couple of </w:t>
      </w:r>
      <w:r w:rsidRPr="008D77D8">
        <w:lastRenderedPageBreak/>
        <w:t>years.</w:t>
      </w:r>
      <w:r w:rsidR="00D727FF" w:rsidRPr="008D77D8">
        <w:t xml:space="preserve"> </w:t>
      </w:r>
      <w:r w:rsidRPr="008D77D8">
        <w:t>Typical project size is approximately $1 million.</w:t>
      </w:r>
      <w:r w:rsidR="00D727FF" w:rsidRPr="008D77D8">
        <w:t xml:space="preserve"> </w:t>
      </w:r>
      <w:r w:rsidR="00714A39" w:rsidRPr="008D77D8">
        <w:t>R</w:t>
      </w:r>
      <w:r w:rsidRPr="008D77D8">
        <w:t>ecently, VDH has been able to fund projects in the $3-</w:t>
      </w:r>
      <w:r w:rsidR="00714A39" w:rsidRPr="008D77D8">
        <w:t>5</w:t>
      </w:r>
      <w:r w:rsidRPr="008D77D8">
        <w:t xml:space="preserve"> million range. Depending on funding available, larger projects may need to be constructed in phases. </w:t>
      </w:r>
      <w:r w:rsidR="00730F67" w:rsidRPr="008D77D8">
        <w:t xml:space="preserve">The typical loan has an interest rate ranging from 1.5% to </w:t>
      </w:r>
      <w:r w:rsidR="0078307B" w:rsidRPr="008D77D8">
        <w:t>3.2</w:t>
      </w:r>
      <w:r w:rsidR="00730F67" w:rsidRPr="008D77D8">
        <w:t xml:space="preserve">% with a </w:t>
      </w:r>
      <w:r w:rsidR="00BB3F81" w:rsidRPr="008D77D8">
        <w:t>20-year</w:t>
      </w:r>
      <w:r w:rsidR="00730F67" w:rsidRPr="008D77D8">
        <w:t xml:space="preserve"> term and 2.3% to </w:t>
      </w:r>
      <w:r w:rsidR="0078307B" w:rsidRPr="008D77D8">
        <w:t>4</w:t>
      </w:r>
      <w:r w:rsidR="00730F67" w:rsidRPr="008D77D8">
        <w:t>.0% for a 30</w:t>
      </w:r>
      <w:r w:rsidR="00BB3F81" w:rsidRPr="008D77D8">
        <w:t>-</w:t>
      </w:r>
      <w:r w:rsidR="00730F67" w:rsidRPr="008D77D8">
        <w:t xml:space="preserve">year term. Project applications received after the deadline </w:t>
      </w:r>
      <w:r w:rsidR="00FC66BA" w:rsidRPr="008D77D8">
        <w:t xml:space="preserve">may be considered based on </w:t>
      </w:r>
      <w:r w:rsidR="00730F67" w:rsidRPr="008D77D8">
        <w:t>the availability</w:t>
      </w:r>
      <w:r w:rsidR="00D727FF" w:rsidRPr="008D77D8">
        <w:t xml:space="preserve"> </w:t>
      </w:r>
      <w:r w:rsidR="00B21218" w:rsidRPr="008D77D8">
        <w:t>o</w:t>
      </w:r>
      <w:r w:rsidR="00730F67" w:rsidRPr="008D77D8">
        <w:t>f funds. Eligible applications may be retained in an application pool as future funding becomes available.</w:t>
      </w:r>
    </w:p>
    <w:p w14:paraId="4212D5CF" w14:textId="17927B38" w:rsidR="00011EC0" w:rsidRPr="008D77D8" w:rsidRDefault="00011EC0" w:rsidP="00F56B08">
      <w:pPr>
        <w:pStyle w:val="BodyText"/>
        <w:numPr>
          <w:ilvl w:val="0"/>
          <w:numId w:val="30"/>
        </w:numPr>
        <w:ind w:right="656"/>
        <w:jc w:val="both"/>
      </w:pPr>
      <w:r w:rsidRPr="008D77D8">
        <w:t>The deadline for DWSRF</w:t>
      </w:r>
      <w:r w:rsidR="00461A45" w:rsidRPr="008D77D8">
        <w:t xml:space="preserve"> funded</w:t>
      </w:r>
      <w:r w:rsidRPr="008D77D8">
        <w:t xml:space="preserve"> projects is </w:t>
      </w:r>
      <w:r w:rsidR="00AC3489" w:rsidRPr="008D77D8">
        <w:rPr>
          <w:b/>
          <w:bCs/>
        </w:rPr>
        <w:t xml:space="preserve">August 7, </w:t>
      </w:r>
      <w:r w:rsidR="0078307B" w:rsidRPr="008D77D8">
        <w:rPr>
          <w:b/>
          <w:bCs/>
        </w:rPr>
        <w:t>202</w:t>
      </w:r>
      <w:r w:rsidR="00AC3489" w:rsidRPr="008D77D8">
        <w:rPr>
          <w:b/>
          <w:bCs/>
        </w:rPr>
        <w:t>6</w:t>
      </w:r>
      <w:r w:rsidR="00BB3F81" w:rsidRPr="008D77D8">
        <w:t>.</w:t>
      </w:r>
    </w:p>
    <w:p w14:paraId="6DF7D94A" w14:textId="728126E5" w:rsidR="006902C6" w:rsidRPr="008D77D8" w:rsidRDefault="00011EC0" w:rsidP="0085653E">
      <w:pPr>
        <w:pStyle w:val="BodyText"/>
        <w:numPr>
          <w:ilvl w:val="0"/>
          <w:numId w:val="30"/>
        </w:numPr>
        <w:spacing w:after="240"/>
        <w:ind w:right="656"/>
        <w:jc w:val="both"/>
      </w:pPr>
      <w:r w:rsidRPr="008D77D8">
        <w:t xml:space="preserve">The deadline for </w:t>
      </w:r>
      <w:r w:rsidR="007C12BE" w:rsidRPr="008D77D8">
        <w:t xml:space="preserve">Lead Service Line Replacement (LSLR) Projects funded by the </w:t>
      </w:r>
      <w:r w:rsidR="008F17E6" w:rsidRPr="008D77D8">
        <w:t>Bipartisan Infrastructure Law (BIL) (</w:t>
      </w:r>
      <w:r w:rsidR="00AC3489" w:rsidRPr="008D77D8">
        <w:t xml:space="preserve">Also known as </w:t>
      </w:r>
      <w:r w:rsidR="008F17E6" w:rsidRPr="008D77D8">
        <w:t xml:space="preserve">- </w:t>
      </w:r>
      <w:r w:rsidRPr="008D77D8">
        <w:t>Infrast</w:t>
      </w:r>
      <w:r w:rsidR="008F17E6" w:rsidRPr="008D77D8">
        <w:t>ructure Investment and Jobs Act)</w:t>
      </w:r>
      <w:r w:rsidRPr="008D77D8">
        <w:t xml:space="preserve"> is </w:t>
      </w:r>
      <w:r w:rsidR="00AC3489" w:rsidRPr="008D77D8">
        <w:t xml:space="preserve">also </w:t>
      </w:r>
      <w:r w:rsidR="00AC3489" w:rsidRPr="008D77D8">
        <w:rPr>
          <w:b/>
          <w:bCs/>
        </w:rPr>
        <w:t>August 7, 2026</w:t>
      </w:r>
      <w:r w:rsidR="00AC3489" w:rsidRPr="008D77D8">
        <w:t>.</w:t>
      </w:r>
      <w:r w:rsidR="00D727FF" w:rsidRPr="008D77D8">
        <w:t xml:space="preserve"> </w:t>
      </w:r>
      <w:r w:rsidR="00336E59" w:rsidRPr="008D77D8">
        <w:t>Note that VDH does have BIL-Lead funding remaining this cycle, but no other BIL funding is available.</w:t>
      </w:r>
      <w:r w:rsidR="00D727FF" w:rsidRPr="008D77D8">
        <w:t xml:space="preserve">   </w:t>
      </w:r>
    </w:p>
    <w:p w14:paraId="2EEE5420" w14:textId="0058E939" w:rsidR="00BB3F81" w:rsidRPr="008D77D8" w:rsidRDefault="00730F67" w:rsidP="00CB740B">
      <w:pPr>
        <w:pStyle w:val="Heading3"/>
        <w:spacing w:after="240"/>
      </w:pPr>
      <w:r w:rsidRPr="008D77D8">
        <w:t xml:space="preserve">PER Requirement </w:t>
      </w:r>
      <w:r w:rsidR="00571061" w:rsidRPr="008D77D8">
        <w:t>Back in the Program</w:t>
      </w:r>
    </w:p>
    <w:p w14:paraId="3EF21498" w14:textId="1BA798CA" w:rsidR="006902C6" w:rsidRPr="008D77D8" w:rsidRDefault="00571061" w:rsidP="0085653E">
      <w:pPr>
        <w:pStyle w:val="BodyText"/>
        <w:spacing w:after="240"/>
        <w:ind w:left="360" w:right="547"/>
        <w:jc w:val="both"/>
      </w:pPr>
      <w:r w:rsidRPr="008D77D8">
        <w:t>In January 2016, t</w:t>
      </w:r>
      <w:r w:rsidR="00730F67" w:rsidRPr="008D77D8">
        <w:t>he requirement to have a Preliminary Engineering Report (PER) drafted and submitted with the construction application (or waived</w:t>
      </w:r>
      <w:r w:rsidRPr="008D77D8">
        <w:t xml:space="preserve"> by the ODW Field Office</w:t>
      </w:r>
      <w:r w:rsidR="00730F67" w:rsidRPr="008D77D8">
        <w:t xml:space="preserve">) was </w:t>
      </w:r>
      <w:r w:rsidRPr="008D77D8">
        <w:t>rescinded.</w:t>
      </w:r>
      <w:r w:rsidR="00D727FF" w:rsidRPr="008D77D8">
        <w:t xml:space="preserve"> </w:t>
      </w:r>
      <w:r w:rsidRPr="008D77D8">
        <w:t>At that time, t</w:t>
      </w:r>
      <w:r w:rsidR="00730F67" w:rsidRPr="008D77D8">
        <w:t xml:space="preserve">he submission of the PER may </w:t>
      </w:r>
      <w:r w:rsidRPr="008D77D8">
        <w:t xml:space="preserve">have been </w:t>
      </w:r>
      <w:r w:rsidR="00730F67" w:rsidRPr="008D77D8">
        <w:t xml:space="preserve">made a condition of the award. </w:t>
      </w:r>
    </w:p>
    <w:p w14:paraId="535D0F5E" w14:textId="7EAE5189" w:rsidR="006902C6" w:rsidRPr="008D77D8" w:rsidRDefault="00571061" w:rsidP="0085653E">
      <w:pPr>
        <w:pStyle w:val="BodyText"/>
        <w:spacing w:after="240"/>
        <w:ind w:left="360" w:right="547"/>
        <w:jc w:val="both"/>
      </w:pPr>
      <w:r w:rsidRPr="008D77D8">
        <w:t xml:space="preserve">In February 2026, the requirement to have an approved (or waived) PER </w:t>
      </w:r>
      <w:r w:rsidR="00F21D5F" w:rsidRPr="008D77D8">
        <w:t>prior to submitting an application has returned to our program.</w:t>
      </w:r>
      <w:r w:rsidR="00D727FF" w:rsidRPr="008D77D8">
        <w:t xml:space="preserve"> </w:t>
      </w:r>
      <w:r w:rsidR="00F21D5F" w:rsidRPr="008D77D8">
        <w:t>If the ODW Field Office does not require a PER, then the letter waiving this requirement should be submitted with application.</w:t>
      </w:r>
      <w:r w:rsidR="00D727FF" w:rsidRPr="008D77D8">
        <w:t xml:space="preserve"> </w:t>
      </w:r>
      <w:r w:rsidR="00F21D5F" w:rsidRPr="008D77D8">
        <w:t>As such, applicants are advised to schedule the required Preliminary Engineering Conference (PEC) with the appropriate ODW Field Office prior to submitting an application.</w:t>
      </w:r>
    </w:p>
    <w:p w14:paraId="408BE27B" w14:textId="680CEFEC" w:rsidR="00BB3F81" w:rsidRPr="008D77D8" w:rsidRDefault="00730F67" w:rsidP="00CB740B">
      <w:pPr>
        <w:pStyle w:val="Heading3"/>
      </w:pPr>
      <w:r w:rsidRPr="008D77D8">
        <w:t>Design Build Accommodations</w:t>
      </w:r>
    </w:p>
    <w:p w14:paraId="4EF7DA4B" w14:textId="77777777" w:rsidR="006902C6" w:rsidRPr="008D77D8" w:rsidRDefault="00F21D5F" w:rsidP="0085653E">
      <w:pPr>
        <w:pStyle w:val="BodyText"/>
        <w:spacing w:after="240"/>
        <w:ind w:left="360" w:right="547"/>
        <w:jc w:val="both"/>
      </w:pPr>
      <w:r w:rsidRPr="008D77D8">
        <w:t xml:space="preserve">In January 2016, </w:t>
      </w:r>
      <w:r w:rsidR="00730F67" w:rsidRPr="008D77D8">
        <w:t>the DWSRF Program was revised to accommodate Design Build, Public/Private Partnerships, and other alternative project delivery methods.</w:t>
      </w:r>
    </w:p>
    <w:p w14:paraId="2AA0ED54" w14:textId="04C9B70B" w:rsidR="006902C6" w:rsidRPr="008D77D8" w:rsidRDefault="00F21D5F" w:rsidP="0085653E">
      <w:pPr>
        <w:pStyle w:val="BodyText"/>
        <w:spacing w:after="240"/>
        <w:ind w:left="360" w:right="547"/>
        <w:jc w:val="both"/>
      </w:pPr>
      <w:r w:rsidRPr="008D77D8">
        <w:t xml:space="preserve">In February 2026, due to current </w:t>
      </w:r>
      <w:r w:rsidR="00DB33F6" w:rsidRPr="008D77D8">
        <w:t xml:space="preserve">staff </w:t>
      </w:r>
      <w:r w:rsidRPr="008D77D8">
        <w:t xml:space="preserve">workload, the DWSRF Program </w:t>
      </w:r>
      <w:r w:rsidR="00560D80" w:rsidRPr="008D77D8">
        <w:rPr>
          <w:u w:val="single"/>
        </w:rPr>
        <w:t xml:space="preserve">cannot </w:t>
      </w:r>
      <w:r w:rsidRPr="008D77D8">
        <w:rPr>
          <w:u w:val="single"/>
        </w:rPr>
        <w:t>accommodat</w:t>
      </w:r>
      <w:r w:rsidR="00560D80" w:rsidRPr="008D77D8">
        <w:rPr>
          <w:u w:val="single"/>
        </w:rPr>
        <w:t>e</w:t>
      </w:r>
      <w:r w:rsidRPr="008D77D8">
        <w:rPr>
          <w:u w:val="single"/>
        </w:rPr>
        <w:t xml:space="preserve"> Design Build or alternative project delivery methods</w:t>
      </w:r>
      <w:r w:rsidR="00560D80" w:rsidRPr="008D77D8">
        <w:rPr>
          <w:u w:val="single"/>
        </w:rPr>
        <w:t xml:space="preserve"> this funding cycle</w:t>
      </w:r>
      <w:r w:rsidRPr="008D77D8">
        <w:rPr>
          <w:u w:val="single"/>
        </w:rPr>
        <w:t>.</w:t>
      </w:r>
      <w:r w:rsidR="00D727FF" w:rsidRPr="008D77D8">
        <w:rPr>
          <w:u w:val="single"/>
        </w:rPr>
        <w:t xml:space="preserve"> </w:t>
      </w:r>
      <w:r w:rsidRPr="008D77D8">
        <w:rPr>
          <w:u w:val="single"/>
        </w:rPr>
        <w:t>The DWSRF Program will only be funding traditional Design-Bid-Build construction projects this funding cycle.</w:t>
      </w:r>
      <w:r w:rsidR="00D727FF" w:rsidRPr="008D77D8">
        <w:t xml:space="preserve"> </w:t>
      </w:r>
    </w:p>
    <w:p w14:paraId="659101FF" w14:textId="157E5574" w:rsidR="00896044" w:rsidRPr="008D77D8" w:rsidRDefault="00362682" w:rsidP="00CB740B">
      <w:pPr>
        <w:pStyle w:val="Heading3"/>
        <w:spacing w:after="240"/>
      </w:pPr>
      <w:r w:rsidRPr="008D77D8">
        <w:t>Lead Elimination Assistance Program (LEAP)</w:t>
      </w:r>
    </w:p>
    <w:p w14:paraId="500F8A7C" w14:textId="77777777" w:rsidR="006902C6" w:rsidRPr="008D77D8" w:rsidRDefault="00730F67" w:rsidP="0085653E">
      <w:pPr>
        <w:pStyle w:val="BodyText"/>
        <w:spacing w:after="240" w:line="242" w:lineRule="auto"/>
        <w:ind w:left="360" w:right="836"/>
        <w:jc w:val="both"/>
      </w:pPr>
      <w:r w:rsidRPr="008D77D8">
        <w:t>In an effort to improve support of the replacement of lead service lines (LSLs)</w:t>
      </w:r>
      <w:r w:rsidR="00796568" w:rsidRPr="008D77D8">
        <w:t>,</w:t>
      </w:r>
      <w:r w:rsidRPr="008D77D8">
        <w:t xml:space="preserve"> VDH made revisions to the Program in January 2017. Please see Appendix D for details.</w:t>
      </w:r>
    </w:p>
    <w:p w14:paraId="6DD1C5CE" w14:textId="77777777" w:rsidR="006902C6" w:rsidRPr="008D77D8" w:rsidRDefault="00730F67" w:rsidP="0085653E">
      <w:pPr>
        <w:pStyle w:val="BodyText"/>
        <w:spacing w:after="240"/>
        <w:ind w:left="360" w:right="662"/>
        <w:jc w:val="both"/>
      </w:pPr>
      <w:r w:rsidRPr="008D77D8">
        <w:t>Changes in EPA grant conditions, guidance, or interpretation thereof may necessitate reevaluation of project eligibility and priority.</w:t>
      </w:r>
    </w:p>
    <w:p w14:paraId="0B40BACE" w14:textId="4A9D89D2" w:rsidR="006902C6" w:rsidRPr="008D77D8" w:rsidRDefault="00F21D5F" w:rsidP="0085653E">
      <w:pPr>
        <w:pStyle w:val="BodyText"/>
        <w:spacing w:after="240"/>
        <w:ind w:left="360" w:right="662"/>
        <w:jc w:val="both"/>
      </w:pPr>
      <w:r w:rsidRPr="008D77D8">
        <w:t>In February 2026, LSLR applicants, if successful, will be funded with BIL-Lead funding.</w:t>
      </w:r>
      <w:r w:rsidR="00D727FF" w:rsidRPr="008D77D8">
        <w:t xml:space="preserve"> </w:t>
      </w:r>
      <w:r w:rsidRPr="008D77D8">
        <w:t>Applicants should use the application title “</w:t>
      </w:r>
      <w:r w:rsidR="000C0170" w:rsidRPr="008D77D8">
        <w:t>Application for the Lead Elimination Assistance Program (LEAP).”</w:t>
      </w:r>
    </w:p>
    <w:p w14:paraId="1BC9773A" w14:textId="239E4EC6" w:rsidR="00896044" w:rsidRPr="008D77D8" w:rsidRDefault="00730F67" w:rsidP="006D08F2">
      <w:pPr>
        <w:pStyle w:val="Heading3"/>
        <w:spacing w:after="240"/>
      </w:pPr>
      <w:bookmarkStart w:id="11" w:name="_TOC_250003"/>
      <w:r w:rsidRPr="008D77D8">
        <w:rPr>
          <w:u w:val="single"/>
        </w:rPr>
        <w:t xml:space="preserve">Emergency </w:t>
      </w:r>
      <w:bookmarkEnd w:id="11"/>
      <w:r w:rsidRPr="008D77D8">
        <w:rPr>
          <w:u w:val="single"/>
        </w:rPr>
        <w:t>Projects:</w:t>
      </w:r>
    </w:p>
    <w:p w14:paraId="3657020E" w14:textId="77777777" w:rsidR="006902C6" w:rsidRPr="008D77D8" w:rsidRDefault="00730F67" w:rsidP="006D08F2">
      <w:pPr>
        <w:pStyle w:val="BodyText"/>
        <w:spacing w:before="225" w:after="240"/>
        <w:ind w:left="360" w:right="584"/>
        <w:jc w:val="both"/>
      </w:pPr>
      <w:r w:rsidRPr="008D77D8">
        <w:t>As allowed by EPA VDH reserves the right to fund emergency drinking water projects outside of the priority list of projects. Emergency drinking water projects are defined as necessary water production or distribution projects requiring immediate action to correct an urgent condition that poses an imminent danger to public health and welfare. Some examples of emergencies that may impact waterworks and pose an imminent threat to public health are epidemics, conflagrations, significant storms, hurricanes, floods, tornados, earthquakes or other unusual incidents.</w:t>
      </w:r>
    </w:p>
    <w:p w14:paraId="0DAAE262" w14:textId="77777777" w:rsidR="006902C6" w:rsidRPr="008D77D8" w:rsidRDefault="00730F67" w:rsidP="006D08F2">
      <w:pPr>
        <w:pStyle w:val="BodyText"/>
        <w:spacing w:after="240"/>
        <w:ind w:left="360" w:right="552"/>
        <w:jc w:val="both"/>
      </w:pPr>
      <w:r w:rsidRPr="008D77D8">
        <w:t xml:space="preserve">The VDH Commissioner determines what constitutes an imminent threat to public health and welfare under an Emergency Order. </w:t>
      </w:r>
      <w:r w:rsidR="00BB3F81" w:rsidRPr="008D77D8">
        <w:t>Typically,</w:t>
      </w:r>
      <w:r w:rsidRPr="008D77D8">
        <w:t xml:space="preserve"> an emergency drinking water project will require an Emergency Order from </w:t>
      </w:r>
      <w:r w:rsidRPr="008D77D8">
        <w:lastRenderedPageBreak/>
        <w:t>the Commissioner in accordance with § 32.1-175, an Emergency Declaration from the Governor’s Office, or be within a disaster area as declared by the Federal Emergency Management Agency (FEMA).</w:t>
      </w:r>
    </w:p>
    <w:p w14:paraId="09CEA961" w14:textId="42F6B5D7" w:rsidR="00896044" w:rsidRPr="008D77D8" w:rsidRDefault="00730F67" w:rsidP="006D08F2">
      <w:pPr>
        <w:pStyle w:val="BodyText"/>
        <w:spacing w:after="240"/>
        <w:ind w:left="360"/>
        <w:jc w:val="both"/>
      </w:pPr>
      <w:r w:rsidRPr="008D77D8">
        <w:t>Additional criteria:</w:t>
      </w:r>
    </w:p>
    <w:p w14:paraId="5844AA08" w14:textId="77777777" w:rsidR="00896044" w:rsidRPr="008D77D8" w:rsidRDefault="00730F67" w:rsidP="006D08F2">
      <w:pPr>
        <w:pStyle w:val="ListParagraph"/>
        <w:numPr>
          <w:ilvl w:val="0"/>
          <w:numId w:val="13"/>
        </w:numPr>
        <w:tabs>
          <w:tab w:val="left" w:pos="1081"/>
        </w:tabs>
        <w:spacing w:before="1" w:line="276" w:lineRule="auto"/>
        <w:ind w:right="1103"/>
        <w:jc w:val="both"/>
      </w:pPr>
      <w:r w:rsidRPr="008D77D8">
        <w:t>The condition must arise from a natural accident outside of human control, act of God, or other unforeseen occurrence or unavoidable condition.</w:t>
      </w:r>
    </w:p>
    <w:p w14:paraId="5D3BCCCC" w14:textId="77777777" w:rsidR="00896044" w:rsidRPr="008D77D8" w:rsidRDefault="00730F67" w:rsidP="006D08F2">
      <w:pPr>
        <w:pStyle w:val="ListParagraph"/>
        <w:numPr>
          <w:ilvl w:val="0"/>
          <w:numId w:val="13"/>
        </w:numPr>
        <w:tabs>
          <w:tab w:val="left" w:pos="1081"/>
        </w:tabs>
        <w:spacing w:line="276" w:lineRule="auto"/>
        <w:ind w:right="773"/>
        <w:jc w:val="both"/>
      </w:pPr>
      <w:r w:rsidRPr="008D77D8">
        <w:t>The condition cannot arise as the result of waterworks deterioration, neglect, dilatory action, or the emergency could not have been prevented or substantially mitigated by exercise of reasonable care of the facilities by the owner.</w:t>
      </w:r>
    </w:p>
    <w:p w14:paraId="5A2C8A6B" w14:textId="77777777" w:rsidR="00896044" w:rsidRPr="008D77D8" w:rsidRDefault="00730F67" w:rsidP="006D08F2">
      <w:pPr>
        <w:pStyle w:val="ListParagraph"/>
        <w:numPr>
          <w:ilvl w:val="0"/>
          <w:numId w:val="13"/>
        </w:numPr>
        <w:tabs>
          <w:tab w:val="left" w:pos="1081"/>
        </w:tabs>
        <w:spacing w:line="276" w:lineRule="auto"/>
        <w:ind w:right="800"/>
        <w:jc w:val="both"/>
      </w:pPr>
      <w:r w:rsidRPr="008D77D8">
        <w:t>The condition requires immediate corrective action which cannot await completion of the standard application and award procedures.</w:t>
      </w:r>
    </w:p>
    <w:p w14:paraId="79C722AE" w14:textId="37F1C1D8" w:rsidR="00896044" w:rsidRPr="008D77D8" w:rsidRDefault="00730F67" w:rsidP="006D08F2">
      <w:pPr>
        <w:pStyle w:val="ListParagraph"/>
        <w:numPr>
          <w:ilvl w:val="0"/>
          <w:numId w:val="13"/>
        </w:numPr>
        <w:tabs>
          <w:tab w:val="left" w:pos="1081"/>
        </w:tabs>
        <w:spacing w:line="276" w:lineRule="auto"/>
        <w:ind w:right="991"/>
        <w:jc w:val="both"/>
      </w:pPr>
      <w:r w:rsidRPr="008D77D8">
        <w:t>The condition cannot be addressed in any other way that achieves public health protection (</w:t>
      </w:r>
      <w:r w:rsidR="003F194F" w:rsidRPr="008D77D8">
        <w:t>i.e.,</w:t>
      </w:r>
      <w:r w:rsidRPr="008D77D8">
        <w:t xml:space="preserve"> through issuance of a boil water notice, discontinuing use of a contaminated source, access to an alternate source, etc.).</w:t>
      </w:r>
    </w:p>
    <w:p w14:paraId="07E80C5D" w14:textId="77777777" w:rsidR="006902C6" w:rsidRPr="008D77D8" w:rsidRDefault="00730F67" w:rsidP="006D08F2">
      <w:pPr>
        <w:pStyle w:val="ListParagraph"/>
        <w:numPr>
          <w:ilvl w:val="0"/>
          <w:numId w:val="13"/>
        </w:numPr>
        <w:tabs>
          <w:tab w:val="left" w:pos="1081"/>
        </w:tabs>
        <w:spacing w:after="240" w:line="276" w:lineRule="auto"/>
        <w:ind w:right="805"/>
        <w:jc w:val="both"/>
      </w:pPr>
      <w:r w:rsidRPr="008D77D8">
        <w:t>The work associated with correction of the condition is to be generally limited to critical repairs or necessary construction to restore the waterworks to its condition prior to the accident or incident.</w:t>
      </w:r>
    </w:p>
    <w:p w14:paraId="605A1226" w14:textId="77777777" w:rsidR="006902C6" w:rsidRPr="008D77D8" w:rsidRDefault="00730F67" w:rsidP="006D08F2">
      <w:pPr>
        <w:pStyle w:val="BodyText"/>
        <w:spacing w:after="240"/>
        <w:ind w:left="360" w:right="668"/>
        <w:jc w:val="both"/>
      </w:pPr>
      <w:r w:rsidRPr="008D77D8">
        <w:t xml:space="preserve">Emergency projects are expected to meet all other program requirements (including but not limited to Davis Bacon prevailing wages, American Iron and Steel, </w:t>
      </w:r>
      <w:r w:rsidR="00287AA3" w:rsidRPr="008D77D8">
        <w:t xml:space="preserve">Build America, Buy America, </w:t>
      </w:r>
      <w:r w:rsidRPr="008D77D8">
        <w:t>other federal cross cutters, etc.) prior to funding or disbursement. As such, any applicants for emergency funds should not expect funds to be available within eight months from the date of application due to program requirements.</w:t>
      </w:r>
    </w:p>
    <w:p w14:paraId="4AA4F1A4" w14:textId="77777777" w:rsidR="006902C6" w:rsidRPr="008D77D8" w:rsidRDefault="00730F67" w:rsidP="007A786B">
      <w:pPr>
        <w:pStyle w:val="Heading2"/>
        <w:numPr>
          <w:ilvl w:val="0"/>
          <w:numId w:val="24"/>
        </w:numPr>
        <w:tabs>
          <w:tab w:val="left" w:pos="1080"/>
          <w:tab w:val="left" w:pos="1081"/>
        </w:tabs>
        <w:spacing w:before="92" w:after="240"/>
        <w:ind w:hanging="721"/>
      </w:pPr>
      <w:bookmarkStart w:id="12" w:name="_bookmark8"/>
      <w:bookmarkEnd w:id="12"/>
      <w:r w:rsidRPr="008D77D8">
        <w:t>BY-PASS PROCEDURES</w:t>
      </w:r>
    </w:p>
    <w:p w14:paraId="2EF8898E" w14:textId="7A7737CF" w:rsidR="00896044" w:rsidRPr="008D77D8" w:rsidRDefault="00730F67" w:rsidP="006D08F2">
      <w:pPr>
        <w:pStyle w:val="BodyText"/>
        <w:spacing w:before="91" w:after="240"/>
        <w:ind w:left="360" w:right="656"/>
        <w:jc w:val="both"/>
        <w:rPr>
          <w:sz w:val="11"/>
        </w:rPr>
      </w:pPr>
      <w:r w:rsidRPr="008D77D8">
        <w:t xml:space="preserve">VDH reserves the right to add and fund a project or to by-pass any project of </w:t>
      </w:r>
      <w:proofErr w:type="gramStart"/>
      <w:r w:rsidRPr="008D77D8">
        <w:t>a higher</w:t>
      </w:r>
      <w:proofErr w:type="gramEnd"/>
      <w:r w:rsidRPr="008D77D8">
        <w:t xml:space="preserve"> priority and make loans to one of a lower priority based on one or more of the following:</w:t>
      </w:r>
    </w:p>
    <w:p w14:paraId="365D2C07" w14:textId="77777777" w:rsidR="006902C6" w:rsidRPr="008D77D8" w:rsidRDefault="00730F67" w:rsidP="006D08F2">
      <w:pPr>
        <w:pStyle w:val="ListParagraph"/>
        <w:numPr>
          <w:ilvl w:val="0"/>
          <w:numId w:val="12"/>
        </w:numPr>
        <w:tabs>
          <w:tab w:val="left" w:pos="1081"/>
        </w:tabs>
        <w:spacing w:before="92" w:line="276" w:lineRule="auto"/>
        <w:ind w:right="1145"/>
        <w:jc w:val="both"/>
      </w:pPr>
      <w:r w:rsidRPr="008D77D8">
        <w:t>Health or compliance problems, resulting from either natural or manmade events, necessitate a</w:t>
      </w:r>
      <w:r w:rsidR="00871CD0" w:rsidRPr="008D77D8">
        <w:t xml:space="preserve"> </w:t>
      </w:r>
      <w:r w:rsidRPr="008D77D8">
        <w:t xml:space="preserve">project being added to the list or funded out of priority </w:t>
      </w:r>
      <w:r w:rsidR="003F194F" w:rsidRPr="008D77D8">
        <w:t>order.</w:t>
      </w:r>
    </w:p>
    <w:p w14:paraId="4965F880" w14:textId="77777777" w:rsidR="006902C6" w:rsidRPr="008D77D8" w:rsidRDefault="00730F67" w:rsidP="006D08F2">
      <w:pPr>
        <w:pStyle w:val="ListParagraph"/>
        <w:numPr>
          <w:ilvl w:val="0"/>
          <w:numId w:val="12"/>
        </w:numPr>
        <w:tabs>
          <w:tab w:val="left" w:pos="1081"/>
        </w:tabs>
        <w:spacing w:line="276" w:lineRule="auto"/>
        <w:ind w:right="1368"/>
        <w:jc w:val="both"/>
      </w:pPr>
      <w:r w:rsidRPr="008D77D8">
        <w:t xml:space="preserve">The project owner does not have the technical, managerial and financial capability to ensure compliance with the requirements of the SRF </w:t>
      </w:r>
      <w:r w:rsidR="003F194F" w:rsidRPr="008D77D8">
        <w:t>Program.</w:t>
      </w:r>
    </w:p>
    <w:p w14:paraId="299B69B1" w14:textId="77777777" w:rsidR="006902C6" w:rsidRPr="008D77D8" w:rsidRDefault="00730F67" w:rsidP="006D08F2">
      <w:pPr>
        <w:pStyle w:val="ListParagraph"/>
        <w:numPr>
          <w:ilvl w:val="0"/>
          <w:numId w:val="12"/>
        </w:numPr>
        <w:tabs>
          <w:tab w:val="left" w:pos="1081"/>
        </w:tabs>
        <w:spacing w:line="276" w:lineRule="auto"/>
        <w:ind w:right="1417"/>
        <w:jc w:val="both"/>
      </w:pPr>
      <w:r w:rsidRPr="008D77D8">
        <w:t xml:space="preserve">Partial funding for the project has limited financial benefit to the community; but the next community in line for funding can fund most or all of their project with the available </w:t>
      </w:r>
      <w:r w:rsidR="003F194F" w:rsidRPr="008D77D8">
        <w:t>funds.</w:t>
      </w:r>
    </w:p>
    <w:p w14:paraId="21ADDE32" w14:textId="67FB2A87" w:rsidR="00896044" w:rsidRPr="008D77D8" w:rsidRDefault="00730F67" w:rsidP="006D08F2">
      <w:pPr>
        <w:pStyle w:val="ListParagraph"/>
        <w:numPr>
          <w:ilvl w:val="0"/>
          <w:numId w:val="12"/>
        </w:numPr>
        <w:tabs>
          <w:tab w:val="left" w:pos="1081"/>
        </w:tabs>
        <w:spacing w:before="1" w:line="276" w:lineRule="auto"/>
        <w:ind w:hanging="361"/>
        <w:jc w:val="both"/>
        <w:rPr>
          <w:b/>
        </w:rPr>
      </w:pPr>
      <w:r w:rsidRPr="008D77D8">
        <w:t xml:space="preserve">The project owner </w:t>
      </w:r>
      <w:proofErr w:type="gramStart"/>
      <w:r w:rsidRPr="008D77D8">
        <w:t>not</w:t>
      </w:r>
      <w:proofErr w:type="gramEnd"/>
      <w:r w:rsidRPr="008D77D8">
        <w:t xml:space="preserve"> able to execute financing agreements or begin construction </w:t>
      </w:r>
      <w:r w:rsidRPr="008D77D8">
        <w:rPr>
          <w:b/>
        </w:rPr>
        <w:t>within one year</w:t>
      </w:r>
    </w:p>
    <w:p w14:paraId="0B9870E1" w14:textId="77777777" w:rsidR="006902C6" w:rsidRPr="008D77D8" w:rsidRDefault="00730F67" w:rsidP="006D08F2">
      <w:pPr>
        <w:pStyle w:val="BodyText"/>
        <w:spacing w:line="276" w:lineRule="auto"/>
        <w:ind w:left="1080"/>
        <w:jc w:val="both"/>
      </w:pPr>
      <w:r w:rsidRPr="008D77D8">
        <w:t xml:space="preserve">of VDH’s award </w:t>
      </w:r>
      <w:r w:rsidR="003F194F" w:rsidRPr="008D77D8">
        <w:t>letter.</w:t>
      </w:r>
    </w:p>
    <w:p w14:paraId="498BD947" w14:textId="4A326D50" w:rsidR="00896044" w:rsidRPr="008D77D8" w:rsidRDefault="00730F67" w:rsidP="006D08F2">
      <w:pPr>
        <w:pStyle w:val="ListParagraph"/>
        <w:numPr>
          <w:ilvl w:val="0"/>
          <w:numId w:val="12"/>
        </w:numPr>
        <w:tabs>
          <w:tab w:val="left" w:pos="1081"/>
        </w:tabs>
        <w:spacing w:before="1" w:line="276" w:lineRule="auto"/>
        <w:ind w:hanging="361"/>
        <w:jc w:val="both"/>
      </w:pPr>
      <w:r w:rsidRPr="008D77D8">
        <w:t>Need to obligate funding to meet EPA/Program goals:</w:t>
      </w:r>
    </w:p>
    <w:p w14:paraId="151B5ACD" w14:textId="77777777" w:rsidR="00896044" w:rsidRPr="008D77D8" w:rsidRDefault="00730F67" w:rsidP="006D08F2">
      <w:pPr>
        <w:pStyle w:val="ListParagraph"/>
        <w:numPr>
          <w:ilvl w:val="1"/>
          <w:numId w:val="12"/>
        </w:numPr>
        <w:tabs>
          <w:tab w:val="left" w:pos="1800"/>
          <w:tab w:val="left" w:pos="1801"/>
        </w:tabs>
        <w:spacing w:line="276" w:lineRule="auto"/>
        <w:ind w:hanging="361"/>
        <w:jc w:val="both"/>
      </w:pPr>
      <w:r w:rsidRPr="008D77D8">
        <w:t>15% goal to Small Communities (population less than 10,000),</w:t>
      </w:r>
    </w:p>
    <w:p w14:paraId="5577346D" w14:textId="77777777" w:rsidR="00896044" w:rsidRPr="008D77D8" w:rsidRDefault="00730F67" w:rsidP="006D08F2">
      <w:pPr>
        <w:pStyle w:val="ListParagraph"/>
        <w:numPr>
          <w:ilvl w:val="1"/>
          <w:numId w:val="12"/>
        </w:numPr>
        <w:tabs>
          <w:tab w:val="left" w:pos="1801"/>
        </w:tabs>
        <w:spacing w:before="1" w:line="276" w:lineRule="auto"/>
        <w:ind w:hanging="361"/>
        <w:jc w:val="both"/>
      </w:pPr>
      <w:r w:rsidRPr="008D77D8">
        <w:t>20% minimum/50% maximum for Additional Subsidization,</w:t>
      </w:r>
    </w:p>
    <w:p w14:paraId="150E54D4" w14:textId="77777777" w:rsidR="006902C6" w:rsidRPr="008D77D8" w:rsidRDefault="00730F67" w:rsidP="006D08F2">
      <w:pPr>
        <w:pStyle w:val="ListParagraph"/>
        <w:numPr>
          <w:ilvl w:val="1"/>
          <w:numId w:val="12"/>
        </w:numPr>
        <w:tabs>
          <w:tab w:val="left" w:pos="1800"/>
          <w:tab w:val="left" w:pos="1801"/>
        </w:tabs>
        <w:spacing w:line="276" w:lineRule="auto"/>
        <w:ind w:hanging="361"/>
        <w:jc w:val="both"/>
      </w:pPr>
      <w:r w:rsidRPr="008D77D8">
        <w:t xml:space="preserve">Other equivalency requirements under the EPA </w:t>
      </w:r>
      <w:r w:rsidR="003F194F" w:rsidRPr="008D77D8">
        <w:t>grant.</w:t>
      </w:r>
    </w:p>
    <w:p w14:paraId="5B5E4AD3" w14:textId="77777777" w:rsidR="006902C6" w:rsidRPr="008D77D8" w:rsidRDefault="00730F67" w:rsidP="006D08F2">
      <w:pPr>
        <w:pStyle w:val="ListParagraph"/>
        <w:numPr>
          <w:ilvl w:val="0"/>
          <w:numId w:val="12"/>
        </w:numPr>
        <w:tabs>
          <w:tab w:val="left" w:pos="1081"/>
        </w:tabs>
        <w:spacing w:line="276" w:lineRule="auto"/>
        <w:ind w:right="691"/>
        <w:jc w:val="both"/>
      </w:pPr>
      <w:r w:rsidRPr="008D77D8">
        <w:t xml:space="preserve">Detailed project evaluation uncovers information previously unknown or not considered; or level of the required documentation is insufficient to proceed with the decision process. An example is the required prescreening for technical, financial, and managerial capability of an owner may disclose information that would prevent offering a loan to an </w:t>
      </w:r>
      <w:r w:rsidR="003F194F" w:rsidRPr="008D77D8">
        <w:t>owner.</w:t>
      </w:r>
    </w:p>
    <w:p w14:paraId="264B0838" w14:textId="1576CDF1" w:rsidR="006902C6" w:rsidRPr="008D77D8" w:rsidRDefault="00B83696" w:rsidP="006D08F2">
      <w:pPr>
        <w:pStyle w:val="ListParagraph"/>
        <w:numPr>
          <w:ilvl w:val="0"/>
          <w:numId w:val="12"/>
        </w:numPr>
        <w:tabs>
          <w:tab w:val="left" w:pos="1081"/>
        </w:tabs>
        <w:spacing w:line="276" w:lineRule="auto"/>
        <w:ind w:hanging="361"/>
        <w:jc w:val="both"/>
      </w:pPr>
      <w:r w:rsidRPr="008D77D8">
        <w:t>The project</w:t>
      </w:r>
      <w:r w:rsidR="00730F67" w:rsidRPr="008D77D8">
        <w:t xml:space="preserve"> has secured adequate funding </w:t>
      </w:r>
      <w:r w:rsidR="003F194F" w:rsidRPr="008D77D8">
        <w:t>elsewhere.</w:t>
      </w:r>
    </w:p>
    <w:p w14:paraId="05273DE4" w14:textId="77777777" w:rsidR="006902C6" w:rsidRPr="008D77D8" w:rsidRDefault="00730F67" w:rsidP="006D08F2">
      <w:pPr>
        <w:pStyle w:val="ListParagraph"/>
        <w:numPr>
          <w:ilvl w:val="0"/>
          <w:numId w:val="12"/>
        </w:numPr>
        <w:tabs>
          <w:tab w:val="left" w:pos="1081"/>
        </w:tabs>
        <w:spacing w:line="276" w:lineRule="auto"/>
        <w:ind w:hanging="361"/>
        <w:jc w:val="both"/>
      </w:pPr>
      <w:r w:rsidRPr="008D77D8">
        <w:t>The owner withdraws the project; project will be identified as “withdrawn</w:t>
      </w:r>
      <w:r w:rsidR="003F194F" w:rsidRPr="008D77D8">
        <w:t>”.</w:t>
      </w:r>
    </w:p>
    <w:p w14:paraId="76445481" w14:textId="77777777" w:rsidR="006902C6" w:rsidRPr="008D77D8" w:rsidRDefault="00730F67" w:rsidP="006D08F2">
      <w:pPr>
        <w:pStyle w:val="ListParagraph"/>
        <w:numPr>
          <w:ilvl w:val="0"/>
          <w:numId w:val="12"/>
        </w:numPr>
        <w:tabs>
          <w:tab w:val="left" w:pos="1080"/>
          <w:tab w:val="left" w:pos="1081"/>
        </w:tabs>
        <w:spacing w:before="1" w:line="276" w:lineRule="auto"/>
        <w:ind w:right="988"/>
        <w:jc w:val="both"/>
      </w:pPr>
      <w:r w:rsidRPr="008D77D8">
        <w:t>The owner is not making sufficient progress on an existing project(s), planning grant(s), or other FCAP activity(ies</w:t>
      </w:r>
      <w:r w:rsidR="003F194F" w:rsidRPr="008D77D8">
        <w:t>).</w:t>
      </w:r>
    </w:p>
    <w:p w14:paraId="3D582470" w14:textId="53935DF3" w:rsidR="006902C6" w:rsidRPr="008D77D8" w:rsidRDefault="00730F67" w:rsidP="006D08F2">
      <w:pPr>
        <w:pStyle w:val="ListParagraph"/>
        <w:numPr>
          <w:ilvl w:val="0"/>
          <w:numId w:val="12"/>
        </w:numPr>
        <w:tabs>
          <w:tab w:val="left" w:pos="1080"/>
          <w:tab w:val="left" w:pos="1081"/>
        </w:tabs>
        <w:spacing w:before="1" w:line="276" w:lineRule="auto"/>
        <w:ind w:right="785"/>
        <w:jc w:val="both"/>
      </w:pPr>
      <w:r w:rsidRPr="008D77D8">
        <w:t xml:space="preserve">The owner has not completed/closed out an existing project(s), planning grant(s), or other FCAP </w:t>
      </w:r>
      <w:r w:rsidRPr="008D77D8">
        <w:lastRenderedPageBreak/>
        <w:t xml:space="preserve">activity(ies); To promote readiness to proceed ODW </w:t>
      </w:r>
      <w:r w:rsidR="00476332" w:rsidRPr="008D77D8">
        <w:t>may</w:t>
      </w:r>
      <w:r w:rsidRPr="008D77D8">
        <w:t xml:space="preserve"> not be off</w:t>
      </w:r>
      <w:r w:rsidR="006754D3" w:rsidRPr="008D77D8">
        <w:t>er</w:t>
      </w:r>
      <w:r w:rsidRPr="008D77D8">
        <w:t>ing funding to any waterworks</w:t>
      </w:r>
      <w:r w:rsidR="00D727FF" w:rsidRPr="008D77D8">
        <w:t xml:space="preserve">    </w:t>
      </w:r>
      <w:r w:rsidRPr="008D77D8">
        <w:t>owner with more than two open/incomplete DWSRF projects.</w:t>
      </w:r>
    </w:p>
    <w:p w14:paraId="74854188" w14:textId="4038A024" w:rsidR="006902C6" w:rsidRPr="008D77D8" w:rsidRDefault="00730F67" w:rsidP="006D08F2">
      <w:pPr>
        <w:pStyle w:val="ListParagraph"/>
        <w:numPr>
          <w:ilvl w:val="0"/>
          <w:numId w:val="12"/>
        </w:numPr>
        <w:tabs>
          <w:tab w:val="left" w:pos="1081"/>
        </w:tabs>
        <w:spacing w:before="1" w:line="276" w:lineRule="auto"/>
        <w:ind w:right="557"/>
        <w:jc w:val="both"/>
      </w:pPr>
      <w:r w:rsidRPr="008D77D8">
        <w:t xml:space="preserve">The owner is considered in default with regard to obligations under existing loans. This includes and is not limited to informational requirements to </w:t>
      </w:r>
      <w:r w:rsidR="00B83696" w:rsidRPr="008D77D8">
        <w:t>VRA,</w:t>
      </w:r>
      <w:r w:rsidRPr="008D77D8">
        <w:t xml:space="preserve"> or federal or state debarment</w:t>
      </w:r>
      <w:r w:rsidR="003F194F" w:rsidRPr="008D77D8">
        <w:t>.</w:t>
      </w:r>
    </w:p>
    <w:p w14:paraId="439E6294" w14:textId="77777777" w:rsidR="006902C6" w:rsidRPr="008D77D8" w:rsidRDefault="00730F67" w:rsidP="006D08F2">
      <w:pPr>
        <w:pStyle w:val="ListParagraph"/>
        <w:numPr>
          <w:ilvl w:val="0"/>
          <w:numId w:val="12"/>
        </w:numPr>
        <w:tabs>
          <w:tab w:val="left" w:pos="1081"/>
        </w:tabs>
        <w:spacing w:before="1" w:line="276" w:lineRule="auto"/>
        <w:ind w:hanging="361"/>
        <w:jc w:val="both"/>
      </w:pPr>
      <w:r w:rsidRPr="008D77D8">
        <w:t xml:space="preserve">The owner has initiated construction activities without complying with program </w:t>
      </w:r>
      <w:r w:rsidR="003F194F" w:rsidRPr="008D77D8">
        <w:t>requirements.</w:t>
      </w:r>
    </w:p>
    <w:p w14:paraId="4EB35C6F" w14:textId="77777777" w:rsidR="006902C6" w:rsidRPr="008D77D8" w:rsidRDefault="00730F67" w:rsidP="006D08F2">
      <w:pPr>
        <w:pStyle w:val="ListParagraph"/>
        <w:numPr>
          <w:ilvl w:val="0"/>
          <w:numId w:val="12"/>
        </w:numPr>
        <w:tabs>
          <w:tab w:val="left" w:pos="1081"/>
        </w:tabs>
        <w:spacing w:after="240" w:line="276" w:lineRule="auto"/>
        <w:ind w:right="555"/>
        <w:jc w:val="both"/>
      </w:pPr>
      <w:r w:rsidRPr="008D77D8">
        <w:t>The project scope, benefits, circumstances, or intent have been or will be changed causing the project to no longer serve its intended purpose; or any changes that would result in a reduced project score and priority ranking.</w:t>
      </w:r>
    </w:p>
    <w:p w14:paraId="42F90C64" w14:textId="2A33327E" w:rsidR="00896044" w:rsidRPr="008D77D8" w:rsidRDefault="00730F67" w:rsidP="006D08F2">
      <w:pPr>
        <w:pStyle w:val="BodyText"/>
        <w:spacing w:after="240"/>
        <w:ind w:left="360" w:right="656"/>
        <w:jc w:val="both"/>
        <w:rPr>
          <w:sz w:val="11"/>
        </w:rPr>
      </w:pPr>
      <w:r w:rsidRPr="008D77D8">
        <w:t>VDH reserves the right to reconsider by-passed projects for future allocations. The owner of a by-passed project is eligible to re-apply for future allocations based upon their submittal of another application and in competition with all applicants for that year. All waterworks whose project has been by-passed will receive assistance needed to prepare future applications, if requested</w:t>
      </w:r>
      <w:r w:rsidR="00BA3A33" w:rsidRPr="008D77D8">
        <w:t>,</w:t>
      </w:r>
      <w:r w:rsidRPr="008D77D8">
        <w:t xml:space="preserve"> and if program requirements can be met. VDH reserves the right to reimburse completed work (</w:t>
      </w:r>
      <w:r w:rsidR="003F194F" w:rsidRPr="008D77D8">
        <w:t>e.g.,</w:t>
      </w:r>
      <w:r w:rsidRPr="008D77D8">
        <w:t xml:space="preserve"> investigation, planning and design, and/or preconstruction costs) of by-passed projects or projects that can’t proceed to construction out of 15% set aside funds at its discretion if the owner has made progress in good faith.</w:t>
      </w:r>
    </w:p>
    <w:p w14:paraId="237798CA" w14:textId="36D3E959" w:rsidR="00896044" w:rsidRPr="008D77D8" w:rsidRDefault="00730F67" w:rsidP="006D08F2">
      <w:pPr>
        <w:pStyle w:val="Heading2"/>
        <w:numPr>
          <w:ilvl w:val="0"/>
          <w:numId w:val="24"/>
        </w:numPr>
        <w:tabs>
          <w:tab w:val="left" w:pos="1080"/>
          <w:tab w:val="left" w:pos="1081"/>
        </w:tabs>
        <w:spacing w:before="92" w:after="240"/>
        <w:ind w:hanging="721"/>
        <w:rPr>
          <w:u w:val="none"/>
        </w:rPr>
      </w:pPr>
      <w:bookmarkStart w:id="13" w:name="_bookmark9"/>
      <w:bookmarkEnd w:id="13"/>
      <w:r w:rsidRPr="008D77D8">
        <w:t>CRITERIA UTILIZED IN PRIORITIZING CONSTRUCTION PROJECTS</w:t>
      </w:r>
    </w:p>
    <w:p w14:paraId="2FE4C9AA" w14:textId="230132ED" w:rsidR="006902C6" w:rsidRPr="008D77D8" w:rsidRDefault="00923103" w:rsidP="006D08F2">
      <w:pPr>
        <w:spacing w:after="240"/>
        <w:ind w:left="270" w:right="390"/>
        <w:jc w:val="both"/>
      </w:pPr>
      <w:r w:rsidRPr="008D77D8">
        <w:t xml:space="preserve">In </w:t>
      </w:r>
      <w:r w:rsidR="00486CE7" w:rsidRPr="008D77D8">
        <w:t>March</w:t>
      </w:r>
      <w:r w:rsidRPr="008D77D8">
        <w:t xml:space="preserve"> 2023, the DWSRF Program updated the construction application scoring </w:t>
      </w:r>
      <w:r w:rsidR="00B83696" w:rsidRPr="008D77D8">
        <w:t>system,</w:t>
      </w:r>
      <w:r w:rsidRPr="008D77D8">
        <w:t xml:space="preserve"> changing it from a </w:t>
      </w:r>
      <w:r w:rsidRPr="008D77D8">
        <w:rPr>
          <w:b/>
          <w:bCs/>
        </w:rPr>
        <w:t>Tiered System</w:t>
      </w:r>
      <w:r w:rsidRPr="008D77D8">
        <w:t xml:space="preserve"> to a system based on </w:t>
      </w:r>
      <w:r w:rsidRPr="008D77D8">
        <w:rPr>
          <w:b/>
          <w:bCs/>
        </w:rPr>
        <w:t>Total Points</w:t>
      </w:r>
      <w:r w:rsidRPr="008D77D8">
        <w:t>.</w:t>
      </w:r>
      <w:r w:rsidR="00D727FF" w:rsidRPr="008D77D8">
        <w:t xml:space="preserve"> </w:t>
      </w:r>
      <w:r w:rsidRPr="008D77D8">
        <w:t>Under the previous Tiered System, projects designated as resolving an Acute Health Issue would always be ranked the highest and they would only compete with other projects in this Acute Health category.</w:t>
      </w:r>
      <w:r w:rsidR="00D727FF" w:rsidRPr="008D77D8">
        <w:t xml:space="preserve"> </w:t>
      </w:r>
      <w:r w:rsidRPr="008D77D8">
        <w:t>Then, the Projects in the Chronic Health category would be next, followed by Public Health, followed by projects designated as Other.</w:t>
      </w:r>
      <w:r w:rsidR="00D727FF" w:rsidRPr="008D77D8">
        <w:t xml:space="preserve"> </w:t>
      </w:r>
      <w:r w:rsidRPr="008D77D8">
        <w:t>Using this methodology, the program ensured that all eligible projects would be ranked according to Acute Health, Chronic Health, Public Health, and Other (in that order) to ensure that the most urgent health issues were prioritized.</w:t>
      </w:r>
      <w:r w:rsidR="00D727FF" w:rsidRPr="008D77D8">
        <w:t xml:space="preserve"> </w:t>
      </w:r>
      <w:r w:rsidRPr="008D77D8">
        <w:t>Using a Tiered System, however, a project in the Acute Health Category which may be at the top of our Project Priority List (PPL), may not have the highest total points.</w:t>
      </w:r>
      <w:r w:rsidR="00D727FF" w:rsidRPr="008D77D8">
        <w:t xml:space="preserve"> </w:t>
      </w:r>
    </w:p>
    <w:p w14:paraId="1EEABF7A" w14:textId="6C8CF428" w:rsidR="006902C6" w:rsidRPr="008D77D8" w:rsidRDefault="00923103" w:rsidP="006D08F2">
      <w:pPr>
        <w:spacing w:after="240"/>
        <w:ind w:left="270" w:right="390"/>
        <w:jc w:val="both"/>
      </w:pPr>
      <w:r w:rsidRPr="008D77D8">
        <w:t xml:space="preserve">To make the scoring system clearer, the DWSRF Program is now using a system based on </w:t>
      </w:r>
      <w:r w:rsidRPr="008D77D8">
        <w:rPr>
          <w:b/>
          <w:bCs/>
        </w:rPr>
        <w:t>Total Points only</w:t>
      </w:r>
      <w:r w:rsidRPr="008D77D8">
        <w:t>.</w:t>
      </w:r>
      <w:r w:rsidR="00D727FF" w:rsidRPr="008D77D8">
        <w:t xml:space="preserve"> </w:t>
      </w:r>
      <w:r w:rsidRPr="008D77D8">
        <w:t>The milestones reviewing these applications still remains the same: (1) the Application must be received by the deadline; (2) the Application must be complete, and the proposed scope of work must be an eligible activity; (3) then the DWSRF Program will review the Application using the new scoresheet titled the “Project Selection Scorecard DWSRF and BIL.”</w:t>
      </w:r>
      <w:r w:rsidR="00D727FF" w:rsidRPr="008D77D8">
        <w:t xml:space="preserve"> </w:t>
      </w:r>
      <w:r w:rsidRPr="008D77D8">
        <w:rPr>
          <w:b/>
          <w:bCs/>
        </w:rPr>
        <w:t>Below is a copy of this Scorecard.</w:t>
      </w:r>
      <w:r w:rsidR="00D727FF" w:rsidRPr="008D77D8">
        <w:t xml:space="preserve"> </w:t>
      </w:r>
      <w:r w:rsidRPr="008D77D8">
        <w:t>Please note that the majority of points are still awarded for Acute Health Priorities first, Chronic Health Priorities second, Public Health Projects third, followed by Other Considerations.</w:t>
      </w:r>
      <w:r w:rsidR="00D727FF" w:rsidRPr="008D77D8">
        <w:t xml:space="preserve"> </w:t>
      </w:r>
      <w:r w:rsidRPr="008D77D8">
        <w:t>This way, the program will continue to ensure that the most urgent health issues are prioritized.</w:t>
      </w:r>
      <w:r w:rsidR="00D727FF" w:rsidRPr="008D77D8">
        <w:t xml:space="preserve"> </w:t>
      </w:r>
      <w:r w:rsidRPr="008D77D8">
        <w:t xml:space="preserve">At the bottom of the Scorecard, there is a section that indicates that the Maximum Possible Score is </w:t>
      </w:r>
      <w:r w:rsidR="00AD173A" w:rsidRPr="008D77D8">
        <w:rPr>
          <w:b/>
          <w:bCs/>
        </w:rPr>
        <w:t>7,8</w:t>
      </w:r>
      <w:r w:rsidR="00CC56D4" w:rsidRPr="008D77D8">
        <w:rPr>
          <w:b/>
          <w:bCs/>
        </w:rPr>
        <w:t>68</w:t>
      </w:r>
      <w:r w:rsidRPr="008D77D8">
        <w:rPr>
          <w:b/>
          <w:bCs/>
        </w:rPr>
        <w:t xml:space="preserve"> points</w:t>
      </w:r>
      <w:r w:rsidRPr="008D77D8">
        <w:t xml:space="preserve"> which will ultimately be converted to a Percent Score (0 to 100 percent).</w:t>
      </w:r>
      <w:r w:rsidR="00D727FF" w:rsidRPr="008D77D8">
        <w:t xml:space="preserve"> </w:t>
      </w:r>
      <w:r w:rsidRPr="008D77D8">
        <w:t xml:space="preserve"> With this new Scoring System, the construction applications will be ranked by </w:t>
      </w:r>
      <w:r w:rsidRPr="008D77D8">
        <w:rPr>
          <w:b/>
          <w:bCs/>
        </w:rPr>
        <w:t>Total Points Awarded</w:t>
      </w:r>
      <w:r w:rsidRPr="008D77D8">
        <w:t xml:space="preserve"> from highest to lowest.</w:t>
      </w:r>
    </w:p>
    <w:p w14:paraId="2CA26C7C" w14:textId="1EC0F406" w:rsidR="00486CE7" w:rsidRPr="008D77D8" w:rsidRDefault="002D71A1" w:rsidP="006D08F2">
      <w:pPr>
        <w:spacing w:after="240"/>
        <w:ind w:left="270" w:right="390"/>
        <w:jc w:val="both"/>
      </w:pPr>
      <w:r w:rsidRPr="008D77D8">
        <w:t>For Construction Applications where FCAP staff have reviewed the application (and supporting documentation) and determined that the proposed scope of work should resolve a documented Acute or Chronic Health issue, the applicant will receive points under “Section I – SDWA Compliance” on the Project Selection Scorecard.</w:t>
      </w:r>
      <w:r w:rsidR="00D727FF" w:rsidRPr="008D77D8">
        <w:t xml:space="preserve"> </w:t>
      </w:r>
      <w:r w:rsidRPr="008D77D8">
        <w:t xml:space="preserve">Applicants receiving points under “Section I – SDWA Compliance” </w:t>
      </w:r>
      <w:r w:rsidRPr="008D77D8">
        <w:rPr>
          <w:u w:val="single"/>
        </w:rPr>
        <w:t xml:space="preserve">will </w:t>
      </w:r>
      <w:r w:rsidR="00C324CE" w:rsidRPr="008D77D8">
        <w:rPr>
          <w:u w:val="single"/>
        </w:rPr>
        <w:t xml:space="preserve">most likely </w:t>
      </w:r>
      <w:r w:rsidRPr="008D77D8">
        <w:rPr>
          <w:u w:val="single"/>
        </w:rPr>
        <w:t>receive a funding offer</w:t>
      </w:r>
      <w:r w:rsidRPr="008D77D8">
        <w:t>.</w:t>
      </w:r>
      <w:r w:rsidR="00D727FF" w:rsidRPr="008D77D8">
        <w:t xml:space="preserve"> </w:t>
      </w:r>
      <w:r w:rsidRPr="008D77D8">
        <w:t>The funding terms for this offer will be determined by the FCAP Director.</w:t>
      </w:r>
    </w:p>
    <w:p w14:paraId="110E4244" w14:textId="75F3DF0E" w:rsidR="00740F9E" w:rsidRPr="008D77D8" w:rsidRDefault="00923103" w:rsidP="006D08F2">
      <w:pPr>
        <w:pStyle w:val="BodyText"/>
        <w:spacing w:before="92" w:after="240"/>
        <w:ind w:left="270" w:right="601"/>
        <w:rPr>
          <w:b/>
        </w:rPr>
      </w:pPr>
      <w:r w:rsidRPr="008D77D8">
        <w:rPr>
          <w:b/>
        </w:rPr>
        <w:t>LEAP projects are scored independently. See Appendix D.</w:t>
      </w:r>
      <w:r w:rsidR="00740F9E" w:rsidRPr="008D77D8">
        <w:fldChar w:fldCharType="begin"/>
      </w:r>
      <w:r w:rsidR="00740F9E" w:rsidRPr="008D77D8">
        <w:instrText xml:space="preserve"> LINK Excel.Sheet.12 "\\\\odwsrv1\\apps\\fodwsrf\\02-Application Review Info\\FY 2027 DWSRF Application Review Materials\\Solicitation Information for Website\\Construction Application &amp; Instructions\\FY2027_Construction_Scorecard_2026-03-16.xlsx" "Sheet1!R1C1:R134C3" \a \f 4 \h </w:instrText>
      </w:r>
      <w:r w:rsidR="00D75351" w:rsidRPr="008D77D8">
        <w:instrText xml:space="preserve"> \* MERGEFORMAT </w:instrText>
      </w:r>
      <w:r w:rsidR="00740F9E" w:rsidRPr="008D77D8">
        <w:fldChar w:fldCharType="separate"/>
      </w:r>
    </w:p>
    <w:tbl>
      <w:tblPr>
        <w:tblW w:w="10560" w:type="dxa"/>
        <w:tblLook w:val="04A0" w:firstRow="1" w:lastRow="0" w:firstColumn="1" w:lastColumn="0" w:noHBand="0" w:noVBand="1"/>
        <w:tblCaption w:val="Project Selection Scorecard DWSRF"/>
        <w:tblDescription w:val="Scorecard used by the DWSRF program to determine the public health need of a project applying for funding. The scorecard grades various aspects, such as acute or chronic health priority, reducing water loss, ensuring water receives appropriate treatment, affordability, and readiness to proceed."/>
      </w:tblPr>
      <w:tblGrid>
        <w:gridCol w:w="8053"/>
        <w:gridCol w:w="1476"/>
        <w:gridCol w:w="1031"/>
      </w:tblGrid>
      <w:tr w:rsidR="00740F9E" w:rsidRPr="008D77D8" w14:paraId="2AF93D8F" w14:textId="77777777" w:rsidTr="00740F9E">
        <w:trPr>
          <w:trHeight w:val="330"/>
        </w:trPr>
        <w:tc>
          <w:tcPr>
            <w:tcW w:w="8053" w:type="dxa"/>
            <w:tcBorders>
              <w:top w:val="nil"/>
              <w:left w:val="nil"/>
              <w:bottom w:val="nil"/>
              <w:right w:val="nil"/>
            </w:tcBorders>
            <w:noWrap/>
            <w:vAlign w:val="bottom"/>
            <w:hideMark/>
          </w:tcPr>
          <w:p w14:paraId="066FDF3D" w14:textId="46D5BF07" w:rsidR="00740F9E" w:rsidRPr="008D77D8" w:rsidRDefault="00740F9E" w:rsidP="006D08F2">
            <w:pPr>
              <w:widowControl/>
              <w:autoSpaceDE/>
              <w:autoSpaceDN/>
              <w:jc w:val="center"/>
              <w:rPr>
                <w:rFonts w:ascii="Calibri" w:hAnsi="Calibri" w:cs="Calibri"/>
                <w:b/>
                <w:bCs/>
                <w:color w:val="000000"/>
                <w:sz w:val="24"/>
                <w:szCs w:val="24"/>
              </w:rPr>
            </w:pPr>
            <w:r w:rsidRPr="008D77D8">
              <w:rPr>
                <w:rFonts w:ascii="Calibri" w:hAnsi="Calibri" w:cs="Calibri"/>
                <w:b/>
                <w:bCs/>
                <w:color w:val="000000"/>
                <w:sz w:val="24"/>
                <w:szCs w:val="24"/>
              </w:rPr>
              <w:t>Project Selection Scorecard DWSRF</w:t>
            </w:r>
          </w:p>
        </w:tc>
        <w:tc>
          <w:tcPr>
            <w:tcW w:w="1476" w:type="dxa"/>
            <w:tcBorders>
              <w:top w:val="nil"/>
              <w:left w:val="nil"/>
              <w:bottom w:val="nil"/>
              <w:right w:val="nil"/>
            </w:tcBorders>
            <w:noWrap/>
            <w:vAlign w:val="bottom"/>
            <w:hideMark/>
          </w:tcPr>
          <w:p w14:paraId="0CD3DC36" w14:textId="77777777" w:rsidR="00740F9E" w:rsidRPr="008D77D8" w:rsidRDefault="00740F9E" w:rsidP="006D08F2">
            <w:pPr>
              <w:widowControl/>
              <w:autoSpaceDE/>
              <w:autoSpaceDN/>
              <w:jc w:val="center"/>
              <w:rPr>
                <w:rFonts w:ascii="Calibri" w:hAnsi="Calibri" w:cs="Calibri"/>
                <w:b/>
                <w:bCs/>
                <w:color w:val="000000"/>
                <w:sz w:val="24"/>
                <w:szCs w:val="24"/>
              </w:rPr>
            </w:pPr>
          </w:p>
        </w:tc>
        <w:tc>
          <w:tcPr>
            <w:tcW w:w="1031" w:type="dxa"/>
            <w:tcBorders>
              <w:top w:val="nil"/>
              <w:left w:val="nil"/>
              <w:bottom w:val="nil"/>
              <w:right w:val="nil"/>
            </w:tcBorders>
            <w:noWrap/>
            <w:vAlign w:val="bottom"/>
            <w:hideMark/>
          </w:tcPr>
          <w:p w14:paraId="36B3CE2C" w14:textId="77777777" w:rsidR="00740F9E" w:rsidRPr="008D77D8" w:rsidRDefault="00740F9E" w:rsidP="006D08F2">
            <w:pPr>
              <w:widowControl/>
              <w:autoSpaceDE/>
              <w:autoSpaceDN/>
              <w:jc w:val="center"/>
              <w:rPr>
                <w:sz w:val="20"/>
                <w:szCs w:val="20"/>
              </w:rPr>
            </w:pPr>
          </w:p>
        </w:tc>
      </w:tr>
      <w:tr w:rsidR="00740F9E" w:rsidRPr="008D77D8" w14:paraId="218A9569" w14:textId="77777777" w:rsidTr="00740F9E">
        <w:trPr>
          <w:trHeight w:val="300"/>
        </w:trPr>
        <w:tc>
          <w:tcPr>
            <w:tcW w:w="8053" w:type="dxa"/>
            <w:tcBorders>
              <w:top w:val="single" w:sz="8" w:space="0" w:color="auto"/>
              <w:left w:val="single" w:sz="8" w:space="0" w:color="auto"/>
              <w:bottom w:val="single" w:sz="4" w:space="0" w:color="auto"/>
              <w:right w:val="single" w:sz="4" w:space="0" w:color="auto"/>
            </w:tcBorders>
            <w:noWrap/>
            <w:vAlign w:val="center"/>
            <w:hideMark/>
          </w:tcPr>
          <w:p w14:paraId="36BB6D0B" w14:textId="1B58D1B8" w:rsidR="00740F9E" w:rsidRPr="008D77D8" w:rsidRDefault="00740F9E" w:rsidP="006D08F2">
            <w:pPr>
              <w:widowControl/>
              <w:autoSpaceDE/>
              <w:autoSpaceDN/>
              <w:rPr>
                <w:rFonts w:ascii="Calibri" w:hAnsi="Calibri" w:cs="Calibri"/>
                <w:b/>
                <w:bCs/>
                <w:color w:val="000000"/>
                <w:sz w:val="20"/>
                <w:szCs w:val="20"/>
              </w:rPr>
            </w:pPr>
            <w:r w:rsidRPr="008D77D8">
              <w:rPr>
                <w:rFonts w:ascii="Calibri" w:hAnsi="Calibri" w:cs="Calibri"/>
                <w:b/>
                <w:bCs/>
                <w:color w:val="000000"/>
                <w:sz w:val="20"/>
                <w:szCs w:val="20"/>
              </w:rPr>
              <w:t>APPLICANT NAME:</w:t>
            </w:r>
            <w:r w:rsidR="00D727FF" w:rsidRPr="008D77D8">
              <w:rPr>
                <w:rFonts w:ascii="Calibri" w:hAnsi="Calibri" w:cs="Calibri"/>
                <w:b/>
                <w:bCs/>
                <w:color w:val="000000"/>
                <w:sz w:val="20"/>
                <w:szCs w:val="20"/>
              </w:rPr>
              <w:t xml:space="preserve"> </w:t>
            </w:r>
            <w:r w:rsidRPr="008D77D8">
              <w:rPr>
                <w:rFonts w:ascii="Calibri" w:hAnsi="Calibri" w:cs="Calibri"/>
                <w:b/>
                <w:bCs/>
                <w:color w:val="000000"/>
                <w:sz w:val="20"/>
                <w:szCs w:val="20"/>
              </w:rPr>
              <w:t xml:space="preserve"> </w:t>
            </w:r>
          </w:p>
        </w:tc>
        <w:tc>
          <w:tcPr>
            <w:tcW w:w="1476" w:type="dxa"/>
            <w:tcBorders>
              <w:top w:val="single" w:sz="8" w:space="0" w:color="auto"/>
              <w:left w:val="nil"/>
              <w:bottom w:val="single" w:sz="4" w:space="0" w:color="auto"/>
              <w:right w:val="single" w:sz="4" w:space="0" w:color="auto"/>
            </w:tcBorders>
            <w:noWrap/>
            <w:vAlign w:val="center"/>
            <w:hideMark/>
          </w:tcPr>
          <w:p w14:paraId="4F530D85"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REVIEWER:</w:t>
            </w:r>
          </w:p>
        </w:tc>
        <w:tc>
          <w:tcPr>
            <w:tcW w:w="1031" w:type="dxa"/>
            <w:tcBorders>
              <w:top w:val="single" w:sz="8" w:space="0" w:color="auto"/>
              <w:left w:val="nil"/>
              <w:bottom w:val="single" w:sz="4" w:space="0" w:color="auto"/>
              <w:right w:val="single" w:sz="8" w:space="0" w:color="auto"/>
            </w:tcBorders>
            <w:noWrap/>
            <w:vAlign w:val="bottom"/>
            <w:hideMark/>
          </w:tcPr>
          <w:p w14:paraId="403A8EF1" w14:textId="77777777" w:rsidR="00740F9E" w:rsidRPr="008D77D8" w:rsidRDefault="00740F9E" w:rsidP="006D08F2">
            <w:pPr>
              <w:widowControl/>
              <w:autoSpaceDE/>
              <w:autoSpaceDN/>
              <w:rPr>
                <w:rFonts w:ascii="Calibri" w:hAnsi="Calibri" w:cs="Calibri"/>
                <w:color w:val="000000"/>
              </w:rPr>
            </w:pPr>
            <w:r w:rsidRPr="008D77D8">
              <w:rPr>
                <w:rFonts w:ascii="Calibri" w:hAnsi="Calibri" w:cs="Calibri"/>
                <w:color w:val="000000"/>
              </w:rPr>
              <w:t> </w:t>
            </w:r>
          </w:p>
        </w:tc>
      </w:tr>
      <w:tr w:rsidR="00740F9E" w:rsidRPr="008D77D8" w14:paraId="450EFDE5" w14:textId="77777777" w:rsidTr="00740F9E">
        <w:trPr>
          <w:trHeight w:val="315"/>
        </w:trPr>
        <w:tc>
          <w:tcPr>
            <w:tcW w:w="8053" w:type="dxa"/>
            <w:tcBorders>
              <w:top w:val="nil"/>
              <w:left w:val="single" w:sz="8" w:space="0" w:color="auto"/>
              <w:bottom w:val="single" w:sz="8" w:space="0" w:color="auto"/>
              <w:right w:val="single" w:sz="4" w:space="0" w:color="auto"/>
            </w:tcBorders>
            <w:noWrap/>
            <w:vAlign w:val="center"/>
            <w:hideMark/>
          </w:tcPr>
          <w:p w14:paraId="5C929929" w14:textId="77777777" w:rsidR="00740F9E" w:rsidRPr="008D77D8" w:rsidRDefault="00740F9E" w:rsidP="006D08F2">
            <w:pPr>
              <w:widowControl/>
              <w:autoSpaceDE/>
              <w:autoSpaceDN/>
              <w:rPr>
                <w:rFonts w:ascii="Calibri" w:hAnsi="Calibri" w:cs="Calibri"/>
                <w:b/>
                <w:bCs/>
                <w:color w:val="000000"/>
                <w:sz w:val="20"/>
                <w:szCs w:val="20"/>
              </w:rPr>
            </w:pPr>
            <w:r w:rsidRPr="008D77D8">
              <w:rPr>
                <w:rFonts w:ascii="Calibri" w:hAnsi="Calibri" w:cs="Calibri"/>
                <w:b/>
                <w:bCs/>
                <w:color w:val="000000"/>
                <w:sz w:val="20"/>
                <w:szCs w:val="20"/>
              </w:rPr>
              <w:t xml:space="preserve">PROJECT NAME: </w:t>
            </w:r>
          </w:p>
        </w:tc>
        <w:tc>
          <w:tcPr>
            <w:tcW w:w="1476" w:type="dxa"/>
            <w:tcBorders>
              <w:top w:val="nil"/>
              <w:left w:val="nil"/>
              <w:bottom w:val="single" w:sz="8" w:space="0" w:color="auto"/>
              <w:right w:val="single" w:sz="4" w:space="0" w:color="auto"/>
            </w:tcBorders>
            <w:noWrap/>
            <w:vAlign w:val="bottom"/>
            <w:hideMark/>
          </w:tcPr>
          <w:p w14:paraId="7F0AA6B0" w14:textId="77777777" w:rsidR="00740F9E" w:rsidRPr="008D77D8" w:rsidRDefault="00740F9E" w:rsidP="006D08F2">
            <w:pPr>
              <w:widowControl/>
              <w:autoSpaceDE/>
              <w:autoSpaceDN/>
              <w:jc w:val="right"/>
              <w:rPr>
                <w:rFonts w:ascii="Calibri" w:hAnsi="Calibri" w:cs="Calibri"/>
                <w:b/>
                <w:bCs/>
                <w:color w:val="000000"/>
              </w:rPr>
            </w:pPr>
            <w:r w:rsidRPr="008D77D8">
              <w:rPr>
                <w:rFonts w:ascii="Calibri" w:hAnsi="Calibri" w:cs="Calibri"/>
                <w:b/>
                <w:bCs/>
                <w:color w:val="000000"/>
              </w:rPr>
              <w:t>FY:</w:t>
            </w:r>
          </w:p>
        </w:tc>
        <w:tc>
          <w:tcPr>
            <w:tcW w:w="1031" w:type="dxa"/>
            <w:tcBorders>
              <w:top w:val="nil"/>
              <w:left w:val="nil"/>
              <w:bottom w:val="single" w:sz="8" w:space="0" w:color="auto"/>
              <w:right w:val="single" w:sz="8" w:space="0" w:color="auto"/>
            </w:tcBorders>
            <w:noWrap/>
            <w:vAlign w:val="bottom"/>
            <w:hideMark/>
          </w:tcPr>
          <w:p w14:paraId="56A9A440" w14:textId="77777777" w:rsidR="00740F9E" w:rsidRPr="008D77D8" w:rsidRDefault="00740F9E" w:rsidP="006D08F2">
            <w:pPr>
              <w:widowControl/>
              <w:autoSpaceDE/>
              <w:autoSpaceDN/>
              <w:rPr>
                <w:rFonts w:ascii="Calibri" w:hAnsi="Calibri" w:cs="Calibri"/>
                <w:color w:val="000000"/>
              </w:rPr>
            </w:pPr>
            <w:r w:rsidRPr="008D77D8">
              <w:rPr>
                <w:rFonts w:ascii="Calibri" w:hAnsi="Calibri" w:cs="Calibri"/>
                <w:color w:val="000000"/>
              </w:rPr>
              <w:t> </w:t>
            </w:r>
          </w:p>
        </w:tc>
      </w:tr>
      <w:tr w:rsidR="00740F9E" w:rsidRPr="008D77D8" w14:paraId="66B5D3EC" w14:textId="77777777" w:rsidTr="00740F9E">
        <w:trPr>
          <w:trHeight w:val="300"/>
        </w:trPr>
        <w:tc>
          <w:tcPr>
            <w:tcW w:w="8053" w:type="dxa"/>
            <w:tcBorders>
              <w:top w:val="nil"/>
              <w:left w:val="nil"/>
              <w:bottom w:val="nil"/>
              <w:right w:val="nil"/>
            </w:tcBorders>
            <w:noWrap/>
            <w:vAlign w:val="center"/>
            <w:hideMark/>
          </w:tcPr>
          <w:p w14:paraId="6B2F2171" w14:textId="77777777" w:rsidR="00740F9E" w:rsidRPr="008D77D8" w:rsidRDefault="00740F9E" w:rsidP="006D08F2">
            <w:pPr>
              <w:widowControl/>
              <w:autoSpaceDE/>
              <w:autoSpaceDN/>
              <w:rPr>
                <w:rFonts w:ascii="Calibri" w:hAnsi="Calibri" w:cs="Calibri"/>
                <w:color w:val="000000"/>
              </w:rPr>
            </w:pPr>
          </w:p>
        </w:tc>
        <w:tc>
          <w:tcPr>
            <w:tcW w:w="1476" w:type="dxa"/>
            <w:tcBorders>
              <w:top w:val="nil"/>
              <w:left w:val="nil"/>
              <w:bottom w:val="nil"/>
              <w:right w:val="nil"/>
            </w:tcBorders>
            <w:noWrap/>
            <w:vAlign w:val="bottom"/>
            <w:hideMark/>
          </w:tcPr>
          <w:p w14:paraId="0A22D16F" w14:textId="77777777" w:rsidR="00740F9E" w:rsidRPr="008D77D8" w:rsidRDefault="00740F9E" w:rsidP="006D08F2">
            <w:pPr>
              <w:widowControl/>
              <w:autoSpaceDE/>
              <w:autoSpaceDN/>
              <w:rPr>
                <w:sz w:val="20"/>
                <w:szCs w:val="20"/>
              </w:rPr>
            </w:pPr>
          </w:p>
        </w:tc>
        <w:tc>
          <w:tcPr>
            <w:tcW w:w="1031" w:type="dxa"/>
            <w:tcBorders>
              <w:top w:val="nil"/>
              <w:left w:val="nil"/>
              <w:bottom w:val="nil"/>
              <w:right w:val="nil"/>
            </w:tcBorders>
            <w:noWrap/>
            <w:vAlign w:val="bottom"/>
            <w:hideMark/>
          </w:tcPr>
          <w:p w14:paraId="74C939A8" w14:textId="77777777" w:rsidR="00740F9E" w:rsidRPr="008D77D8" w:rsidRDefault="00740F9E" w:rsidP="006D08F2">
            <w:pPr>
              <w:widowControl/>
              <w:autoSpaceDE/>
              <w:autoSpaceDN/>
              <w:rPr>
                <w:sz w:val="20"/>
                <w:szCs w:val="20"/>
              </w:rPr>
            </w:pPr>
          </w:p>
        </w:tc>
      </w:tr>
      <w:tr w:rsidR="00740F9E" w:rsidRPr="008D77D8" w14:paraId="3C577648" w14:textId="77777777" w:rsidTr="00740F9E">
        <w:trPr>
          <w:trHeight w:val="1020"/>
        </w:trPr>
        <w:tc>
          <w:tcPr>
            <w:tcW w:w="8053" w:type="dxa"/>
            <w:tcBorders>
              <w:top w:val="nil"/>
              <w:left w:val="nil"/>
              <w:bottom w:val="nil"/>
              <w:right w:val="nil"/>
            </w:tcBorders>
            <w:vAlign w:val="center"/>
            <w:hideMark/>
          </w:tcPr>
          <w:p w14:paraId="688FE22B" w14:textId="77777777" w:rsidR="00740F9E" w:rsidRPr="008D77D8" w:rsidRDefault="00740F9E" w:rsidP="006D08F2">
            <w:pPr>
              <w:widowControl/>
              <w:autoSpaceDE/>
              <w:autoSpaceDN/>
              <w:rPr>
                <w:rFonts w:ascii="Calibri" w:hAnsi="Calibri" w:cs="Calibri"/>
                <w:b/>
                <w:bCs/>
                <w:color w:val="000000"/>
                <w:sz w:val="20"/>
                <w:szCs w:val="20"/>
              </w:rPr>
            </w:pPr>
            <w:r w:rsidRPr="008D77D8">
              <w:rPr>
                <w:rFonts w:ascii="Calibri" w:hAnsi="Calibri" w:cs="Calibri"/>
                <w:b/>
                <w:bCs/>
                <w:color w:val="000000"/>
                <w:sz w:val="20"/>
                <w:szCs w:val="20"/>
              </w:rPr>
              <w:t xml:space="preserve">Points can only be awarded if the project addresses a documented need. In situations where the waterworks </w:t>
            </w:r>
            <w:proofErr w:type="gramStart"/>
            <w:r w:rsidRPr="008D77D8">
              <w:rPr>
                <w:rFonts w:ascii="Calibri" w:hAnsi="Calibri" w:cs="Calibri"/>
                <w:b/>
                <w:bCs/>
                <w:color w:val="000000"/>
                <w:sz w:val="20"/>
                <w:szCs w:val="20"/>
              </w:rPr>
              <w:t>wants</w:t>
            </w:r>
            <w:proofErr w:type="gramEnd"/>
            <w:r w:rsidRPr="008D77D8">
              <w:rPr>
                <w:rFonts w:ascii="Calibri" w:hAnsi="Calibri" w:cs="Calibri"/>
                <w:b/>
                <w:bCs/>
                <w:color w:val="000000"/>
                <w:sz w:val="20"/>
                <w:szCs w:val="20"/>
              </w:rPr>
              <w:t xml:space="preserve"> to do a project but have no documented need, points should not be awarded. Documentation would include NOVs, enforcement actions/letters, sanitary survey requirements, documented leaks, documented break data, documented problems, etc. </w:t>
            </w:r>
          </w:p>
        </w:tc>
        <w:tc>
          <w:tcPr>
            <w:tcW w:w="1476" w:type="dxa"/>
            <w:tcBorders>
              <w:top w:val="nil"/>
              <w:left w:val="nil"/>
              <w:bottom w:val="nil"/>
              <w:right w:val="nil"/>
            </w:tcBorders>
            <w:vAlign w:val="center"/>
            <w:hideMark/>
          </w:tcPr>
          <w:p w14:paraId="72E478DD" w14:textId="77777777" w:rsidR="00740F9E" w:rsidRPr="008D77D8" w:rsidRDefault="00740F9E" w:rsidP="006D08F2">
            <w:pPr>
              <w:widowControl/>
              <w:autoSpaceDE/>
              <w:autoSpaceDN/>
              <w:rPr>
                <w:rFonts w:ascii="Calibri" w:hAnsi="Calibri" w:cs="Calibri"/>
                <w:b/>
                <w:bCs/>
                <w:color w:val="000000"/>
                <w:sz w:val="20"/>
                <w:szCs w:val="20"/>
              </w:rPr>
            </w:pPr>
          </w:p>
        </w:tc>
        <w:tc>
          <w:tcPr>
            <w:tcW w:w="1031" w:type="dxa"/>
            <w:tcBorders>
              <w:top w:val="nil"/>
              <w:left w:val="nil"/>
              <w:bottom w:val="nil"/>
              <w:right w:val="nil"/>
            </w:tcBorders>
            <w:vAlign w:val="center"/>
            <w:hideMark/>
          </w:tcPr>
          <w:p w14:paraId="41FDB00B" w14:textId="77777777" w:rsidR="00740F9E" w:rsidRPr="008D77D8" w:rsidRDefault="00740F9E" w:rsidP="006D08F2">
            <w:pPr>
              <w:widowControl/>
              <w:autoSpaceDE/>
              <w:autoSpaceDN/>
              <w:rPr>
                <w:sz w:val="20"/>
                <w:szCs w:val="20"/>
              </w:rPr>
            </w:pPr>
          </w:p>
        </w:tc>
      </w:tr>
      <w:tr w:rsidR="00740F9E" w:rsidRPr="008D77D8" w14:paraId="417E2738" w14:textId="77777777" w:rsidTr="00740F9E">
        <w:trPr>
          <w:trHeight w:val="315"/>
        </w:trPr>
        <w:tc>
          <w:tcPr>
            <w:tcW w:w="8053" w:type="dxa"/>
            <w:tcBorders>
              <w:top w:val="nil"/>
              <w:left w:val="nil"/>
              <w:bottom w:val="nil"/>
              <w:right w:val="nil"/>
            </w:tcBorders>
            <w:vAlign w:val="center"/>
            <w:hideMark/>
          </w:tcPr>
          <w:p w14:paraId="02616B4C" w14:textId="77777777" w:rsidR="00740F9E" w:rsidRPr="008D77D8" w:rsidRDefault="00740F9E" w:rsidP="006D08F2">
            <w:pPr>
              <w:widowControl/>
              <w:autoSpaceDE/>
              <w:autoSpaceDN/>
              <w:rPr>
                <w:sz w:val="20"/>
                <w:szCs w:val="20"/>
              </w:rPr>
            </w:pPr>
          </w:p>
        </w:tc>
        <w:tc>
          <w:tcPr>
            <w:tcW w:w="1476" w:type="dxa"/>
            <w:tcBorders>
              <w:top w:val="nil"/>
              <w:left w:val="nil"/>
              <w:bottom w:val="nil"/>
              <w:right w:val="nil"/>
            </w:tcBorders>
            <w:vAlign w:val="center"/>
            <w:hideMark/>
          </w:tcPr>
          <w:p w14:paraId="6E5DEC7E" w14:textId="77777777" w:rsidR="00740F9E" w:rsidRPr="008D77D8" w:rsidRDefault="00740F9E" w:rsidP="006D08F2">
            <w:pPr>
              <w:widowControl/>
              <w:autoSpaceDE/>
              <w:autoSpaceDN/>
              <w:rPr>
                <w:sz w:val="20"/>
                <w:szCs w:val="20"/>
              </w:rPr>
            </w:pPr>
          </w:p>
        </w:tc>
        <w:tc>
          <w:tcPr>
            <w:tcW w:w="1031" w:type="dxa"/>
            <w:tcBorders>
              <w:top w:val="nil"/>
              <w:left w:val="nil"/>
              <w:bottom w:val="nil"/>
              <w:right w:val="nil"/>
            </w:tcBorders>
            <w:vAlign w:val="center"/>
            <w:hideMark/>
          </w:tcPr>
          <w:p w14:paraId="24468C39" w14:textId="77777777" w:rsidR="00740F9E" w:rsidRPr="008D77D8" w:rsidRDefault="00740F9E" w:rsidP="006D08F2">
            <w:pPr>
              <w:widowControl/>
              <w:autoSpaceDE/>
              <w:autoSpaceDN/>
              <w:rPr>
                <w:sz w:val="20"/>
                <w:szCs w:val="20"/>
              </w:rPr>
            </w:pPr>
          </w:p>
        </w:tc>
      </w:tr>
      <w:tr w:rsidR="00740F9E" w:rsidRPr="008D77D8" w14:paraId="1B82FA47" w14:textId="77777777" w:rsidTr="00740F9E">
        <w:trPr>
          <w:trHeight w:val="300"/>
        </w:trPr>
        <w:tc>
          <w:tcPr>
            <w:tcW w:w="8053" w:type="dxa"/>
            <w:tcBorders>
              <w:top w:val="single" w:sz="8" w:space="0" w:color="auto"/>
              <w:left w:val="single" w:sz="8" w:space="0" w:color="auto"/>
              <w:bottom w:val="single" w:sz="4" w:space="0" w:color="auto"/>
              <w:right w:val="single" w:sz="4" w:space="0" w:color="auto"/>
            </w:tcBorders>
            <w:noWrap/>
            <w:vAlign w:val="center"/>
            <w:hideMark/>
          </w:tcPr>
          <w:p w14:paraId="1FB3783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Project Category (Indicate Health or Other)</w:t>
            </w:r>
          </w:p>
        </w:tc>
        <w:tc>
          <w:tcPr>
            <w:tcW w:w="1476" w:type="dxa"/>
            <w:tcBorders>
              <w:top w:val="single" w:sz="8" w:space="0" w:color="auto"/>
              <w:left w:val="nil"/>
              <w:bottom w:val="single" w:sz="4" w:space="0" w:color="auto"/>
              <w:right w:val="single" w:sz="8" w:space="0" w:color="auto"/>
            </w:tcBorders>
            <w:noWrap/>
            <w:vAlign w:val="center"/>
            <w:hideMark/>
          </w:tcPr>
          <w:p w14:paraId="4318C7C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 </w:t>
            </w:r>
          </w:p>
        </w:tc>
        <w:tc>
          <w:tcPr>
            <w:tcW w:w="1031" w:type="dxa"/>
            <w:tcBorders>
              <w:top w:val="nil"/>
              <w:left w:val="nil"/>
              <w:bottom w:val="nil"/>
              <w:right w:val="nil"/>
            </w:tcBorders>
            <w:noWrap/>
            <w:vAlign w:val="bottom"/>
            <w:hideMark/>
          </w:tcPr>
          <w:p w14:paraId="28B3F9CD"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5EEC14CE"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AC8303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Is applicant eligible for funding? (Indicate Yes or No)</w:t>
            </w:r>
          </w:p>
        </w:tc>
        <w:tc>
          <w:tcPr>
            <w:tcW w:w="1476" w:type="dxa"/>
            <w:tcBorders>
              <w:top w:val="nil"/>
              <w:left w:val="nil"/>
              <w:bottom w:val="single" w:sz="4" w:space="0" w:color="auto"/>
              <w:right w:val="single" w:sz="8" w:space="0" w:color="auto"/>
            </w:tcBorders>
            <w:noWrap/>
            <w:vAlign w:val="center"/>
            <w:hideMark/>
          </w:tcPr>
          <w:p w14:paraId="3CEF61B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 </w:t>
            </w:r>
          </w:p>
        </w:tc>
        <w:tc>
          <w:tcPr>
            <w:tcW w:w="1031" w:type="dxa"/>
            <w:tcBorders>
              <w:top w:val="nil"/>
              <w:left w:val="nil"/>
              <w:bottom w:val="nil"/>
              <w:right w:val="nil"/>
            </w:tcBorders>
            <w:noWrap/>
            <w:vAlign w:val="bottom"/>
            <w:hideMark/>
          </w:tcPr>
          <w:p w14:paraId="46845CE2"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7549ACE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1E7005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Are all required attachments provided? (Indicate Yes or No)</w:t>
            </w:r>
          </w:p>
        </w:tc>
        <w:tc>
          <w:tcPr>
            <w:tcW w:w="1476" w:type="dxa"/>
            <w:tcBorders>
              <w:top w:val="nil"/>
              <w:left w:val="nil"/>
              <w:bottom w:val="single" w:sz="4" w:space="0" w:color="auto"/>
              <w:right w:val="single" w:sz="8" w:space="0" w:color="auto"/>
            </w:tcBorders>
            <w:noWrap/>
            <w:vAlign w:val="center"/>
            <w:hideMark/>
          </w:tcPr>
          <w:p w14:paraId="3605242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 </w:t>
            </w:r>
          </w:p>
        </w:tc>
        <w:tc>
          <w:tcPr>
            <w:tcW w:w="1031" w:type="dxa"/>
            <w:tcBorders>
              <w:top w:val="nil"/>
              <w:left w:val="nil"/>
              <w:bottom w:val="nil"/>
              <w:right w:val="nil"/>
            </w:tcBorders>
            <w:noWrap/>
            <w:vAlign w:val="bottom"/>
            <w:hideMark/>
          </w:tcPr>
          <w:p w14:paraId="7E49EE58"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44EF1DEC"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67B6C18" w14:textId="7154F259"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Has the owner submitted multiple applications this funding year?</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(Indicate Yes or No)</w:t>
            </w:r>
          </w:p>
        </w:tc>
        <w:tc>
          <w:tcPr>
            <w:tcW w:w="1476" w:type="dxa"/>
            <w:tcBorders>
              <w:top w:val="nil"/>
              <w:left w:val="nil"/>
              <w:bottom w:val="single" w:sz="4" w:space="0" w:color="auto"/>
              <w:right w:val="single" w:sz="8" w:space="0" w:color="auto"/>
            </w:tcBorders>
            <w:noWrap/>
            <w:vAlign w:val="center"/>
            <w:hideMark/>
          </w:tcPr>
          <w:p w14:paraId="67EE9B8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 </w:t>
            </w:r>
          </w:p>
        </w:tc>
        <w:tc>
          <w:tcPr>
            <w:tcW w:w="1031" w:type="dxa"/>
            <w:tcBorders>
              <w:top w:val="nil"/>
              <w:left w:val="nil"/>
              <w:bottom w:val="nil"/>
              <w:right w:val="nil"/>
            </w:tcBorders>
            <w:noWrap/>
            <w:vAlign w:val="bottom"/>
            <w:hideMark/>
          </w:tcPr>
          <w:p w14:paraId="47D15678"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45AA9CFA" w14:textId="77777777" w:rsidTr="00740F9E">
        <w:trPr>
          <w:trHeight w:val="525"/>
        </w:trPr>
        <w:tc>
          <w:tcPr>
            <w:tcW w:w="8053" w:type="dxa"/>
            <w:tcBorders>
              <w:top w:val="nil"/>
              <w:left w:val="single" w:sz="8" w:space="0" w:color="auto"/>
              <w:bottom w:val="single" w:sz="8" w:space="0" w:color="auto"/>
              <w:right w:val="single" w:sz="4" w:space="0" w:color="auto"/>
            </w:tcBorders>
            <w:vAlign w:val="center"/>
            <w:hideMark/>
          </w:tcPr>
          <w:p w14:paraId="245BC8E4" w14:textId="1CFAD7B5"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If multiple applications, does one project depend upon obtaining funding for the other? (Indicate Yes or No)</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If yes, please identify the other project(s)</w:t>
            </w:r>
          </w:p>
        </w:tc>
        <w:tc>
          <w:tcPr>
            <w:tcW w:w="1476" w:type="dxa"/>
            <w:tcBorders>
              <w:top w:val="nil"/>
              <w:left w:val="nil"/>
              <w:bottom w:val="single" w:sz="8" w:space="0" w:color="auto"/>
              <w:right w:val="single" w:sz="8" w:space="0" w:color="auto"/>
            </w:tcBorders>
            <w:noWrap/>
            <w:vAlign w:val="center"/>
            <w:hideMark/>
          </w:tcPr>
          <w:p w14:paraId="7036AAB7"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nil"/>
              <w:right w:val="nil"/>
            </w:tcBorders>
            <w:noWrap/>
            <w:vAlign w:val="bottom"/>
            <w:hideMark/>
          </w:tcPr>
          <w:p w14:paraId="7C403127"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097CA123" w14:textId="77777777" w:rsidTr="00740F9E">
        <w:trPr>
          <w:trHeight w:val="315"/>
        </w:trPr>
        <w:tc>
          <w:tcPr>
            <w:tcW w:w="8053" w:type="dxa"/>
            <w:tcBorders>
              <w:top w:val="nil"/>
              <w:left w:val="nil"/>
              <w:bottom w:val="nil"/>
              <w:right w:val="nil"/>
            </w:tcBorders>
            <w:noWrap/>
            <w:vAlign w:val="center"/>
            <w:hideMark/>
          </w:tcPr>
          <w:p w14:paraId="3D550DBE" w14:textId="77777777" w:rsidR="00740F9E" w:rsidRPr="008D77D8" w:rsidRDefault="00740F9E" w:rsidP="006D08F2">
            <w:pPr>
              <w:widowControl/>
              <w:autoSpaceDE/>
              <w:autoSpaceDN/>
              <w:rPr>
                <w:sz w:val="20"/>
                <w:szCs w:val="20"/>
              </w:rPr>
            </w:pPr>
          </w:p>
        </w:tc>
        <w:tc>
          <w:tcPr>
            <w:tcW w:w="1476" w:type="dxa"/>
            <w:tcBorders>
              <w:top w:val="nil"/>
              <w:left w:val="nil"/>
              <w:bottom w:val="nil"/>
              <w:right w:val="nil"/>
            </w:tcBorders>
            <w:noWrap/>
            <w:vAlign w:val="bottom"/>
            <w:hideMark/>
          </w:tcPr>
          <w:p w14:paraId="02FD1396" w14:textId="77777777" w:rsidR="00740F9E" w:rsidRPr="008D77D8" w:rsidRDefault="00740F9E" w:rsidP="006D08F2">
            <w:pPr>
              <w:widowControl/>
              <w:autoSpaceDE/>
              <w:autoSpaceDN/>
              <w:rPr>
                <w:sz w:val="20"/>
                <w:szCs w:val="20"/>
              </w:rPr>
            </w:pPr>
          </w:p>
        </w:tc>
        <w:tc>
          <w:tcPr>
            <w:tcW w:w="1031" w:type="dxa"/>
            <w:tcBorders>
              <w:top w:val="nil"/>
              <w:left w:val="nil"/>
              <w:bottom w:val="nil"/>
              <w:right w:val="nil"/>
            </w:tcBorders>
            <w:noWrap/>
            <w:vAlign w:val="bottom"/>
            <w:hideMark/>
          </w:tcPr>
          <w:p w14:paraId="41E501A3" w14:textId="77777777" w:rsidR="00740F9E" w:rsidRPr="008D77D8" w:rsidRDefault="00740F9E" w:rsidP="006D08F2">
            <w:pPr>
              <w:widowControl/>
              <w:autoSpaceDE/>
              <w:autoSpaceDN/>
              <w:rPr>
                <w:sz w:val="20"/>
                <w:szCs w:val="20"/>
              </w:rPr>
            </w:pPr>
          </w:p>
        </w:tc>
      </w:tr>
      <w:tr w:rsidR="00740F9E" w:rsidRPr="008D77D8" w14:paraId="4FDB3EFC" w14:textId="77777777" w:rsidTr="00740F9E">
        <w:trPr>
          <w:trHeight w:val="510"/>
        </w:trPr>
        <w:tc>
          <w:tcPr>
            <w:tcW w:w="8053" w:type="dxa"/>
            <w:tcBorders>
              <w:top w:val="single" w:sz="8" w:space="0" w:color="auto"/>
              <w:left w:val="single" w:sz="8" w:space="0" w:color="auto"/>
              <w:bottom w:val="single" w:sz="4" w:space="0" w:color="auto"/>
              <w:right w:val="single" w:sz="4" w:space="0" w:color="auto"/>
            </w:tcBorders>
            <w:noWrap/>
            <w:vAlign w:val="center"/>
            <w:hideMark/>
          </w:tcPr>
          <w:p w14:paraId="0D3E7ACF" w14:textId="77777777" w:rsidR="00740F9E" w:rsidRPr="008D77D8" w:rsidRDefault="00740F9E" w:rsidP="006D08F2">
            <w:pPr>
              <w:widowControl/>
              <w:autoSpaceDE/>
              <w:autoSpaceDN/>
              <w:rPr>
                <w:rFonts w:ascii="Calibri" w:hAnsi="Calibri" w:cs="Calibri"/>
                <w:b/>
                <w:bCs/>
                <w:color w:val="000000"/>
                <w:sz w:val="24"/>
                <w:szCs w:val="24"/>
                <w:u w:val="single"/>
              </w:rPr>
            </w:pPr>
            <w:r w:rsidRPr="008D77D8">
              <w:rPr>
                <w:rFonts w:ascii="Calibri" w:hAnsi="Calibri" w:cs="Calibri"/>
                <w:b/>
                <w:bCs/>
                <w:color w:val="000000"/>
                <w:sz w:val="24"/>
                <w:szCs w:val="24"/>
                <w:u w:val="single"/>
              </w:rPr>
              <w:t>Section I - SDWA Compliance (Maximum Possible Score = 3,960 points)</w:t>
            </w:r>
          </w:p>
        </w:tc>
        <w:tc>
          <w:tcPr>
            <w:tcW w:w="1476" w:type="dxa"/>
            <w:tcBorders>
              <w:top w:val="single" w:sz="8" w:space="0" w:color="auto"/>
              <w:left w:val="nil"/>
              <w:bottom w:val="single" w:sz="4" w:space="0" w:color="auto"/>
              <w:right w:val="single" w:sz="4" w:space="0" w:color="auto"/>
            </w:tcBorders>
            <w:vAlign w:val="center"/>
            <w:hideMark/>
          </w:tcPr>
          <w:p w14:paraId="30FA086E"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Available</w:t>
            </w:r>
          </w:p>
        </w:tc>
        <w:tc>
          <w:tcPr>
            <w:tcW w:w="1031" w:type="dxa"/>
            <w:tcBorders>
              <w:top w:val="single" w:sz="8" w:space="0" w:color="auto"/>
              <w:left w:val="nil"/>
              <w:bottom w:val="single" w:sz="4" w:space="0" w:color="auto"/>
              <w:right w:val="single" w:sz="8" w:space="0" w:color="auto"/>
            </w:tcBorders>
            <w:vAlign w:val="center"/>
            <w:hideMark/>
          </w:tcPr>
          <w:p w14:paraId="03222467"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Awarded</w:t>
            </w:r>
          </w:p>
        </w:tc>
      </w:tr>
      <w:tr w:rsidR="00740F9E" w:rsidRPr="008D77D8" w14:paraId="56CE1AF0" w14:textId="77777777" w:rsidTr="00740F9E">
        <w:trPr>
          <w:trHeight w:val="300"/>
        </w:trPr>
        <w:tc>
          <w:tcPr>
            <w:tcW w:w="8053" w:type="dxa"/>
            <w:tcBorders>
              <w:top w:val="nil"/>
              <w:left w:val="single" w:sz="8" w:space="0" w:color="auto"/>
              <w:bottom w:val="single" w:sz="4" w:space="0" w:color="auto"/>
              <w:right w:val="single" w:sz="4" w:space="0" w:color="auto"/>
            </w:tcBorders>
            <w:vAlign w:val="center"/>
            <w:hideMark/>
          </w:tcPr>
          <w:p w14:paraId="290C32E6"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Acute Health Priority - Formal Enforcement Actions or Commissioner’s Letter</w:t>
            </w:r>
          </w:p>
        </w:tc>
        <w:tc>
          <w:tcPr>
            <w:tcW w:w="1476" w:type="dxa"/>
            <w:tcBorders>
              <w:top w:val="nil"/>
              <w:left w:val="nil"/>
              <w:bottom w:val="single" w:sz="4" w:space="0" w:color="auto"/>
              <w:right w:val="single" w:sz="4" w:space="0" w:color="auto"/>
            </w:tcBorders>
            <w:noWrap/>
            <w:vAlign w:val="center"/>
            <w:hideMark/>
          </w:tcPr>
          <w:p w14:paraId="54097AD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550</w:t>
            </w:r>
          </w:p>
        </w:tc>
        <w:tc>
          <w:tcPr>
            <w:tcW w:w="1031" w:type="dxa"/>
            <w:tcBorders>
              <w:top w:val="nil"/>
              <w:left w:val="nil"/>
              <w:bottom w:val="single" w:sz="4" w:space="0" w:color="auto"/>
              <w:right w:val="single" w:sz="8" w:space="0" w:color="auto"/>
            </w:tcBorders>
            <w:noWrap/>
            <w:vAlign w:val="center"/>
            <w:hideMark/>
          </w:tcPr>
          <w:p w14:paraId="0ABB844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EE9E41A"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BEC5B27"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SWTR Violations/GUDI</w:t>
            </w:r>
          </w:p>
        </w:tc>
        <w:tc>
          <w:tcPr>
            <w:tcW w:w="1476" w:type="dxa"/>
            <w:tcBorders>
              <w:top w:val="nil"/>
              <w:left w:val="nil"/>
              <w:bottom w:val="single" w:sz="4" w:space="0" w:color="auto"/>
              <w:right w:val="single" w:sz="4" w:space="0" w:color="auto"/>
            </w:tcBorders>
            <w:noWrap/>
            <w:vAlign w:val="center"/>
            <w:hideMark/>
          </w:tcPr>
          <w:p w14:paraId="7571CB9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510</w:t>
            </w:r>
          </w:p>
        </w:tc>
        <w:tc>
          <w:tcPr>
            <w:tcW w:w="1031" w:type="dxa"/>
            <w:tcBorders>
              <w:top w:val="nil"/>
              <w:left w:val="nil"/>
              <w:bottom w:val="single" w:sz="4" w:space="0" w:color="auto"/>
              <w:right w:val="single" w:sz="8" w:space="0" w:color="auto"/>
            </w:tcBorders>
            <w:noWrap/>
            <w:vAlign w:val="center"/>
            <w:hideMark/>
          </w:tcPr>
          <w:p w14:paraId="299B892A"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3FDC0E7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DE09D19"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xml:space="preserve">Persistent TCR, Nitrate </w:t>
            </w:r>
          </w:p>
        </w:tc>
        <w:tc>
          <w:tcPr>
            <w:tcW w:w="1476" w:type="dxa"/>
            <w:tcBorders>
              <w:top w:val="nil"/>
              <w:left w:val="nil"/>
              <w:bottom w:val="single" w:sz="4" w:space="0" w:color="auto"/>
              <w:right w:val="single" w:sz="4" w:space="0" w:color="auto"/>
            </w:tcBorders>
            <w:noWrap/>
            <w:vAlign w:val="center"/>
            <w:hideMark/>
          </w:tcPr>
          <w:p w14:paraId="2CF7B84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510</w:t>
            </w:r>
          </w:p>
        </w:tc>
        <w:tc>
          <w:tcPr>
            <w:tcW w:w="1031" w:type="dxa"/>
            <w:tcBorders>
              <w:top w:val="nil"/>
              <w:left w:val="nil"/>
              <w:bottom w:val="single" w:sz="4" w:space="0" w:color="auto"/>
              <w:right w:val="single" w:sz="8" w:space="0" w:color="auto"/>
            </w:tcBorders>
            <w:noWrap/>
            <w:vAlign w:val="center"/>
            <w:hideMark/>
          </w:tcPr>
          <w:p w14:paraId="366445F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01C148F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8238B85"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xml:space="preserve">Continuing Boil Water Notice </w:t>
            </w:r>
          </w:p>
        </w:tc>
        <w:tc>
          <w:tcPr>
            <w:tcW w:w="1476" w:type="dxa"/>
            <w:tcBorders>
              <w:top w:val="nil"/>
              <w:left w:val="nil"/>
              <w:bottom w:val="single" w:sz="4" w:space="0" w:color="auto"/>
              <w:right w:val="single" w:sz="4" w:space="0" w:color="auto"/>
            </w:tcBorders>
            <w:noWrap/>
            <w:vAlign w:val="center"/>
            <w:hideMark/>
          </w:tcPr>
          <w:p w14:paraId="06AC788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510</w:t>
            </w:r>
          </w:p>
        </w:tc>
        <w:tc>
          <w:tcPr>
            <w:tcW w:w="1031" w:type="dxa"/>
            <w:tcBorders>
              <w:top w:val="nil"/>
              <w:left w:val="nil"/>
              <w:bottom w:val="single" w:sz="4" w:space="0" w:color="auto"/>
              <w:right w:val="single" w:sz="8" w:space="0" w:color="auto"/>
            </w:tcBorders>
            <w:noWrap/>
            <w:vAlign w:val="center"/>
            <w:hideMark/>
          </w:tcPr>
          <w:p w14:paraId="2198E62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0EEAFEEC"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6F1928C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333E86E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00CB363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3BCB7B4" w14:textId="77777777" w:rsidTr="00740F9E">
        <w:trPr>
          <w:trHeight w:val="300"/>
        </w:trPr>
        <w:tc>
          <w:tcPr>
            <w:tcW w:w="8053" w:type="dxa"/>
            <w:tcBorders>
              <w:top w:val="nil"/>
              <w:left w:val="single" w:sz="8" w:space="0" w:color="auto"/>
              <w:bottom w:val="single" w:sz="4" w:space="0" w:color="auto"/>
              <w:right w:val="single" w:sz="4" w:space="0" w:color="auto"/>
            </w:tcBorders>
            <w:vAlign w:val="center"/>
            <w:hideMark/>
          </w:tcPr>
          <w:p w14:paraId="684266A5"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Chronic Health Priority - Formal Enforcement Actions or Commissioner’s Letter</w:t>
            </w:r>
          </w:p>
        </w:tc>
        <w:tc>
          <w:tcPr>
            <w:tcW w:w="1476" w:type="dxa"/>
            <w:tcBorders>
              <w:top w:val="nil"/>
              <w:left w:val="nil"/>
              <w:bottom w:val="single" w:sz="4" w:space="0" w:color="auto"/>
              <w:right w:val="single" w:sz="4" w:space="0" w:color="auto"/>
            </w:tcBorders>
            <w:noWrap/>
            <w:vAlign w:val="center"/>
            <w:hideMark/>
          </w:tcPr>
          <w:p w14:paraId="5668B52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500</w:t>
            </w:r>
          </w:p>
        </w:tc>
        <w:tc>
          <w:tcPr>
            <w:tcW w:w="1031" w:type="dxa"/>
            <w:tcBorders>
              <w:top w:val="nil"/>
              <w:left w:val="nil"/>
              <w:bottom w:val="single" w:sz="4" w:space="0" w:color="auto"/>
              <w:right w:val="single" w:sz="8" w:space="0" w:color="auto"/>
            </w:tcBorders>
            <w:noWrap/>
            <w:vAlign w:val="center"/>
            <w:hideMark/>
          </w:tcPr>
          <w:p w14:paraId="09FA55D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0A63B4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9E06BFA"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Persistent PMCL Violations (VOC, SOC, IOC, RAD, etc.)</w:t>
            </w:r>
          </w:p>
        </w:tc>
        <w:tc>
          <w:tcPr>
            <w:tcW w:w="1476" w:type="dxa"/>
            <w:tcBorders>
              <w:top w:val="nil"/>
              <w:left w:val="nil"/>
              <w:bottom w:val="single" w:sz="4" w:space="0" w:color="auto"/>
              <w:right w:val="single" w:sz="4" w:space="0" w:color="auto"/>
            </w:tcBorders>
            <w:noWrap/>
            <w:vAlign w:val="center"/>
            <w:hideMark/>
          </w:tcPr>
          <w:p w14:paraId="119B2BC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460</w:t>
            </w:r>
          </w:p>
        </w:tc>
        <w:tc>
          <w:tcPr>
            <w:tcW w:w="1031" w:type="dxa"/>
            <w:tcBorders>
              <w:top w:val="nil"/>
              <w:left w:val="nil"/>
              <w:bottom w:val="single" w:sz="4" w:space="0" w:color="auto"/>
              <w:right w:val="single" w:sz="8" w:space="0" w:color="auto"/>
            </w:tcBorders>
            <w:noWrap/>
            <w:vAlign w:val="center"/>
            <w:hideMark/>
          </w:tcPr>
          <w:p w14:paraId="08EABEC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694CD79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43BE75B"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xml:space="preserve">Pb &amp; Cu Action Levels </w:t>
            </w:r>
          </w:p>
        </w:tc>
        <w:tc>
          <w:tcPr>
            <w:tcW w:w="1476" w:type="dxa"/>
            <w:tcBorders>
              <w:top w:val="nil"/>
              <w:left w:val="nil"/>
              <w:bottom w:val="single" w:sz="4" w:space="0" w:color="auto"/>
              <w:right w:val="single" w:sz="4" w:space="0" w:color="auto"/>
            </w:tcBorders>
            <w:noWrap/>
            <w:vAlign w:val="center"/>
            <w:hideMark/>
          </w:tcPr>
          <w:p w14:paraId="3927777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460</w:t>
            </w:r>
          </w:p>
        </w:tc>
        <w:tc>
          <w:tcPr>
            <w:tcW w:w="1031" w:type="dxa"/>
            <w:tcBorders>
              <w:top w:val="nil"/>
              <w:left w:val="nil"/>
              <w:bottom w:val="single" w:sz="4" w:space="0" w:color="auto"/>
              <w:right w:val="single" w:sz="8" w:space="0" w:color="auto"/>
            </w:tcBorders>
            <w:noWrap/>
            <w:vAlign w:val="center"/>
            <w:hideMark/>
          </w:tcPr>
          <w:p w14:paraId="3A1F996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50D770BD"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43F78729"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Priority System (i.e., ETT score ≥11)</w:t>
            </w:r>
          </w:p>
        </w:tc>
        <w:tc>
          <w:tcPr>
            <w:tcW w:w="1476" w:type="dxa"/>
            <w:tcBorders>
              <w:top w:val="nil"/>
              <w:left w:val="nil"/>
              <w:bottom w:val="single" w:sz="4" w:space="0" w:color="auto"/>
              <w:right w:val="single" w:sz="4" w:space="0" w:color="auto"/>
            </w:tcBorders>
            <w:noWrap/>
            <w:vAlign w:val="center"/>
            <w:hideMark/>
          </w:tcPr>
          <w:p w14:paraId="0A08F86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460</w:t>
            </w:r>
          </w:p>
        </w:tc>
        <w:tc>
          <w:tcPr>
            <w:tcW w:w="1031" w:type="dxa"/>
            <w:tcBorders>
              <w:top w:val="nil"/>
              <w:left w:val="nil"/>
              <w:bottom w:val="nil"/>
              <w:right w:val="single" w:sz="8" w:space="0" w:color="auto"/>
            </w:tcBorders>
            <w:noWrap/>
            <w:vAlign w:val="center"/>
            <w:hideMark/>
          </w:tcPr>
          <w:p w14:paraId="152F40D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D9057ED"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740CED6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2EFD8EF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single" w:sz="4" w:space="0" w:color="auto"/>
              <w:left w:val="nil"/>
              <w:bottom w:val="single" w:sz="4" w:space="0" w:color="auto"/>
              <w:right w:val="single" w:sz="8" w:space="0" w:color="auto"/>
            </w:tcBorders>
            <w:shd w:val="thinDiagStripe" w:color="000000" w:fill="auto"/>
            <w:noWrap/>
            <w:vAlign w:val="center"/>
            <w:hideMark/>
          </w:tcPr>
          <w:p w14:paraId="5061A8A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AE06C87" w14:textId="77777777" w:rsidTr="00740F9E">
        <w:trPr>
          <w:trHeight w:val="315"/>
        </w:trPr>
        <w:tc>
          <w:tcPr>
            <w:tcW w:w="8053" w:type="dxa"/>
            <w:tcBorders>
              <w:top w:val="nil"/>
              <w:left w:val="single" w:sz="8" w:space="0" w:color="auto"/>
              <w:bottom w:val="single" w:sz="8" w:space="0" w:color="auto"/>
              <w:right w:val="single" w:sz="4" w:space="0" w:color="auto"/>
            </w:tcBorders>
            <w:noWrap/>
            <w:vAlign w:val="center"/>
            <w:hideMark/>
          </w:tcPr>
          <w:p w14:paraId="3589F498"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8" w:space="0" w:color="auto"/>
              <w:right w:val="single" w:sz="4" w:space="0" w:color="auto"/>
            </w:tcBorders>
            <w:noWrap/>
            <w:vAlign w:val="center"/>
            <w:hideMark/>
          </w:tcPr>
          <w:p w14:paraId="0879285D"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Subtotal:</w:t>
            </w:r>
          </w:p>
        </w:tc>
        <w:tc>
          <w:tcPr>
            <w:tcW w:w="1031" w:type="dxa"/>
            <w:tcBorders>
              <w:top w:val="nil"/>
              <w:left w:val="nil"/>
              <w:bottom w:val="single" w:sz="8" w:space="0" w:color="auto"/>
              <w:right w:val="single" w:sz="8" w:space="0" w:color="auto"/>
            </w:tcBorders>
            <w:noWrap/>
            <w:vAlign w:val="center"/>
            <w:hideMark/>
          </w:tcPr>
          <w:p w14:paraId="2B0E33A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r>
      <w:tr w:rsidR="00740F9E" w:rsidRPr="008D77D8" w14:paraId="38867BA1" w14:textId="77777777" w:rsidTr="00740F9E">
        <w:trPr>
          <w:trHeight w:val="315"/>
        </w:trPr>
        <w:tc>
          <w:tcPr>
            <w:tcW w:w="8053" w:type="dxa"/>
            <w:tcBorders>
              <w:top w:val="nil"/>
              <w:left w:val="nil"/>
              <w:bottom w:val="nil"/>
              <w:right w:val="nil"/>
            </w:tcBorders>
            <w:noWrap/>
            <w:vAlign w:val="center"/>
            <w:hideMark/>
          </w:tcPr>
          <w:p w14:paraId="6EB04F3B" w14:textId="77777777" w:rsidR="00740F9E" w:rsidRPr="008D77D8" w:rsidRDefault="00740F9E" w:rsidP="006D08F2">
            <w:pPr>
              <w:widowControl/>
              <w:autoSpaceDE/>
              <w:autoSpaceDN/>
              <w:jc w:val="center"/>
              <w:rPr>
                <w:rFonts w:ascii="Calibri" w:hAnsi="Calibri" w:cs="Calibri"/>
                <w:color w:val="000000"/>
                <w:sz w:val="20"/>
                <w:szCs w:val="20"/>
              </w:rPr>
            </w:pPr>
          </w:p>
        </w:tc>
        <w:tc>
          <w:tcPr>
            <w:tcW w:w="1476" w:type="dxa"/>
            <w:tcBorders>
              <w:top w:val="nil"/>
              <w:left w:val="nil"/>
              <w:bottom w:val="nil"/>
              <w:right w:val="nil"/>
            </w:tcBorders>
            <w:noWrap/>
            <w:vAlign w:val="bottom"/>
            <w:hideMark/>
          </w:tcPr>
          <w:p w14:paraId="7CDC829D" w14:textId="77777777" w:rsidR="00740F9E" w:rsidRPr="008D77D8" w:rsidRDefault="00740F9E" w:rsidP="006D08F2">
            <w:pPr>
              <w:widowControl/>
              <w:autoSpaceDE/>
              <w:autoSpaceDN/>
              <w:ind w:firstLineChars="400" w:firstLine="800"/>
              <w:rPr>
                <w:sz w:val="20"/>
                <w:szCs w:val="20"/>
              </w:rPr>
            </w:pPr>
          </w:p>
        </w:tc>
        <w:tc>
          <w:tcPr>
            <w:tcW w:w="1031" w:type="dxa"/>
            <w:tcBorders>
              <w:top w:val="nil"/>
              <w:left w:val="nil"/>
              <w:bottom w:val="nil"/>
              <w:right w:val="nil"/>
            </w:tcBorders>
            <w:noWrap/>
            <w:vAlign w:val="bottom"/>
            <w:hideMark/>
          </w:tcPr>
          <w:p w14:paraId="328BCEBA" w14:textId="77777777" w:rsidR="00740F9E" w:rsidRPr="008D77D8" w:rsidRDefault="00740F9E" w:rsidP="006D08F2">
            <w:pPr>
              <w:widowControl/>
              <w:autoSpaceDE/>
              <w:autoSpaceDN/>
              <w:rPr>
                <w:sz w:val="20"/>
                <w:szCs w:val="20"/>
              </w:rPr>
            </w:pPr>
          </w:p>
        </w:tc>
      </w:tr>
      <w:tr w:rsidR="00740F9E" w:rsidRPr="008D77D8" w14:paraId="0DA48902" w14:textId="77777777" w:rsidTr="00740F9E">
        <w:trPr>
          <w:trHeight w:val="510"/>
        </w:trPr>
        <w:tc>
          <w:tcPr>
            <w:tcW w:w="8053" w:type="dxa"/>
            <w:tcBorders>
              <w:top w:val="single" w:sz="8" w:space="0" w:color="auto"/>
              <w:left w:val="single" w:sz="8" w:space="0" w:color="auto"/>
              <w:bottom w:val="single" w:sz="4" w:space="0" w:color="auto"/>
              <w:right w:val="nil"/>
            </w:tcBorders>
            <w:noWrap/>
            <w:vAlign w:val="center"/>
            <w:hideMark/>
          </w:tcPr>
          <w:p w14:paraId="1A41A2F6" w14:textId="77777777" w:rsidR="00740F9E" w:rsidRPr="008D77D8" w:rsidRDefault="00740F9E" w:rsidP="006D08F2">
            <w:pPr>
              <w:widowControl/>
              <w:autoSpaceDE/>
              <w:autoSpaceDN/>
              <w:rPr>
                <w:rFonts w:ascii="Calibri" w:hAnsi="Calibri" w:cs="Calibri"/>
                <w:b/>
                <w:bCs/>
                <w:color w:val="000000"/>
                <w:sz w:val="24"/>
                <w:szCs w:val="24"/>
                <w:u w:val="single"/>
              </w:rPr>
            </w:pPr>
            <w:r w:rsidRPr="008D77D8">
              <w:rPr>
                <w:rFonts w:ascii="Calibri" w:hAnsi="Calibri" w:cs="Calibri"/>
                <w:b/>
                <w:bCs/>
                <w:color w:val="000000"/>
                <w:sz w:val="24"/>
                <w:szCs w:val="24"/>
                <w:u w:val="single"/>
              </w:rPr>
              <w:t>Section II - Public Health Projects (Maximum Possible Score = 3,830 points)</w:t>
            </w:r>
          </w:p>
        </w:tc>
        <w:tc>
          <w:tcPr>
            <w:tcW w:w="1476" w:type="dxa"/>
            <w:tcBorders>
              <w:top w:val="single" w:sz="8" w:space="0" w:color="auto"/>
              <w:left w:val="single" w:sz="4" w:space="0" w:color="auto"/>
              <w:bottom w:val="single" w:sz="4" w:space="0" w:color="auto"/>
              <w:right w:val="single" w:sz="4" w:space="0" w:color="auto"/>
            </w:tcBorders>
            <w:vAlign w:val="center"/>
            <w:hideMark/>
          </w:tcPr>
          <w:p w14:paraId="6315782E"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Available</w:t>
            </w:r>
          </w:p>
        </w:tc>
        <w:tc>
          <w:tcPr>
            <w:tcW w:w="1031" w:type="dxa"/>
            <w:tcBorders>
              <w:top w:val="single" w:sz="8" w:space="0" w:color="auto"/>
              <w:left w:val="nil"/>
              <w:bottom w:val="single" w:sz="4" w:space="0" w:color="auto"/>
              <w:right w:val="single" w:sz="8" w:space="0" w:color="auto"/>
            </w:tcBorders>
            <w:vAlign w:val="center"/>
            <w:hideMark/>
          </w:tcPr>
          <w:p w14:paraId="49B05B1F"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Awarded</w:t>
            </w:r>
          </w:p>
        </w:tc>
      </w:tr>
      <w:tr w:rsidR="00740F9E" w:rsidRPr="008D77D8" w14:paraId="766272B3"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7C28D5E8" w14:textId="40615301" w:rsidR="00740F9E" w:rsidRPr="008D77D8" w:rsidRDefault="00740F9E" w:rsidP="006D08F2">
            <w:pPr>
              <w:widowControl/>
              <w:autoSpaceDE/>
              <w:autoSpaceDN/>
              <w:rPr>
                <w:rFonts w:ascii="Calibri" w:hAnsi="Calibri" w:cs="Calibri"/>
                <w:b/>
                <w:bCs/>
                <w:color w:val="000000"/>
                <w:sz w:val="20"/>
                <w:szCs w:val="20"/>
                <w:u w:val="single"/>
              </w:rPr>
            </w:pPr>
            <w:proofErr w:type="gramStart"/>
            <w:r w:rsidRPr="008D77D8">
              <w:rPr>
                <w:rFonts w:ascii="Calibri" w:hAnsi="Calibri" w:cs="Calibri"/>
                <w:b/>
                <w:bCs/>
                <w:color w:val="000000"/>
                <w:sz w:val="20"/>
                <w:szCs w:val="20"/>
                <w:u w:val="single"/>
              </w:rPr>
              <w:t>A</w:t>
            </w:r>
            <w:proofErr w:type="gramEnd"/>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 xml:space="preserve">Infrastructure Improvement for Cross Connection Reduction and Public Health Improvement </w:t>
            </w:r>
          </w:p>
        </w:tc>
        <w:tc>
          <w:tcPr>
            <w:tcW w:w="1476" w:type="dxa"/>
            <w:tcBorders>
              <w:top w:val="nil"/>
              <w:left w:val="nil"/>
              <w:bottom w:val="single" w:sz="4" w:space="0" w:color="auto"/>
              <w:right w:val="nil"/>
            </w:tcBorders>
            <w:noWrap/>
            <w:vAlign w:val="center"/>
            <w:hideMark/>
          </w:tcPr>
          <w:p w14:paraId="45A330B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2091046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577B553" w14:textId="77777777" w:rsidTr="00740F9E">
        <w:trPr>
          <w:trHeight w:val="765"/>
        </w:trPr>
        <w:tc>
          <w:tcPr>
            <w:tcW w:w="8053" w:type="dxa"/>
            <w:tcBorders>
              <w:top w:val="nil"/>
              <w:left w:val="single" w:sz="8" w:space="0" w:color="auto"/>
              <w:bottom w:val="single" w:sz="4" w:space="0" w:color="auto"/>
              <w:right w:val="nil"/>
            </w:tcBorders>
            <w:vAlign w:val="center"/>
            <w:hideMark/>
          </w:tcPr>
          <w:p w14:paraId="39D73F54" w14:textId="13DCD499"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Reduce Water Loss and increase accountability.</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 xml:space="preserve">Leakage noted as </w:t>
            </w:r>
            <w:proofErr w:type="gramStart"/>
            <w:r w:rsidRPr="008D77D8">
              <w:rPr>
                <w:rFonts w:ascii="Calibri" w:hAnsi="Calibri" w:cs="Calibri"/>
                <w:color w:val="000000"/>
                <w:sz w:val="20"/>
                <w:szCs w:val="20"/>
              </w:rPr>
              <w:t>percent</w:t>
            </w:r>
            <w:proofErr w:type="gramEnd"/>
            <w:r w:rsidRPr="008D77D8">
              <w:rPr>
                <w:rFonts w:ascii="Calibri" w:hAnsi="Calibri" w:cs="Calibri"/>
                <w:color w:val="000000"/>
                <w:sz w:val="20"/>
                <w:szCs w:val="20"/>
              </w:rPr>
              <w:t xml:space="preserve"> ranges, leak rate must be documented, project must be addressing the water loss to award these points</w:t>
            </w:r>
            <w:proofErr w:type="gramStart"/>
            <w:r w:rsidRPr="008D77D8">
              <w:rPr>
                <w:rFonts w:ascii="Calibri" w:hAnsi="Calibri" w:cs="Calibri"/>
                <w:color w:val="000000"/>
                <w:sz w:val="20"/>
                <w:szCs w:val="20"/>
              </w:rPr>
              <w:t>:</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 xml:space="preserve"> </w:t>
            </w:r>
            <w:r w:rsidRPr="008D77D8">
              <w:rPr>
                <w:rFonts w:ascii="Calibri" w:hAnsi="Calibri" w:cs="Calibri"/>
                <w:b/>
                <w:bCs/>
                <w:color w:val="000000"/>
                <w:sz w:val="20"/>
                <w:szCs w:val="20"/>
              </w:rPr>
              <w:t>(</w:t>
            </w:r>
            <w:proofErr w:type="gramEnd"/>
            <w:r w:rsidRPr="008D77D8">
              <w:rPr>
                <w:rFonts w:ascii="Calibri" w:hAnsi="Calibri" w:cs="Calibri"/>
                <w:b/>
                <w:bCs/>
                <w:color w:val="000000"/>
                <w:sz w:val="20"/>
                <w:szCs w:val="20"/>
              </w:rPr>
              <w:t>water loss points are not additive, boil water notice and meter points ARE additive)</w:t>
            </w:r>
          </w:p>
        </w:tc>
        <w:tc>
          <w:tcPr>
            <w:tcW w:w="1476" w:type="dxa"/>
            <w:tcBorders>
              <w:top w:val="nil"/>
              <w:left w:val="nil"/>
              <w:bottom w:val="single" w:sz="4" w:space="0" w:color="auto"/>
              <w:right w:val="nil"/>
            </w:tcBorders>
            <w:noWrap/>
            <w:vAlign w:val="center"/>
            <w:hideMark/>
          </w:tcPr>
          <w:p w14:paraId="11A54E9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0DC3A40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5CBF21E"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C73E766"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 xml:space="preserve">0% </w:t>
            </w:r>
            <w:proofErr w:type="gramStart"/>
            <w:r w:rsidRPr="008D77D8">
              <w:rPr>
                <w:rFonts w:ascii="Calibri" w:hAnsi="Calibri" w:cs="Calibri"/>
                <w:color w:val="000000"/>
                <w:sz w:val="20"/>
                <w:szCs w:val="20"/>
              </w:rPr>
              <w:t>to ≤ 10</w:t>
            </w:r>
            <w:proofErr w:type="gramEnd"/>
            <w:r w:rsidRPr="008D77D8">
              <w:rPr>
                <w:rFonts w:ascii="Calibri" w:hAnsi="Calibri" w:cs="Calibri"/>
                <w:color w:val="000000"/>
                <w:sz w:val="20"/>
                <w:szCs w:val="20"/>
              </w:rPr>
              <w:t>% Loss</w:t>
            </w:r>
          </w:p>
        </w:tc>
        <w:tc>
          <w:tcPr>
            <w:tcW w:w="1476" w:type="dxa"/>
            <w:tcBorders>
              <w:top w:val="nil"/>
              <w:left w:val="nil"/>
              <w:bottom w:val="single" w:sz="4" w:space="0" w:color="auto"/>
              <w:right w:val="nil"/>
            </w:tcBorders>
            <w:noWrap/>
            <w:vAlign w:val="center"/>
            <w:hideMark/>
          </w:tcPr>
          <w:p w14:paraId="0581216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single" w:sz="4" w:space="0" w:color="auto"/>
              <w:bottom w:val="single" w:sz="4" w:space="0" w:color="auto"/>
              <w:right w:val="single" w:sz="8" w:space="0" w:color="auto"/>
            </w:tcBorders>
            <w:noWrap/>
            <w:vAlign w:val="center"/>
            <w:hideMark/>
          </w:tcPr>
          <w:p w14:paraId="45EA3A5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E29DEC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C1447AF"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Didn't provide leakage data but provided maintenance records of leaks repaired</w:t>
            </w:r>
          </w:p>
        </w:tc>
        <w:tc>
          <w:tcPr>
            <w:tcW w:w="1476" w:type="dxa"/>
            <w:tcBorders>
              <w:top w:val="nil"/>
              <w:left w:val="nil"/>
              <w:bottom w:val="single" w:sz="4" w:space="0" w:color="auto"/>
              <w:right w:val="nil"/>
            </w:tcBorders>
            <w:noWrap/>
            <w:vAlign w:val="center"/>
            <w:hideMark/>
          </w:tcPr>
          <w:p w14:paraId="710ED5C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single" w:sz="4" w:space="0" w:color="auto"/>
              <w:bottom w:val="single" w:sz="4" w:space="0" w:color="auto"/>
              <w:right w:val="single" w:sz="8" w:space="0" w:color="auto"/>
            </w:tcBorders>
            <w:noWrap/>
            <w:vAlign w:val="center"/>
            <w:hideMark/>
          </w:tcPr>
          <w:p w14:paraId="612CC90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C604614"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7533C38"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&gt;10% to ≤30%</w:t>
            </w:r>
          </w:p>
        </w:tc>
        <w:tc>
          <w:tcPr>
            <w:tcW w:w="1476" w:type="dxa"/>
            <w:tcBorders>
              <w:top w:val="nil"/>
              <w:left w:val="nil"/>
              <w:bottom w:val="single" w:sz="4" w:space="0" w:color="auto"/>
              <w:right w:val="nil"/>
            </w:tcBorders>
            <w:noWrap/>
            <w:vAlign w:val="center"/>
            <w:hideMark/>
          </w:tcPr>
          <w:p w14:paraId="4F3A33B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single" w:sz="4" w:space="0" w:color="auto"/>
              <w:bottom w:val="single" w:sz="4" w:space="0" w:color="auto"/>
              <w:right w:val="single" w:sz="8" w:space="0" w:color="auto"/>
            </w:tcBorders>
            <w:noWrap/>
            <w:vAlign w:val="center"/>
            <w:hideMark/>
          </w:tcPr>
          <w:p w14:paraId="06DDF72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27D4F4F"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46D20BD"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&gt;30% to ≤50%</w:t>
            </w:r>
          </w:p>
        </w:tc>
        <w:tc>
          <w:tcPr>
            <w:tcW w:w="1476" w:type="dxa"/>
            <w:tcBorders>
              <w:top w:val="nil"/>
              <w:left w:val="nil"/>
              <w:bottom w:val="single" w:sz="4" w:space="0" w:color="auto"/>
              <w:right w:val="nil"/>
            </w:tcBorders>
            <w:noWrap/>
            <w:vAlign w:val="center"/>
            <w:hideMark/>
          </w:tcPr>
          <w:p w14:paraId="498DEAB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6471880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7F44E907"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4C587BD1"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&gt;50% loss and above</w:t>
            </w:r>
          </w:p>
        </w:tc>
        <w:tc>
          <w:tcPr>
            <w:tcW w:w="1476" w:type="dxa"/>
            <w:tcBorders>
              <w:top w:val="nil"/>
              <w:left w:val="nil"/>
              <w:bottom w:val="single" w:sz="4" w:space="0" w:color="auto"/>
              <w:right w:val="nil"/>
            </w:tcBorders>
            <w:noWrap/>
            <w:vAlign w:val="center"/>
            <w:hideMark/>
          </w:tcPr>
          <w:p w14:paraId="7992CCFA"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300</w:t>
            </w:r>
          </w:p>
        </w:tc>
        <w:tc>
          <w:tcPr>
            <w:tcW w:w="1031" w:type="dxa"/>
            <w:tcBorders>
              <w:top w:val="nil"/>
              <w:left w:val="single" w:sz="4" w:space="0" w:color="auto"/>
              <w:bottom w:val="single" w:sz="4" w:space="0" w:color="auto"/>
              <w:right w:val="single" w:sz="8" w:space="0" w:color="auto"/>
            </w:tcBorders>
            <w:noWrap/>
            <w:vAlign w:val="center"/>
            <w:hideMark/>
          </w:tcPr>
          <w:p w14:paraId="0FCE7AA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7A20B7D"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1ACBBDD"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Precautionary Boil Water Notice for Pressure Loss</w:t>
            </w:r>
          </w:p>
        </w:tc>
        <w:tc>
          <w:tcPr>
            <w:tcW w:w="1476" w:type="dxa"/>
            <w:tcBorders>
              <w:top w:val="nil"/>
              <w:left w:val="nil"/>
              <w:bottom w:val="single" w:sz="4" w:space="0" w:color="auto"/>
              <w:right w:val="nil"/>
            </w:tcBorders>
            <w:noWrap/>
            <w:vAlign w:val="center"/>
            <w:hideMark/>
          </w:tcPr>
          <w:p w14:paraId="2AAFCCC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150</w:t>
            </w:r>
          </w:p>
        </w:tc>
        <w:tc>
          <w:tcPr>
            <w:tcW w:w="1031" w:type="dxa"/>
            <w:tcBorders>
              <w:top w:val="nil"/>
              <w:left w:val="single" w:sz="4" w:space="0" w:color="auto"/>
              <w:bottom w:val="single" w:sz="4" w:space="0" w:color="auto"/>
              <w:right w:val="single" w:sz="8" w:space="0" w:color="auto"/>
            </w:tcBorders>
            <w:noWrap/>
            <w:vAlign w:val="center"/>
            <w:hideMark/>
          </w:tcPr>
          <w:p w14:paraId="354EB5D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9E2640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E9F77DB"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Adding 1</w:t>
            </w:r>
            <w:r w:rsidRPr="008D77D8">
              <w:rPr>
                <w:rFonts w:ascii="Calibri" w:hAnsi="Calibri" w:cs="Calibri"/>
                <w:color w:val="000000"/>
                <w:sz w:val="20"/>
                <w:szCs w:val="20"/>
                <w:vertAlign w:val="superscript"/>
              </w:rPr>
              <w:t>st</w:t>
            </w:r>
            <w:r w:rsidRPr="008D77D8">
              <w:rPr>
                <w:rFonts w:ascii="Calibri" w:hAnsi="Calibri" w:cs="Calibri"/>
                <w:color w:val="000000"/>
                <w:sz w:val="20"/>
                <w:szCs w:val="20"/>
              </w:rPr>
              <w:t xml:space="preserve"> time meters to system</w:t>
            </w:r>
          </w:p>
        </w:tc>
        <w:tc>
          <w:tcPr>
            <w:tcW w:w="1476" w:type="dxa"/>
            <w:tcBorders>
              <w:top w:val="nil"/>
              <w:left w:val="nil"/>
              <w:bottom w:val="single" w:sz="4" w:space="0" w:color="auto"/>
              <w:right w:val="nil"/>
            </w:tcBorders>
            <w:noWrap/>
            <w:vAlign w:val="center"/>
            <w:hideMark/>
          </w:tcPr>
          <w:p w14:paraId="16C5BDF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150</w:t>
            </w:r>
          </w:p>
        </w:tc>
        <w:tc>
          <w:tcPr>
            <w:tcW w:w="1031" w:type="dxa"/>
            <w:tcBorders>
              <w:top w:val="nil"/>
              <w:left w:val="single" w:sz="4" w:space="0" w:color="auto"/>
              <w:bottom w:val="single" w:sz="4" w:space="0" w:color="auto"/>
              <w:right w:val="single" w:sz="8" w:space="0" w:color="auto"/>
            </w:tcBorders>
            <w:noWrap/>
            <w:vAlign w:val="center"/>
            <w:hideMark/>
          </w:tcPr>
          <w:p w14:paraId="3B146E9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B9214F4"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1D233E1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6C1226B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0F6407F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1066BF8"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E3A8B0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Provide adequate storage capacity or tank repair/rehab</w:t>
            </w:r>
          </w:p>
        </w:tc>
        <w:tc>
          <w:tcPr>
            <w:tcW w:w="1476" w:type="dxa"/>
            <w:tcBorders>
              <w:top w:val="nil"/>
              <w:left w:val="nil"/>
              <w:bottom w:val="single" w:sz="4" w:space="0" w:color="auto"/>
              <w:right w:val="nil"/>
            </w:tcBorders>
            <w:noWrap/>
            <w:vAlign w:val="center"/>
            <w:hideMark/>
          </w:tcPr>
          <w:p w14:paraId="26F4D38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300</w:t>
            </w:r>
          </w:p>
        </w:tc>
        <w:tc>
          <w:tcPr>
            <w:tcW w:w="1031" w:type="dxa"/>
            <w:tcBorders>
              <w:top w:val="nil"/>
              <w:left w:val="single" w:sz="4" w:space="0" w:color="auto"/>
              <w:bottom w:val="single" w:sz="4" w:space="0" w:color="auto"/>
              <w:right w:val="single" w:sz="8" w:space="0" w:color="auto"/>
            </w:tcBorders>
            <w:noWrap/>
            <w:vAlign w:val="center"/>
            <w:hideMark/>
          </w:tcPr>
          <w:p w14:paraId="1963B43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98834C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E68BA7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Replacing waterline with lead joints</w:t>
            </w:r>
          </w:p>
        </w:tc>
        <w:tc>
          <w:tcPr>
            <w:tcW w:w="1476" w:type="dxa"/>
            <w:tcBorders>
              <w:top w:val="nil"/>
              <w:left w:val="nil"/>
              <w:bottom w:val="single" w:sz="4" w:space="0" w:color="auto"/>
              <w:right w:val="nil"/>
            </w:tcBorders>
            <w:noWrap/>
            <w:vAlign w:val="center"/>
            <w:hideMark/>
          </w:tcPr>
          <w:p w14:paraId="62C6825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single" w:sz="4" w:space="0" w:color="auto"/>
              <w:bottom w:val="single" w:sz="4" w:space="0" w:color="auto"/>
              <w:right w:val="single" w:sz="8" w:space="0" w:color="auto"/>
            </w:tcBorders>
            <w:noWrap/>
            <w:vAlign w:val="center"/>
            <w:hideMark/>
          </w:tcPr>
          <w:p w14:paraId="7482D09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001C99C"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95D718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Replacing asbestos cement waterline</w:t>
            </w:r>
          </w:p>
        </w:tc>
        <w:tc>
          <w:tcPr>
            <w:tcW w:w="1476" w:type="dxa"/>
            <w:tcBorders>
              <w:top w:val="nil"/>
              <w:left w:val="nil"/>
              <w:bottom w:val="single" w:sz="4" w:space="0" w:color="auto"/>
              <w:right w:val="nil"/>
            </w:tcBorders>
            <w:noWrap/>
            <w:vAlign w:val="center"/>
            <w:hideMark/>
          </w:tcPr>
          <w:p w14:paraId="70DA6EC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single" w:sz="4" w:space="0" w:color="auto"/>
              <w:bottom w:val="single" w:sz="4" w:space="0" w:color="auto"/>
              <w:right w:val="single" w:sz="8" w:space="0" w:color="auto"/>
            </w:tcBorders>
            <w:noWrap/>
            <w:vAlign w:val="center"/>
            <w:hideMark/>
          </w:tcPr>
          <w:p w14:paraId="06D90E2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6BF9CE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FA049C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Add a generator for backup power</w:t>
            </w:r>
          </w:p>
        </w:tc>
        <w:tc>
          <w:tcPr>
            <w:tcW w:w="1476" w:type="dxa"/>
            <w:tcBorders>
              <w:top w:val="nil"/>
              <w:left w:val="nil"/>
              <w:bottom w:val="single" w:sz="4" w:space="0" w:color="auto"/>
              <w:right w:val="nil"/>
            </w:tcBorders>
            <w:noWrap/>
            <w:vAlign w:val="center"/>
            <w:hideMark/>
          </w:tcPr>
          <w:p w14:paraId="733B248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3EF5CCD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92648AE"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2FF268F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lastRenderedPageBreak/>
              <w:t> </w:t>
            </w:r>
          </w:p>
        </w:tc>
        <w:tc>
          <w:tcPr>
            <w:tcW w:w="1476" w:type="dxa"/>
            <w:tcBorders>
              <w:top w:val="nil"/>
              <w:left w:val="nil"/>
              <w:bottom w:val="single" w:sz="4" w:space="0" w:color="auto"/>
              <w:right w:val="nil"/>
            </w:tcBorders>
            <w:shd w:val="thinDiagStripe" w:color="000000" w:fill="auto"/>
            <w:noWrap/>
            <w:vAlign w:val="center"/>
            <w:hideMark/>
          </w:tcPr>
          <w:p w14:paraId="01B17DB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1130688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6F1AF95"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1CBEF296" w14:textId="0C3A943B"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B</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Water Regulation Compliance</w:t>
            </w:r>
          </w:p>
        </w:tc>
        <w:tc>
          <w:tcPr>
            <w:tcW w:w="1476" w:type="dxa"/>
            <w:tcBorders>
              <w:top w:val="nil"/>
              <w:left w:val="nil"/>
              <w:bottom w:val="single" w:sz="4" w:space="0" w:color="auto"/>
              <w:right w:val="nil"/>
            </w:tcBorders>
            <w:noWrap/>
            <w:vAlign w:val="center"/>
            <w:hideMark/>
          </w:tcPr>
          <w:p w14:paraId="646D20E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4993676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876F195"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0E9BB9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Ensure drinking water receives appropriate treatment</w:t>
            </w:r>
          </w:p>
        </w:tc>
        <w:tc>
          <w:tcPr>
            <w:tcW w:w="1476" w:type="dxa"/>
            <w:tcBorders>
              <w:top w:val="nil"/>
              <w:left w:val="nil"/>
              <w:bottom w:val="single" w:sz="4" w:space="0" w:color="auto"/>
              <w:right w:val="nil"/>
            </w:tcBorders>
            <w:noWrap/>
            <w:vAlign w:val="center"/>
            <w:hideMark/>
          </w:tcPr>
          <w:p w14:paraId="51CDC51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400</w:t>
            </w:r>
          </w:p>
        </w:tc>
        <w:tc>
          <w:tcPr>
            <w:tcW w:w="1031" w:type="dxa"/>
            <w:tcBorders>
              <w:top w:val="nil"/>
              <w:left w:val="single" w:sz="4" w:space="0" w:color="auto"/>
              <w:bottom w:val="single" w:sz="4" w:space="0" w:color="auto"/>
              <w:right w:val="single" w:sz="8" w:space="0" w:color="auto"/>
            </w:tcBorders>
            <w:noWrap/>
            <w:vAlign w:val="center"/>
            <w:hideMark/>
          </w:tcPr>
          <w:p w14:paraId="5E0E5F9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80D6D19" w14:textId="77777777" w:rsidTr="00740F9E">
        <w:trPr>
          <w:trHeight w:val="510"/>
        </w:trPr>
        <w:tc>
          <w:tcPr>
            <w:tcW w:w="8053" w:type="dxa"/>
            <w:tcBorders>
              <w:top w:val="nil"/>
              <w:left w:val="single" w:sz="8" w:space="0" w:color="auto"/>
              <w:bottom w:val="single" w:sz="4" w:space="0" w:color="auto"/>
              <w:right w:val="single" w:sz="4" w:space="0" w:color="auto"/>
            </w:tcBorders>
            <w:vAlign w:val="center"/>
            <w:hideMark/>
          </w:tcPr>
          <w:p w14:paraId="361EE26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Provide adequate pressure (documented by Notice of Violation, Significant Deficiency or hydraulic model)</w:t>
            </w:r>
          </w:p>
        </w:tc>
        <w:tc>
          <w:tcPr>
            <w:tcW w:w="1476" w:type="dxa"/>
            <w:tcBorders>
              <w:top w:val="nil"/>
              <w:left w:val="nil"/>
              <w:bottom w:val="single" w:sz="4" w:space="0" w:color="auto"/>
              <w:right w:val="nil"/>
            </w:tcBorders>
            <w:noWrap/>
            <w:vAlign w:val="center"/>
            <w:hideMark/>
          </w:tcPr>
          <w:p w14:paraId="59DF89B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6FB4041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AF5F9B5"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61F3F68"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Resolving conditions of inadequate quality and quantity of a water source</w:t>
            </w:r>
          </w:p>
        </w:tc>
        <w:tc>
          <w:tcPr>
            <w:tcW w:w="1476" w:type="dxa"/>
            <w:tcBorders>
              <w:top w:val="nil"/>
              <w:left w:val="nil"/>
              <w:bottom w:val="single" w:sz="4" w:space="0" w:color="auto"/>
              <w:right w:val="nil"/>
            </w:tcBorders>
            <w:noWrap/>
            <w:vAlign w:val="center"/>
            <w:hideMark/>
          </w:tcPr>
          <w:p w14:paraId="57D0652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70C46F7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3ECAFEC"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97972CB" w14:textId="793EC766" w:rsidR="00740F9E" w:rsidRPr="008D77D8" w:rsidRDefault="00740F9E" w:rsidP="006D08F2">
            <w:pPr>
              <w:widowControl/>
              <w:autoSpaceDE/>
              <w:autoSpaceDN/>
              <w:rPr>
                <w:rFonts w:ascii="Calibri" w:hAnsi="Calibri" w:cs="Calibri"/>
                <w:color w:val="000000"/>
                <w:sz w:val="20"/>
                <w:szCs w:val="20"/>
              </w:rPr>
            </w:pPr>
            <w:proofErr w:type="gramStart"/>
            <w:r w:rsidRPr="008D77D8">
              <w:rPr>
                <w:rFonts w:ascii="Calibri" w:hAnsi="Calibri" w:cs="Calibri"/>
                <w:color w:val="000000"/>
                <w:sz w:val="20"/>
                <w:szCs w:val="20"/>
              </w:rPr>
              <w:t>●</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Enforcement</w:t>
            </w:r>
            <w:proofErr w:type="gramEnd"/>
            <w:r w:rsidRPr="008D77D8">
              <w:rPr>
                <w:rFonts w:ascii="Calibri" w:hAnsi="Calibri" w:cs="Calibri"/>
                <w:color w:val="000000"/>
                <w:sz w:val="20"/>
                <w:szCs w:val="20"/>
              </w:rPr>
              <w:t xml:space="preserve"> Targeting Tool (ETT) </w:t>
            </w:r>
            <w:proofErr w:type="gramStart"/>
            <w:r w:rsidRPr="008D77D8">
              <w:rPr>
                <w:rFonts w:ascii="Calibri" w:hAnsi="Calibri" w:cs="Calibri"/>
                <w:color w:val="000000"/>
                <w:sz w:val="20"/>
                <w:szCs w:val="20"/>
              </w:rPr>
              <w:t>health based</w:t>
            </w:r>
            <w:proofErr w:type="gramEnd"/>
            <w:r w:rsidRPr="008D77D8">
              <w:rPr>
                <w:rFonts w:ascii="Calibri" w:hAnsi="Calibri" w:cs="Calibri"/>
                <w:color w:val="000000"/>
                <w:sz w:val="20"/>
                <w:szCs w:val="20"/>
              </w:rPr>
              <w:t xml:space="preserve"> score ≥5 and &lt;11</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 xml:space="preserve"> </w:t>
            </w:r>
          </w:p>
        </w:tc>
        <w:tc>
          <w:tcPr>
            <w:tcW w:w="1476" w:type="dxa"/>
            <w:tcBorders>
              <w:top w:val="nil"/>
              <w:left w:val="nil"/>
              <w:bottom w:val="single" w:sz="4" w:space="0" w:color="auto"/>
              <w:right w:val="nil"/>
            </w:tcBorders>
            <w:noWrap/>
            <w:vAlign w:val="center"/>
            <w:hideMark/>
          </w:tcPr>
          <w:p w14:paraId="133587A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07A1C41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974FB92" w14:textId="77777777" w:rsidTr="00740F9E">
        <w:trPr>
          <w:trHeight w:val="510"/>
        </w:trPr>
        <w:tc>
          <w:tcPr>
            <w:tcW w:w="8053" w:type="dxa"/>
            <w:tcBorders>
              <w:top w:val="nil"/>
              <w:left w:val="single" w:sz="8" w:space="0" w:color="auto"/>
              <w:bottom w:val="single" w:sz="4" w:space="0" w:color="auto"/>
              <w:right w:val="single" w:sz="4" w:space="0" w:color="auto"/>
            </w:tcBorders>
            <w:vAlign w:val="center"/>
            <w:hideMark/>
          </w:tcPr>
          <w:p w14:paraId="0A25DD75" w14:textId="1CB1ACDD" w:rsidR="00740F9E" w:rsidRPr="008D77D8" w:rsidRDefault="00740F9E" w:rsidP="006D08F2">
            <w:pPr>
              <w:widowControl/>
              <w:autoSpaceDE/>
              <w:autoSpaceDN/>
              <w:rPr>
                <w:rFonts w:ascii="Calibri" w:hAnsi="Calibri" w:cs="Calibri"/>
                <w:color w:val="000000"/>
                <w:sz w:val="20"/>
                <w:szCs w:val="20"/>
              </w:rPr>
            </w:pPr>
            <w:proofErr w:type="gramStart"/>
            <w:r w:rsidRPr="008D77D8">
              <w:rPr>
                <w:rFonts w:ascii="Calibri" w:hAnsi="Calibri" w:cs="Calibri"/>
                <w:color w:val="000000"/>
                <w:sz w:val="20"/>
                <w:szCs w:val="20"/>
              </w:rPr>
              <w:t>●</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Preventing</w:t>
            </w:r>
            <w:proofErr w:type="gramEnd"/>
            <w:r w:rsidRPr="008D77D8">
              <w:rPr>
                <w:rFonts w:ascii="Calibri" w:hAnsi="Calibri" w:cs="Calibri"/>
                <w:color w:val="000000"/>
                <w:sz w:val="20"/>
                <w:szCs w:val="20"/>
              </w:rPr>
              <w:t xml:space="preserve"> or resolving aesthetic problems such as taste, odor, or discoloration of water </w:t>
            </w:r>
          </w:p>
        </w:tc>
        <w:tc>
          <w:tcPr>
            <w:tcW w:w="1476" w:type="dxa"/>
            <w:tcBorders>
              <w:top w:val="nil"/>
              <w:left w:val="nil"/>
              <w:bottom w:val="single" w:sz="4" w:space="0" w:color="auto"/>
              <w:right w:val="nil"/>
            </w:tcBorders>
            <w:noWrap/>
            <w:vAlign w:val="center"/>
            <w:hideMark/>
          </w:tcPr>
          <w:p w14:paraId="69AD9A7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single" w:sz="4" w:space="0" w:color="auto"/>
              <w:bottom w:val="single" w:sz="4" w:space="0" w:color="auto"/>
              <w:right w:val="single" w:sz="8" w:space="0" w:color="auto"/>
            </w:tcBorders>
            <w:noWrap/>
            <w:vAlign w:val="center"/>
            <w:hideMark/>
          </w:tcPr>
          <w:p w14:paraId="440C5DB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07B6117" w14:textId="77777777" w:rsidTr="00740F9E">
        <w:trPr>
          <w:trHeight w:val="300"/>
        </w:trPr>
        <w:tc>
          <w:tcPr>
            <w:tcW w:w="8053" w:type="dxa"/>
            <w:tcBorders>
              <w:top w:val="nil"/>
              <w:left w:val="single" w:sz="8" w:space="0" w:color="auto"/>
              <w:bottom w:val="nil"/>
              <w:right w:val="single" w:sz="4" w:space="0" w:color="auto"/>
            </w:tcBorders>
            <w:noWrap/>
            <w:vAlign w:val="center"/>
            <w:hideMark/>
          </w:tcPr>
          <w:p w14:paraId="07E3D6B3" w14:textId="3B91C91C" w:rsidR="00740F9E" w:rsidRPr="008D77D8" w:rsidRDefault="00740F9E" w:rsidP="006D08F2">
            <w:pPr>
              <w:widowControl/>
              <w:autoSpaceDE/>
              <w:autoSpaceDN/>
              <w:rPr>
                <w:rFonts w:ascii="Calibri" w:hAnsi="Calibri" w:cs="Calibri"/>
                <w:color w:val="000000"/>
                <w:sz w:val="20"/>
                <w:szCs w:val="20"/>
              </w:rPr>
            </w:pPr>
            <w:proofErr w:type="gramStart"/>
            <w:r w:rsidRPr="008D77D8">
              <w:rPr>
                <w:rFonts w:ascii="Calibri" w:hAnsi="Calibri" w:cs="Calibri"/>
                <w:color w:val="000000"/>
                <w:sz w:val="20"/>
                <w:szCs w:val="20"/>
              </w:rPr>
              <w:t>●</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Inadequate</w:t>
            </w:r>
            <w:proofErr w:type="gramEnd"/>
            <w:r w:rsidRPr="008D77D8">
              <w:rPr>
                <w:rFonts w:ascii="Calibri" w:hAnsi="Calibri" w:cs="Calibri"/>
                <w:color w:val="000000"/>
                <w:sz w:val="20"/>
                <w:szCs w:val="20"/>
              </w:rPr>
              <w:t xml:space="preserve"> individual home water supplies with supporting data/</w:t>
            </w:r>
            <w:proofErr w:type="gramStart"/>
            <w:r w:rsidRPr="008D77D8">
              <w:rPr>
                <w:rFonts w:ascii="Calibri" w:hAnsi="Calibri" w:cs="Calibri"/>
                <w:color w:val="000000"/>
                <w:sz w:val="20"/>
                <w:szCs w:val="20"/>
              </w:rPr>
              <w:t>evidence**</w:t>
            </w:r>
            <w:proofErr w:type="gramEnd"/>
            <w:r w:rsidRPr="008D77D8">
              <w:rPr>
                <w:rFonts w:ascii="Calibri" w:hAnsi="Calibri" w:cs="Calibri"/>
                <w:color w:val="000000"/>
                <w:sz w:val="20"/>
                <w:szCs w:val="20"/>
              </w:rPr>
              <w:t xml:space="preserve">* </w:t>
            </w:r>
          </w:p>
        </w:tc>
        <w:tc>
          <w:tcPr>
            <w:tcW w:w="1476" w:type="dxa"/>
            <w:tcBorders>
              <w:top w:val="nil"/>
              <w:left w:val="nil"/>
              <w:bottom w:val="nil"/>
              <w:right w:val="nil"/>
            </w:tcBorders>
            <w:noWrap/>
            <w:vAlign w:val="center"/>
            <w:hideMark/>
          </w:tcPr>
          <w:p w14:paraId="4AB04F8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500</w:t>
            </w:r>
          </w:p>
        </w:tc>
        <w:tc>
          <w:tcPr>
            <w:tcW w:w="1031" w:type="dxa"/>
            <w:tcBorders>
              <w:top w:val="nil"/>
              <w:left w:val="single" w:sz="4" w:space="0" w:color="auto"/>
              <w:bottom w:val="single" w:sz="4" w:space="0" w:color="auto"/>
              <w:right w:val="single" w:sz="8" w:space="0" w:color="auto"/>
            </w:tcBorders>
            <w:noWrap/>
            <w:vAlign w:val="center"/>
            <w:hideMark/>
          </w:tcPr>
          <w:p w14:paraId="68E7678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EA1DF8C" w14:textId="77777777" w:rsidTr="00740F9E">
        <w:trPr>
          <w:trHeight w:val="1200"/>
        </w:trPr>
        <w:tc>
          <w:tcPr>
            <w:tcW w:w="8053" w:type="dxa"/>
            <w:tcBorders>
              <w:top w:val="single" w:sz="4" w:space="0" w:color="auto"/>
              <w:left w:val="single" w:sz="8" w:space="0" w:color="auto"/>
              <w:bottom w:val="nil"/>
              <w:right w:val="nil"/>
            </w:tcBorders>
            <w:vAlign w:val="center"/>
            <w:hideMark/>
          </w:tcPr>
          <w:p w14:paraId="684867ED" w14:textId="56722B4B" w:rsidR="00740F9E" w:rsidRPr="008D77D8" w:rsidRDefault="00740F9E" w:rsidP="006D08F2">
            <w:pPr>
              <w:widowControl/>
              <w:autoSpaceDE/>
              <w:autoSpaceDN/>
              <w:rPr>
                <w:rFonts w:ascii="Calibri" w:hAnsi="Calibri" w:cs="Calibri"/>
                <w:color w:val="000000"/>
                <w:sz w:val="18"/>
                <w:szCs w:val="18"/>
              </w:rPr>
            </w:pPr>
            <w:r w:rsidRPr="008D77D8">
              <w:rPr>
                <w:rFonts w:ascii="Calibri" w:hAnsi="Calibri" w:cs="Calibri"/>
                <w:color w:val="000000"/>
                <w:sz w:val="18"/>
                <w:szCs w:val="18"/>
              </w:rPr>
              <w:t>***To be designated as a priority water line extension in the Public Health category (i.e. additional 250 points in Other Considerations) ≥ 50% of the potential residential connections in the proposed project area must be sampled for e-coli and/or have issues documented (i.e. inadequate</w:t>
            </w:r>
            <w:r w:rsidR="00D727FF" w:rsidRPr="008D77D8">
              <w:rPr>
                <w:rFonts w:ascii="Calibri" w:hAnsi="Calibri" w:cs="Calibri"/>
                <w:color w:val="000000"/>
                <w:sz w:val="18"/>
                <w:szCs w:val="18"/>
              </w:rPr>
              <w:t xml:space="preserve"> </w:t>
            </w:r>
            <w:r w:rsidRPr="008D77D8">
              <w:rPr>
                <w:rFonts w:ascii="Calibri" w:hAnsi="Calibri" w:cs="Calibri"/>
                <w:color w:val="000000"/>
                <w:sz w:val="18"/>
                <w:szCs w:val="18"/>
              </w:rPr>
              <w:t>individual supplies, failing wells, documented contamination when compared to a Primary Maximum Contaminant Level, water hauling, etc.)</w:t>
            </w:r>
          </w:p>
        </w:tc>
        <w:tc>
          <w:tcPr>
            <w:tcW w:w="1476" w:type="dxa"/>
            <w:tcBorders>
              <w:top w:val="single" w:sz="4" w:space="0" w:color="auto"/>
              <w:left w:val="nil"/>
              <w:bottom w:val="nil"/>
              <w:right w:val="nil"/>
            </w:tcBorders>
            <w:noWrap/>
            <w:vAlign w:val="center"/>
            <w:hideMark/>
          </w:tcPr>
          <w:p w14:paraId="3CC7CE4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nil"/>
              <w:right w:val="single" w:sz="8" w:space="0" w:color="auto"/>
            </w:tcBorders>
            <w:noWrap/>
            <w:vAlign w:val="center"/>
            <w:hideMark/>
          </w:tcPr>
          <w:p w14:paraId="584087A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609F2A7" w14:textId="77777777" w:rsidTr="00740F9E">
        <w:trPr>
          <w:trHeight w:val="480"/>
        </w:trPr>
        <w:tc>
          <w:tcPr>
            <w:tcW w:w="8053" w:type="dxa"/>
            <w:tcBorders>
              <w:top w:val="nil"/>
              <w:left w:val="single" w:sz="8" w:space="0" w:color="auto"/>
              <w:bottom w:val="nil"/>
              <w:right w:val="nil"/>
            </w:tcBorders>
            <w:vAlign w:val="center"/>
            <w:hideMark/>
          </w:tcPr>
          <w:p w14:paraId="6309E6AF" w14:textId="77777777" w:rsidR="00740F9E" w:rsidRPr="008D77D8" w:rsidRDefault="00740F9E" w:rsidP="006D08F2">
            <w:pPr>
              <w:widowControl/>
              <w:autoSpaceDE/>
              <w:autoSpaceDN/>
              <w:rPr>
                <w:rFonts w:ascii="Calibri" w:hAnsi="Calibri" w:cs="Calibri"/>
                <w:color w:val="000000"/>
                <w:sz w:val="18"/>
                <w:szCs w:val="18"/>
              </w:rPr>
            </w:pPr>
            <w:r w:rsidRPr="008D77D8">
              <w:rPr>
                <w:rFonts w:ascii="Calibri" w:hAnsi="Calibri" w:cs="Calibri"/>
                <w:color w:val="000000"/>
                <w:sz w:val="18"/>
                <w:szCs w:val="18"/>
              </w:rPr>
              <w:t>● For extensions that would serve 50 or more individual connections: at least 25% of those sampled/investigated must be e-coli positive and/or have a documented issue.</w:t>
            </w:r>
          </w:p>
        </w:tc>
        <w:tc>
          <w:tcPr>
            <w:tcW w:w="1476" w:type="dxa"/>
            <w:tcBorders>
              <w:top w:val="nil"/>
              <w:left w:val="nil"/>
              <w:bottom w:val="nil"/>
              <w:right w:val="nil"/>
            </w:tcBorders>
            <w:noWrap/>
            <w:vAlign w:val="center"/>
            <w:hideMark/>
          </w:tcPr>
          <w:p w14:paraId="0DE3A5D6" w14:textId="77777777" w:rsidR="00740F9E" w:rsidRPr="008D77D8" w:rsidRDefault="00740F9E" w:rsidP="006D08F2">
            <w:pPr>
              <w:widowControl/>
              <w:autoSpaceDE/>
              <w:autoSpaceDN/>
              <w:rPr>
                <w:rFonts w:ascii="Calibri" w:hAnsi="Calibri" w:cs="Calibri"/>
                <w:color w:val="000000"/>
                <w:sz w:val="18"/>
                <w:szCs w:val="18"/>
              </w:rPr>
            </w:pPr>
          </w:p>
        </w:tc>
        <w:tc>
          <w:tcPr>
            <w:tcW w:w="1031" w:type="dxa"/>
            <w:tcBorders>
              <w:top w:val="nil"/>
              <w:left w:val="nil"/>
              <w:bottom w:val="nil"/>
              <w:right w:val="single" w:sz="8" w:space="0" w:color="auto"/>
            </w:tcBorders>
            <w:noWrap/>
            <w:vAlign w:val="center"/>
            <w:hideMark/>
          </w:tcPr>
          <w:p w14:paraId="715DC98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C0E34B6" w14:textId="77777777" w:rsidTr="00740F9E">
        <w:trPr>
          <w:trHeight w:val="480"/>
        </w:trPr>
        <w:tc>
          <w:tcPr>
            <w:tcW w:w="8053" w:type="dxa"/>
            <w:tcBorders>
              <w:top w:val="nil"/>
              <w:left w:val="single" w:sz="8" w:space="0" w:color="auto"/>
              <w:bottom w:val="single" w:sz="4" w:space="0" w:color="auto"/>
              <w:right w:val="nil"/>
            </w:tcBorders>
            <w:vAlign w:val="center"/>
            <w:hideMark/>
          </w:tcPr>
          <w:p w14:paraId="36AEAEA2" w14:textId="77777777" w:rsidR="00740F9E" w:rsidRPr="008D77D8" w:rsidRDefault="00740F9E" w:rsidP="006D08F2">
            <w:pPr>
              <w:widowControl/>
              <w:autoSpaceDE/>
              <w:autoSpaceDN/>
              <w:rPr>
                <w:rFonts w:ascii="Calibri" w:hAnsi="Calibri" w:cs="Calibri"/>
                <w:color w:val="000000"/>
                <w:sz w:val="18"/>
                <w:szCs w:val="18"/>
              </w:rPr>
            </w:pPr>
            <w:r w:rsidRPr="008D77D8">
              <w:rPr>
                <w:rFonts w:ascii="Calibri" w:hAnsi="Calibri" w:cs="Calibri"/>
                <w:color w:val="000000"/>
                <w:sz w:val="18"/>
                <w:szCs w:val="18"/>
              </w:rPr>
              <w:t xml:space="preserve">● For extensions that would serve less than 50 individual connections: at least 50% of those sampled/investigated must be e-coli positive and/or have a documented issue </w:t>
            </w:r>
          </w:p>
        </w:tc>
        <w:tc>
          <w:tcPr>
            <w:tcW w:w="1476" w:type="dxa"/>
            <w:tcBorders>
              <w:top w:val="nil"/>
              <w:left w:val="nil"/>
              <w:bottom w:val="single" w:sz="4" w:space="0" w:color="auto"/>
              <w:right w:val="nil"/>
            </w:tcBorders>
            <w:noWrap/>
            <w:vAlign w:val="center"/>
            <w:hideMark/>
          </w:tcPr>
          <w:p w14:paraId="666E5F0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333FA79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6FDA0AD"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3808FB9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4BA7AE2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7AD1357B"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B8A741E"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0B09E365" w14:textId="76DD8120"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C.</w:t>
            </w:r>
            <w:r w:rsidR="00D727FF" w:rsidRPr="008D77D8">
              <w:rPr>
                <w:rFonts w:ascii="Calibri" w:hAnsi="Calibri" w:cs="Calibri"/>
                <w:b/>
                <w:bCs/>
                <w:color w:val="000000"/>
                <w:sz w:val="20"/>
                <w:szCs w:val="20"/>
                <w:u w:val="single"/>
              </w:rPr>
              <w:t xml:space="preserve"> </w:t>
            </w:r>
            <w:proofErr w:type="gramStart"/>
            <w:r w:rsidRPr="008D77D8">
              <w:rPr>
                <w:rFonts w:ascii="Calibri" w:hAnsi="Calibri" w:cs="Calibri"/>
                <w:b/>
                <w:bCs/>
                <w:color w:val="000000"/>
                <w:sz w:val="20"/>
                <w:szCs w:val="20"/>
                <w:u w:val="single"/>
              </w:rPr>
              <w:t>Regionalization</w:t>
            </w:r>
            <w:r w:rsidR="00D727FF" w:rsidRPr="008D77D8">
              <w:rPr>
                <w:rFonts w:ascii="Calibri" w:hAnsi="Calibri" w:cs="Calibri"/>
                <w:b/>
                <w:bCs/>
                <w:color w:val="000000"/>
                <w:sz w:val="20"/>
                <w:szCs w:val="20"/>
              </w:rPr>
              <w:t xml:space="preserve">  </w:t>
            </w:r>
            <w:r w:rsidRPr="008D77D8">
              <w:rPr>
                <w:rFonts w:ascii="Calibri" w:hAnsi="Calibri" w:cs="Calibri"/>
                <w:b/>
                <w:bCs/>
                <w:color w:val="000000"/>
                <w:sz w:val="20"/>
                <w:szCs w:val="20"/>
              </w:rPr>
              <w:t>(</w:t>
            </w:r>
            <w:proofErr w:type="gramEnd"/>
            <w:r w:rsidRPr="008D77D8">
              <w:rPr>
                <w:rFonts w:ascii="Calibri" w:hAnsi="Calibri" w:cs="Calibri"/>
                <w:b/>
                <w:bCs/>
                <w:color w:val="000000"/>
                <w:sz w:val="20"/>
                <w:szCs w:val="20"/>
              </w:rPr>
              <w:t>consolidation of non-complying waterworks - pick 1.</w:t>
            </w:r>
            <w:r w:rsidR="00D727FF" w:rsidRPr="008D77D8">
              <w:rPr>
                <w:rFonts w:ascii="Calibri" w:hAnsi="Calibri" w:cs="Calibri"/>
                <w:b/>
                <w:bCs/>
                <w:color w:val="000000"/>
                <w:sz w:val="20"/>
                <w:szCs w:val="20"/>
              </w:rPr>
              <w:t xml:space="preserve"> </w:t>
            </w:r>
            <w:r w:rsidRPr="008D77D8">
              <w:rPr>
                <w:rFonts w:ascii="Calibri" w:hAnsi="Calibri" w:cs="Calibri"/>
                <w:b/>
                <w:bCs/>
                <w:color w:val="000000"/>
                <w:sz w:val="20"/>
                <w:szCs w:val="20"/>
              </w:rPr>
              <w:t>NOT additive)</w:t>
            </w:r>
          </w:p>
        </w:tc>
        <w:tc>
          <w:tcPr>
            <w:tcW w:w="1476" w:type="dxa"/>
            <w:tcBorders>
              <w:top w:val="nil"/>
              <w:left w:val="nil"/>
              <w:bottom w:val="single" w:sz="4" w:space="0" w:color="auto"/>
              <w:right w:val="nil"/>
            </w:tcBorders>
            <w:noWrap/>
            <w:vAlign w:val="center"/>
            <w:hideMark/>
          </w:tcPr>
          <w:p w14:paraId="1565454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692069D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13EB13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9957027"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Taking over, or providing water service to, customers of an abandoned waterworks.</w:t>
            </w:r>
          </w:p>
        </w:tc>
        <w:tc>
          <w:tcPr>
            <w:tcW w:w="1476" w:type="dxa"/>
            <w:tcBorders>
              <w:top w:val="nil"/>
              <w:left w:val="nil"/>
              <w:bottom w:val="single" w:sz="4" w:space="0" w:color="auto"/>
              <w:right w:val="single" w:sz="4" w:space="0" w:color="auto"/>
            </w:tcBorders>
            <w:noWrap/>
            <w:vAlign w:val="center"/>
            <w:hideMark/>
          </w:tcPr>
          <w:p w14:paraId="64FC460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300</w:t>
            </w:r>
          </w:p>
        </w:tc>
        <w:tc>
          <w:tcPr>
            <w:tcW w:w="1031" w:type="dxa"/>
            <w:tcBorders>
              <w:top w:val="nil"/>
              <w:left w:val="nil"/>
              <w:bottom w:val="single" w:sz="4" w:space="0" w:color="auto"/>
              <w:right w:val="single" w:sz="8" w:space="0" w:color="auto"/>
            </w:tcBorders>
            <w:noWrap/>
            <w:vAlign w:val="center"/>
            <w:hideMark/>
          </w:tcPr>
          <w:p w14:paraId="3D1888A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42EAAB8"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D21DA0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Consolidation of multiple non-complying waterworks</w:t>
            </w:r>
          </w:p>
        </w:tc>
        <w:tc>
          <w:tcPr>
            <w:tcW w:w="1476" w:type="dxa"/>
            <w:tcBorders>
              <w:top w:val="nil"/>
              <w:left w:val="nil"/>
              <w:bottom w:val="single" w:sz="4" w:space="0" w:color="auto"/>
              <w:right w:val="single" w:sz="4" w:space="0" w:color="auto"/>
            </w:tcBorders>
            <w:noWrap/>
            <w:vAlign w:val="center"/>
            <w:hideMark/>
          </w:tcPr>
          <w:p w14:paraId="66B553C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nil"/>
              <w:bottom w:val="single" w:sz="4" w:space="0" w:color="auto"/>
              <w:right w:val="single" w:sz="8" w:space="0" w:color="auto"/>
            </w:tcBorders>
            <w:noWrap/>
            <w:vAlign w:val="center"/>
            <w:hideMark/>
          </w:tcPr>
          <w:p w14:paraId="555B8CA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5A65464"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D58317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Consolidation of one non-complying waterworks</w:t>
            </w:r>
          </w:p>
        </w:tc>
        <w:tc>
          <w:tcPr>
            <w:tcW w:w="1476" w:type="dxa"/>
            <w:tcBorders>
              <w:top w:val="nil"/>
              <w:left w:val="nil"/>
              <w:bottom w:val="single" w:sz="4" w:space="0" w:color="auto"/>
              <w:right w:val="single" w:sz="4" w:space="0" w:color="auto"/>
            </w:tcBorders>
            <w:noWrap/>
            <w:vAlign w:val="center"/>
            <w:hideMark/>
          </w:tcPr>
          <w:p w14:paraId="3B6E1C7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nil"/>
              <w:bottom w:val="single" w:sz="4" w:space="0" w:color="auto"/>
              <w:right w:val="single" w:sz="8" w:space="0" w:color="auto"/>
            </w:tcBorders>
            <w:noWrap/>
            <w:vAlign w:val="center"/>
            <w:hideMark/>
          </w:tcPr>
          <w:p w14:paraId="0A46B54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8BE43D2"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9005F1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Consolidation or interconnection of complying waterworks</w:t>
            </w:r>
          </w:p>
        </w:tc>
        <w:tc>
          <w:tcPr>
            <w:tcW w:w="1476" w:type="dxa"/>
            <w:tcBorders>
              <w:top w:val="nil"/>
              <w:left w:val="nil"/>
              <w:bottom w:val="single" w:sz="4" w:space="0" w:color="auto"/>
              <w:right w:val="single" w:sz="4" w:space="0" w:color="auto"/>
            </w:tcBorders>
            <w:noWrap/>
            <w:vAlign w:val="center"/>
            <w:hideMark/>
          </w:tcPr>
          <w:p w14:paraId="4E4DACC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110</w:t>
            </w:r>
          </w:p>
        </w:tc>
        <w:tc>
          <w:tcPr>
            <w:tcW w:w="1031" w:type="dxa"/>
            <w:tcBorders>
              <w:top w:val="nil"/>
              <w:left w:val="nil"/>
              <w:bottom w:val="single" w:sz="4" w:space="0" w:color="auto"/>
              <w:right w:val="single" w:sz="8" w:space="0" w:color="auto"/>
            </w:tcBorders>
            <w:noWrap/>
            <w:vAlign w:val="center"/>
            <w:hideMark/>
          </w:tcPr>
          <w:p w14:paraId="14E9646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5556CDB"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63CBF2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Service to areas with individual homes having quality/quantity problems</w:t>
            </w:r>
          </w:p>
        </w:tc>
        <w:tc>
          <w:tcPr>
            <w:tcW w:w="1476" w:type="dxa"/>
            <w:tcBorders>
              <w:top w:val="nil"/>
              <w:left w:val="nil"/>
              <w:bottom w:val="single" w:sz="4" w:space="0" w:color="auto"/>
              <w:right w:val="single" w:sz="4" w:space="0" w:color="auto"/>
            </w:tcBorders>
            <w:noWrap/>
            <w:vAlign w:val="center"/>
            <w:hideMark/>
          </w:tcPr>
          <w:p w14:paraId="337E42A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200</w:t>
            </w:r>
          </w:p>
        </w:tc>
        <w:tc>
          <w:tcPr>
            <w:tcW w:w="1031" w:type="dxa"/>
            <w:tcBorders>
              <w:top w:val="nil"/>
              <w:left w:val="nil"/>
              <w:bottom w:val="single" w:sz="4" w:space="0" w:color="auto"/>
              <w:right w:val="single" w:sz="8" w:space="0" w:color="auto"/>
            </w:tcBorders>
            <w:noWrap/>
            <w:vAlign w:val="center"/>
            <w:hideMark/>
          </w:tcPr>
          <w:p w14:paraId="0DCF50A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29BD394"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193E002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7A979B0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252409E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4CF368C"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F10C29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PWS Created (Indicate Yes or No)</w:t>
            </w:r>
          </w:p>
        </w:tc>
        <w:tc>
          <w:tcPr>
            <w:tcW w:w="1476" w:type="dxa"/>
            <w:tcBorders>
              <w:top w:val="nil"/>
              <w:left w:val="nil"/>
              <w:bottom w:val="single" w:sz="4" w:space="0" w:color="auto"/>
              <w:right w:val="single" w:sz="4" w:space="0" w:color="auto"/>
            </w:tcBorders>
            <w:shd w:val="thinDiagStripe" w:color="000000" w:fill="auto"/>
            <w:noWrap/>
            <w:vAlign w:val="center"/>
            <w:hideMark/>
          </w:tcPr>
          <w:p w14:paraId="2106BF9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1AF1442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C332FE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C6C782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PWS Eliminated (Indicate Yes or No)</w:t>
            </w:r>
          </w:p>
        </w:tc>
        <w:tc>
          <w:tcPr>
            <w:tcW w:w="1476" w:type="dxa"/>
            <w:tcBorders>
              <w:top w:val="nil"/>
              <w:left w:val="nil"/>
              <w:bottom w:val="single" w:sz="4" w:space="0" w:color="auto"/>
              <w:right w:val="single" w:sz="4" w:space="0" w:color="auto"/>
            </w:tcBorders>
            <w:shd w:val="thinDiagStripe" w:color="000000" w:fill="auto"/>
            <w:noWrap/>
            <w:vAlign w:val="center"/>
            <w:hideMark/>
          </w:tcPr>
          <w:p w14:paraId="384AE542" w14:textId="30E99362" w:rsidR="00740F9E" w:rsidRPr="008D77D8" w:rsidRDefault="00D727FF"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 </w:t>
            </w:r>
          </w:p>
        </w:tc>
        <w:tc>
          <w:tcPr>
            <w:tcW w:w="1031" w:type="dxa"/>
            <w:tcBorders>
              <w:top w:val="nil"/>
              <w:left w:val="nil"/>
              <w:bottom w:val="single" w:sz="4" w:space="0" w:color="auto"/>
              <w:right w:val="single" w:sz="8" w:space="0" w:color="auto"/>
            </w:tcBorders>
            <w:noWrap/>
            <w:vAlign w:val="center"/>
            <w:hideMark/>
          </w:tcPr>
          <w:p w14:paraId="2C49F47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233227A" w14:textId="77777777" w:rsidTr="00740F9E">
        <w:trPr>
          <w:trHeight w:val="600"/>
        </w:trPr>
        <w:tc>
          <w:tcPr>
            <w:tcW w:w="8053" w:type="dxa"/>
            <w:tcBorders>
              <w:top w:val="nil"/>
              <w:left w:val="single" w:sz="8" w:space="0" w:color="auto"/>
              <w:bottom w:val="single" w:sz="4" w:space="0" w:color="auto"/>
              <w:right w:val="nil"/>
            </w:tcBorders>
            <w:noWrap/>
            <w:hideMark/>
          </w:tcPr>
          <w:p w14:paraId="42C161C5"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PWS Created/Eliminated Comments:</w:t>
            </w:r>
          </w:p>
        </w:tc>
        <w:tc>
          <w:tcPr>
            <w:tcW w:w="1476" w:type="dxa"/>
            <w:tcBorders>
              <w:top w:val="nil"/>
              <w:left w:val="nil"/>
              <w:bottom w:val="single" w:sz="4" w:space="0" w:color="auto"/>
              <w:right w:val="nil"/>
            </w:tcBorders>
            <w:noWrap/>
            <w:vAlign w:val="center"/>
            <w:hideMark/>
          </w:tcPr>
          <w:p w14:paraId="0FD0ACE5"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5385770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E23F062"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3EBE763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2BCAECC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22EAA0B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38AA6D8" w14:textId="77777777" w:rsidTr="00740F9E">
        <w:trPr>
          <w:trHeight w:val="315"/>
        </w:trPr>
        <w:tc>
          <w:tcPr>
            <w:tcW w:w="8053" w:type="dxa"/>
            <w:tcBorders>
              <w:top w:val="nil"/>
              <w:left w:val="single" w:sz="8" w:space="0" w:color="auto"/>
              <w:bottom w:val="single" w:sz="8" w:space="0" w:color="auto"/>
              <w:right w:val="single" w:sz="4" w:space="0" w:color="auto"/>
            </w:tcBorders>
            <w:noWrap/>
            <w:vAlign w:val="center"/>
            <w:hideMark/>
          </w:tcPr>
          <w:p w14:paraId="63C9B505"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8" w:space="0" w:color="auto"/>
              <w:right w:val="single" w:sz="4" w:space="0" w:color="auto"/>
            </w:tcBorders>
            <w:noWrap/>
            <w:vAlign w:val="center"/>
            <w:hideMark/>
          </w:tcPr>
          <w:p w14:paraId="4C325D5A"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Subtotal:</w:t>
            </w:r>
          </w:p>
        </w:tc>
        <w:tc>
          <w:tcPr>
            <w:tcW w:w="1031" w:type="dxa"/>
            <w:tcBorders>
              <w:top w:val="nil"/>
              <w:left w:val="nil"/>
              <w:bottom w:val="single" w:sz="8" w:space="0" w:color="auto"/>
              <w:right w:val="single" w:sz="8" w:space="0" w:color="auto"/>
            </w:tcBorders>
            <w:noWrap/>
            <w:vAlign w:val="center"/>
            <w:hideMark/>
          </w:tcPr>
          <w:p w14:paraId="43342C0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r>
      <w:tr w:rsidR="00740F9E" w:rsidRPr="008D77D8" w14:paraId="4E99685D" w14:textId="77777777" w:rsidTr="00740F9E">
        <w:trPr>
          <w:trHeight w:val="315"/>
        </w:trPr>
        <w:tc>
          <w:tcPr>
            <w:tcW w:w="8053" w:type="dxa"/>
            <w:tcBorders>
              <w:top w:val="nil"/>
              <w:left w:val="nil"/>
              <w:bottom w:val="nil"/>
              <w:right w:val="nil"/>
            </w:tcBorders>
            <w:noWrap/>
            <w:vAlign w:val="center"/>
            <w:hideMark/>
          </w:tcPr>
          <w:p w14:paraId="392F882F" w14:textId="77777777" w:rsidR="00740F9E" w:rsidRPr="008D77D8" w:rsidRDefault="00740F9E" w:rsidP="006D08F2">
            <w:pPr>
              <w:widowControl/>
              <w:autoSpaceDE/>
              <w:autoSpaceDN/>
              <w:jc w:val="center"/>
              <w:rPr>
                <w:rFonts w:ascii="Calibri" w:hAnsi="Calibri" w:cs="Calibri"/>
                <w:color w:val="000000"/>
                <w:sz w:val="20"/>
                <w:szCs w:val="20"/>
              </w:rPr>
            </w:pPr>
          </w:p>
        </w:tc>
        <w:tc>
          <w:tcPr>
            <w:tcW w:w="1476" w:type="dxa"/>
            <w:tcBorders>
              <w:top w:val="nil"/>
              <w:left w:val="nil"/>
              <w:bottom w:val="nil"/>
              <w:right w:val="nil"/>
            </w:tcBorders>
            <w:noWrap/>
            <w:vAlign w:val="bottom"/>
            <w:hideMark/>
          </w:tcPr>
          <w:p w14:paraId="6F883323" w14:textId="77777777" w:rsidR="00740F9E" w:rsidRPr="008D77D8" w:rsidRDefault="00740F9E" w:rsidP="006D08F2">
            <w:pPr>
              <w:widowControl/>
              <w:autoSpaceDE/>
              <w:autoSpaceDN/>
              <w:ind w:firstLineChars="900" w:firstLine="1800"/>
              <w:rPr>
                <w:sz w:val="20"/>
                <w:szCs w:val="20"/>
              </w:rPr>
            </w:pPr>
          </w:p>
        </w:tc>
        <w:tc>
          <w:tcPr>
            <w:tcW w:w="1031" w:type="dxa"/>
            <w:tcBorders>
              <w:top w:val="nil"/>
              <w:left w:val="nil"/>
              <w:bottom w:val="nil"/>
              <w:right w:val="nil"/>
            </w:tcBorders>
            <w:noWrap/>
            <w:vAlign w:val="bottom"/>
            <w:hideMark/>
          </w:tcPr>
          <w:p w14:paraId="571EAB2B" w14:textId="77777777" w:rsidR="00740F9E" w:rsidRPr="008D77D8" w:rsidRDefault="00740F9E" w:rsidP="006D08F2">
            <w:pPr>
              <w:widowControl/>
              <w:autoSpaceDE/>
              <w:autoSpaceDN/>
              <w:rPr>
                <w:sz w:val="20"/>
                <w:szCs w:val="20"/>
              </w:rPr>
            </w:pPr>
          </w:p>
        </w:tc>
      </w:tr>
      <w:tr w:rsidR="00740F9E" w:rsidRPr="008D77D8" w14:paraId="659504A5" w14:textId="77777777" w:rsidTr="00740F9E">
        <w:trPr>
          <w:trHeight w:val="510"/>
        </w:trPr>
        <w:tc>
          <w:tcPr>
            <w:tcW w:w="8053" w:type="dxa"/>
            <w:tcBorders>
              <w:top w:val="single" w:sz="8" w:space="0" w:color="auto"/>
              <w:left w:val="single" w:sz="8" w:space="0" w:color="auto"/>
              <w:bottom w:val="single" w:sz="4" w:space="0" w:color="auto"/>
              <w:right w:val="single" w:sz="4" w:space="0" w:color="auto"/>
            </w:tcBorders>
            <w:noWrap/>
            <w:vAlign w:val="center"/>
            <w:hideMark/>
          </w:tcPr>
          <w:p w14:paraId="6E458628" w14:textId="77777777" w:rsidR="00740F9E" w:rsidRPr="008D77D8" w:rsidRDefault="00740F9E" w:rsidP="006D08F2">
            <w:pPr>
              <w:widowControl/>
              <w:autoSpaceDE/>
              <w:autoSpaceDN/>
              <w:rPr>
                <w:rFonts w:ascii="Calibri" w:hAnsi="Calibri" w:cs="Calibri"/>
                <w:b/>
                <w:bCs/>
                <w:color w:val="000000"/>
                <w:sz w:val="24"/>
                <w:szCs w:val="24"/>
                <w:u w:val="single"/>
              </w:rPr>
            </w:pPr>
            <w:r w:rsidRPr="008D77D8">
              <w:rPr>
                <w:rFonts w:ascii="Calibri" w:hAnsi="Calibri" w:cs="Calibri"/>
                <w:b/>
                <w:bCs/>
                <w:color w:val="000000"/>
                <w:sz w:val="24"/>
                <w:szCs w:val="24"/>
                <w:u w:val="single"/>
              </w:rPr>
              <w:t>Section III – Other Considerations (Maximum Possible Score = 78 points)</w:t>
            </w:r>
          </w:p>
        </w:tc>
        <w:tc>
          <w:tcPr>
            <w:tcW w:w="1476" w:type="dxa"/>
            <w:tcBorders>
              <w:top w:val="single" w:sz="8" w:space="0" w:color="auto"/>
              <w:left w:val="nil"/>
              <w:bottom w:val="single" w:sz="4" w:space="0" w:color="auto"/>
              <w:right w:val="single" w:sz="4" w:space="0" w:color="auto"/>
            </w:tcBorders>
            <w:vAlign w:val="center"/>
            <w:hideMark/>
          </w:tcPr>
          <w:p w14:paraId="7C38AC95"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Available</w:t>
            </w:r>
          </w:p>
        </w:tc>
        <w:tc>
          <w:tcPr>
            <w:tcW w:w="1031" w:type="dxa"/>
            <w:tcBorders>
              <w:top w:val="single" w:sz="8" w:space="0" w:color="auto"/>
              <w:left w:val="nil"/>
              <w:bottom w:val="single" w:sz="4" w:space="0" w:color="auto"/>
              <w:right w:val="single" w:sz="8" w:space="0" w:color="auto"/>
            </w:tcBorders>
            <w:vAlign w:val="center"/>
            <w:hideMark/>
          </w:tcPr>
          <w:p w14:paraId="2541BA4E"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Points Awarded</w:t>
            </w:r>
          </w:p>
        </w:tc>
      </w:tr>
      <w:tr w:rsidR="00740F9E" w:rsidRPr="008D77D8" w14:paraId="403E4092"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20E024A1" w14:textId="0EBF237A"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Affordability</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(Points are not additive)</w:t>
            </w:r>
          </w:p>
        </w:tc>
        <w:tc>
          <w:tcPr>
            <w:tcW w:w="1476" w:type="dxa"/>
            <w:tcBorders>
              <w:top w:val="nil"/>
              <w:left w:val="nil"/>
              <w:bottom w:val="single" w:sz="4" w:space="0" w:color="auto"/>
              <w:right w:val="nil"/>
            </w:tcBorders>
            <w:noWrap/>
            <w:vAlign w:val="center"/>
            <w:hideMark/>
          </w:tcPr>
          <w:p w14:paraId="51EA038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199690D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D4A9834"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F40060B"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&lt;$30,000 MHI</w:t>
            </w:r>
          </w:p>
        </w:tc>
        <w:tc>
          <w:tcPr>
            <w:tcW w:w="1476" w:type="dxa"/>
            <w:tcBorders>
              <w:top w:val="nil"/>
              <w:left w:val="nil"/>
              <w:bottom w:val="single" w:sz="4" w:space="0" w:color="auto"/>
              <w:right w:val="single" w:sz="4" w:space="0" w:color="auto"/>
            </w:tcBorders>
            <w:noWrap/>
            <w:vAlign w:val="center"/>
            <w:hideMark/>
          </w:tcPr>
          <w:p w14:paraId="4634A82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15</w:t>
            </w:r>
          </w:p>
        </w:tc>
        <w:tc>
          <w:tcPr>
            <w:tcW w:w="1031" w:type="dxa"/>
            <w:tcBorders>
              <w:top w:val="nil"/>
              <w:left w:val="nil"/>
              <w:bottom w:val="single" w:sz="4" w:space="0" w:color="auto"/>
              <w:right w:val="single" w:sz="8" w:space="0" w:color="auto"/>
            </w:tcBorders>
            <w:noWrap/>
            <w:vAlign w:val="center"/>
            <w:hideMark/>
          </w:tcPr>
          <w:p w14:paraId="6D23463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3CD9080"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1BE0172"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$30,000 ≤ MHI ≤ $37,000</w:t>
            </w:r>
          </w:p>
        </w:tc>
        <w:tc>
          <w:tcPr>
            <w:tcW w:w="1476" w:type="dxa"/>
            <w:tcBorders>
              <w:top w:val="nil"/>
              <w:left w:val="nil"/>
              <w:bottom w:val="single" w:sz="4" w:space="0" w:color="auto"/>
              <w:right w:val="single" w:sz="4" w:space="0" w:color="auto"/>
            </w:tcBorders>
            <w:noWrap/>
            <w:vAlign w:val="center"/>
            <w:hideMark/>
          </w:tcPr>
          <w:p w14:paraId="614A444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12</w:t>
            </w:r>
          </w:p>
        </w:tc>
        <w:tc>
          <w:tcPr>
            <w:tcW w:w="1031" w:type="dxa"/>
            <w:tcBorders>
              <w:top w:val="nil"/>
              <w:left w:val="nil"/>
              <w:bottom w:val="single" w:sz="4" w:space="0" w:color="auto"/>
              <w:right w:val="single" w:sz="8" w:space="0" w:color="auto"/>
            </w:tcBorders>
            <w:noWrap/>
            <w:vAlign w:val="center"/>
            <w:hideMark/>
          </w:tcPr>
          <w:p w14:paraId="792B78F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0830A8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02D4B73"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 xml:space="preserve">$37,001 ≤ MHI ≤ $45,000 </w:t>
            </w:r>
          </w:p>
        </w:tc>
        <w:tc>
          <w:tcPr>
            <w:tcW w:w="1476" w:type="dxa"/>
            <w:tcBorders>
              <w:top w:val="nil"/>
              <w:left w:val="nil"/>
              <w:bottom w:val="single" w:sz="4" w:space="0" w:color="auto"/>
              <w:right w:val="single" w:sz="4" w:space="0" w:color="auto"/>
            </w:tcBorders>
            <w:noWrap/>
            <w:vAlign w:val="center"/>
            <w:hideMark/>
          </w:tcPr>
          <w:p w14:paraId="74B4698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10</w:t>
            </w:r>
          </w:p>
        </w:tc>
        <w:tc>
          <w:tcPr>
            <w:tcW w:w="1031" w:type="dxa"/>
            <w:tcBorders>
              <w:top w:val="nil"/>
              <w:left w:val="nil"/>
              <w:bottom w:val="single" w:sz="4" w:space="0" w:color="auto"/>
              <w:right w:val="single" w:sz="8" w:space="0" w:color="auto"/>
            </w:tcBorders>
            <w:noWrap/>
            <w:vAlign w:val="center"/>
            <w:hideMark/>
          </w:tcPr>
          <w:p w14:paraId="4840FEF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03BBA5A"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E369B21"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 xml:space="preserve">$45,001 ≤ MHI ≤ $54,000 </w:t>
            </w:r>
          </w:p>
        </w:tc>
        <w:tc>
          <w:tcPr>
            <w:tcW w:w="1476" w:type="dxa"/>
            <w:tcBorders>
              <w:top w:val="nil"/>
              <w:left w:val="nil"/>
              <w:bottom w:val="single" w:sz="4" w:space="0" w:color="auto"/>
              <w:right w:val="single" w:sz="4" w:space="0" w:color="auto"/>
            </w:tcBorders>
            <w:noWrap/>
            <w:vAlign w:val="center"/>
            <w:hideMark/>
          </w:tcPr>
          <w:p w14:paraId="4FEA178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8</w:t>
            </w:r>
          </w:p>
        </w:tc>
        <w:tc>
          <w:tcPr>
            <w:tcW w:w="1031" w:type="dxa"/>
            <w:tcBorders>
              <w:top w:val="nil"/>
              <w:left w:val="nil"/>
              <w:bottom w:val="single" w:sz="4" w:space="0" w:color="auto"/>
              <w:right w:val="single" w:sz="8" w:space="0" w:color="auto"/>
            </w:tcBorders>
            <w:noWrap/>
            <w:vAlign w:val="center"/>
            <w:hideMark/>
          </w:tcPr>
          <w:p w14:paraId="629599D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D2CDCD7"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E68E218"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 xml:space="preserve">$54,001 ≤ MHI ≤ $66,000 </w:t>
            </w:r>
          </w:p>
        </w:tc>
        <w:tc>
          <w:tcPr>
            <w:tcW w:w="1476" w:type="dxa"/>
            <w:tcBorders>
              <w:top w:val="nil"/>
              <w:left w:val="nil"/>
              <w:bottom w:val="single" w:sz="4" w:space="0" w:color="auto"/>
              <w:right w:val="single" w:sz="4" w:space="0" w:color="auto"/>
            </w:tcBorders>
            <w:noWrap/>
            <w:vAlign w:val="center"/>
            <w:hideMark/>
          </w:tcPr>
          <w:p w14:paraId="08B66C9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6</w:t>
            </w:r>
          </w:p>
        </w:tc>
        <w:tc>
          <w:tcPr>
            <w:tcW w:w="1031" w:type="dxa"/>
            <w:tcBorders>
              <w:top w:val="nil"/>
              <w:left w:val="nil"/>
              <w:bottom w:val="single" w:sz="4" w:space="0" w:color="auto"/>
              <w:right w:val="single" w:sz="8" w:space="0" w:color="auto"/>
            </w:tcBorders>
            <w:noWrap/>
            <w:vAlign w:val="center"/>
            <w:hideMark/>
          </w:tcPr>
          <w:p w14:paraId="596FB2D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6897043"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D20EBD0" w14:textId="5FD6C868"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MHI &gt; $66,001</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 xml:space="preserve"> </w:t>
            </w:r>
          </w:p>
        </w:tc>
        <w:tc>
          <w:tcPr>
            <w:tcW w:w="1476" w:type="dxa"/>
            <w:tcBorders>
              <w:top w:val="nil"/>
              <w:left w:val="nil"/>
              <w:bottom w:val="single" w:sz="4" w:space="0" w:color="auto"/>
              <w:right w:val="single" w:sz="4" w:space="0" w:color="auto"/>
            </w:tcBorders>
            <w:noWrap/>
            <w:vAlign w:val="center"/>
            <w:hideMark/>
          </w:tcPr>
          <w:p w14:paraId="63035DE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1335805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023138F2"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61A467F8"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7B3586A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4F7CCF8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71D4E37"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35624E6B" w14:textId="5228D3D3" w:rsidR="00740F9E" w:rsidRPr="008D77D8" w:rsidRDefault="00D727FF"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 xml:space="preserve"> </w:t>
            </w:r>
            <w:r w:rsidR="00740F9E" w:rsidRPr="008D77D8">
              <w:rPr>
                <w:rFonts w:ascii="Calibri" w:hAnsi="Calibri" w:cs="Calibri"/>
                <w:b/>
                <w:bCs/>
                <w:color w:val="000000"/>
                <w:sz w:val="20"/>
                <w:szCs w:val="20"/>
                <w:u w:val="single"/>
              </w:rPr>
              <w:t>Average Water Rates as % of MHI</w:t>
            </w:r>
            <w:r w:rsidRPr="008D77D8">
              <w:rPr>
                <w:rFonts w:ascii="Calibri" w:hAnsi="Calibri" w:cs="Calibri"/>
                <w:b/>
                <w:bCs/>
                <w:color w:val="000000"/>
                <w:sz w:val="20"/>
                <w:szCs w:val="20"/>
                <w:u w:val="single"/>
              </w:rPr>
              <w:t xml:space="preserve"> </w:t>
            </w:r>
          </w:p>
        </w:tc>
        <w:tc>
          <w:tcPr>
            <w:tcW w:w="1476" w:type="dxa"/>
            <w:tcBorders>
              <w:top w:val="nil"/>
              <w:left w:val="nil"/>
              <w:bottom w:val="single" w:sz="4" w:space="0" w:color="auto"/>
              <w:right w:val="nil"/>
            </w:tcBorders>
            <w:noWrap/>
            <w:vAlign w:val="center"/>
            <w:hideMark/>
          </w:tcPr>
          <w:p w14:paraId="176722B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6AAA6CD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A5700E3"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A4E67FA"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 xml:space="preserve">Avg Water Rate </w:t>
            </w:r>
            <w:r w:rsidRPr="008D77D8">
              <w:rPr>
                <w:rFonts w:ascii="Calibri" w:hAnsi="Calibri" w:cs="Calibri"/>
                <w:color w:val="000000"/>
                <w:sz w:val="20"/>
                <w:szCs w:val="20"/>
                <w:u w:val="single"/>
              </w:rPr>
              <w:t>&gt;</w:t>
            </w:r>
            <w:r w:rsidRPr="008D77D8">
              <w:rPr>
                <w:rFonts w:ascii="Calibri" w:hAnsi="Calibri" w:cs="Calibri"/>
                <w:color w:val="000000"/>
                <w:sz w:val="20"/>
                <w:szCs w:val="20"/>
              </w:rPr>
              <w:t xml:space="preserve"> 1% MHI</w:t>
            </w:r>
          </w:p>
        </w:tc>
        <w:tc>
          <w:tcPr>
            <w:tcW w:w="1476" w:type="dxa"/>
            <w:tcBorders>
              <w:top w:val="nil"/>
              <w:left w:val="nil"/>
              <w:bottom w:val="single" w:sz="4" w:space="0" w:color="auto"/>
              <w:right w:val="single" w:sz="4" w:space="0" w:color="auto"/>
            </w:tcBorders>
            <w:noWrap/>
            <w:vAlign w:val="center"/>
            <w:hideMark/>
          </w:tcPr>
          <w:p w14:paraId="1CF7AD0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w:t>
            </w:r>
          </w:p>
        </w:tc>
        <w:tc>
          <w:tcPr>
            <w:tcW w:w="1031" w:type="dxa"/>
            <w:tcBorders>
              <w:top w:val="nil"/>
              <w:left w:val="nil"/>
              <w:bottom w:val="single" w:sz="4" w:space="0" w:color="auto"/>
              <w:right w:val="single" w:sz="8" w:space="0" w:color="auto"/>
            </w:tcBorders>
            <w:noWrap/>
            <w:vAlign w:val="center"/>
            <w:hideMark/>
          </w:tcPr>
          <w:p w14:paraId="64B68D4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27C4DA2"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6C9D65E"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Avg Water Rate &lt; 1% MHI</w:t>
            </w:r>
          </w:p>
        </w:tc>
        <w:tc>
          <w:tcPr>
            <w:tcW w:w="1476" w:type="dxa"/>
            <w:tcBorders>
              <w:top w:val="nil"/>
              <w:left w:val="nil"/>
              <w:bottom w:val="single" w:sz="4" w:space="0" w:color="auto"/>
              <w:right w:val="single" w:sz="4" w:space="0" w:color="auto"/>
            </w:tcBorders>
            <w:noWrap/>
            <w:vAlign w:val="center"/>
            <w:hideMark/>
          </w:tcPr>
          <w:p w14:paraId="083175B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6C7DD5B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B34825C"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65BB016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lastRenderedPageBreak/>
              <w:t> </w:t>
            </w:r>
          </w:p>
        </w:tc>
        <w:tc>
          <w:tcPr>
            <w:tcW w:w="1476" w:type="dxa"/>
            <w:tcBorders>
              <w:top w:val="nil"/>
              <w:left w:val="nil"/>
              <w:bottom w:val="single" w:sz="4" w:space="0" w:color="auto"/>
              <w:right w:val="nil"/>
            </w:tcBorders>
            <w:shd w:val="thinDiagStripe" w:color="000000" w:fill="auto"/>
            <w:noWrap/>
            <w:vAlign w:val="center"/>
            <w:hideMark/>
          </w:tcPr>
          <w:p w14:paraId="523216E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66A46145"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0E00CD8"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879EBA6" w14:textId="289E02EB"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Readiness to proceed</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(Points for user agreements are not additive, P&amp;S points are not additive)</w:t>
            </w:r>
          </w:p>
        </w:tc>
        <w:tc>
          <w:tcPr>
            <w:tcW w:w="1476" w:type="dxa"/>
            <w:tcBorders>
              <w:top w:val="nil"/>
              <w:left w:val="nil"/>
              <w:bottom w:val="single" w:sz="4" w:space="0" w:color="auto"/>
              <w:right w:val="nil"/>
            </w:tcBorders>
            <w:noWrap/>
            <w:vAlign w:val="center"/>
            <w:hideMark/>
          </w:tcPr>
          <w:p w14:paraId="38520C2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3EAA287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F78B223" w14:textId="77777777" w:rsidTr="00740F9E">
        <w:trPr>
          <w:trHeight w:val="765"/>
        </w:trPr>
        <w:tc>
          <w:tcPr>
            <w:tcW w:w="8053" w:type="dxa"/>
            <w:tcBorders>
              <w:top w:val="nil"/>
              <w:left w:val="single" w:sz="8" w:space="0" w:color="auto"/>
              <w:bottom w:val="single" w:sz="4" w:space="0" w:color="auto"/>
              <w:right w:val="nil"/>
            </w:tcBorders>
            <w:vAlign w:val="center"/>
            <w:hideMark/>
          </w:tcPr>
          <w:p w14:paraId="4E596E3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User agreements/mandatory hookup ordinances </w:t>
            </w:r>
            <w:proofErr w:type="gramStart"/>
            <w:r w:rsidRPr="008D77D8">
              <w:rPr>
                <w:rFonts w:ascii="Calibri" w:hAnsi="Calibri" w:cs="Calibri"/>
                <w:color w:val="000000"/>
                <w:sz w:val="20"/>
                <w:szCs w:val="20"/>
              </w:rPr>
              <w:t xml:space="preserve">- (# </w:t>
            </w:r>
            <w:proofErr w:type="gramEnd"/>
            <w:r w:rsidRPr="008D77D8">
              <w:rPr>
                <w:rFonts w:ascii="Calibri" w:hAnsi="Calibri" w:cs="Calibri"/>
                <w:color w:val="000000"/>
                <w:sz w:val="20"/>
                <w:szCs w:val="20"/>
              </w:rPr>
              <w:t xml:space="preserve">of signed user agreements) </w:t>
            </w:r>
            <w:proofErr w:type="gramStart"/>
            <w:r w:rsidRPr="008D77D8">
              <w:rPr>
                <w:rFonts w:ascii="Calibri" w:hAnsi="Calibri" w:cs="Calibri"/>
                <w:color w:val="000000"/>
                <w:sz w:val="20"/>
                <w:szCs w:val="20"/>
              </w:rPr>
              <w:t xml:space="preserve">÷ (# </w:t>
            </w:r>
            <w:proofErr w:type="gramEnd"/>
            <w:r w:rsidRPr="008D77D8">
              <w:rPr>
                <w:rFonts w:ascii="Calibri" w:hAnsi="Calibri" w:cs="Calibri"/>
                <w:color w:val="000000"/>
                <w:sz w:val="20"/>
                <w:szCs w:val="20"/>
              </w:rPr>
              <w:t>of potential users in project area)</w:t>
            </w:r>
            <w:r w:rsidRPr="008D77D8">
              <w:rPr>
                <w:rFonts w:ascii="Calibri" w:hAnsi="Calibri" w:cs="Calibri"/>
                <w:color w:val="000000"/>
                <w:sz w:val="20"/>
                <w:szCs w:val="20"/>
              </w:rPr>
              <w:br/>
              <w:t>(must be &gt;50%):</w:t>
            </w:r>
          </w:p>
        </w:tc>
        <w:tc>
          <w:tcPr>
            <w:tcW w:w="1476" w:type="dxa"/>
            <w:tcBorders>
              <w:top w:val="nil"/>
              <w:left w:val="nil"/>
              <w:bottom w:val="single" w:sz="4" w:space="0" w:color="auto"/>
              <w:right w:val="nil"/>
            </w:tcBorders>
            <w:noWrap/>
            <w:vAlign w:val="center"/>
            <w:hideMark/>
          </w:tcPr>
          <w:p w14:paraId="57E72E1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bottom"/>
            <w:hideMark/>
          </w:tcPr>
          <w:p w14:paraId="5ADF3171" w14:textId="77777777" w:rsidR="00740F9E" w:rsidRPr="008D77D8" w:rsidRDefault="00740F9E" w:rsidP="006D08F2">
            <w:pPr>
              <w:widowControl/>
              <w:autoSpaceDE/>
              <w:autoSpaceDN/>
              <w:jc w:val="right"/>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77293F3"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456CCB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0-50% - Application Incomplete</w:t>
            </w:r>
          </w:p>
        </w:tc>
        <w:tc>
          <w:tcPr>
            <w:tcW w:w="1476" w:type="dxa"/>
            <w:tcBorders>
              <w:top w:val="nil"/>
              <w:left w:val="nil"/>
              <w:bottom w:val="single" w:sz="4" w:space="0" w:color="auto"/>
              <w:right w:val="single" w:sz="4" w:space="0" w:color="auto"/>
            </w:tcBorders>
            <w:noWrap/>
            <w:vAlign w:val="center"/>
            <w:hideMark/>
          </w:tcPr>
          <w:p w14:paraId="60F981A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5EF0657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06BD29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1A2B0D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51-79%</w:t>
            </w:r>
          </w:p>
        </w:tc>
        <w:tc>
          <w:tcPr>
            <w:tcW w:w="1476" w:type="dxa"/>
            <w:tcBorders>
              <w:top w:val="nil"/>
              <w:left w:val="nil"/>
              <w:bottom w:val="single" w:sz="4" w:space="0" w:color="auto"/>
              <w:right w:val="single" w:sz="4" w:space="0" w:color="auto"/>
            </w:tcBorders>
            <w:noWrap/>
            <w:vAlign w:val="center"/>
            <w:hideMark/>
          </w:tcPr>
          <w:p w14:paraId="2965E5B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w:t>
            </w:r>
          </w:p>
        </w:tc>
        <w:tc>
          <w:tcPr>
            <w:tcW w:w="1031" w:type="dxa"/>
            <w:tcBorders>
              <w:top w:val="nil"/>
              <w:left w:val="nil"/>
              <w:bottom w:val="single" w:sz="4" w:space="0" w:color="auto"/>
              <w:right w:val="single" w:sz="8" w:space="0" w:color="auto"/>
            </w:tcBorders>
            <w:noWrap/>
            <w:vAlign w:val="center"/>
            <w:hideMark/>
          </w:tcPr>
          <w:p w14:paraId="452B7D1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4BDCF0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37B043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80-100% or no user agreements required</w:t>
            </w:r>
          </w:p>
        </w:tc>
        <w:tc>
          <w:tcPr>
            <w:tcW w:w="1476" w:type="dxa"/>
            <w:tcBorders>
              <w:top w:val="nil"/>
              <w:left w:val="nil"/>
              <w:bottom w:val="single" w:sz="4" w:space="0" w:color="auto"/>
              <w:right w:val="single" w:sz="4" w:space="0" w:color="auto"/>
            </w:tcBorders>
            <w:noWrap/>
            <w:vAlign w:val="center"/>
            <w:hideMark/>
          </w:tcPr>
          <w:p w14:paraId="115E44A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687D29E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4A20CCC"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20BBEAE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6430667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2FD7609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C831E04"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7D1DCE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Up-to-Date Financial Audits </w:t>
            </w:r>
          </w:p>
        </w:tc>
        <w:tc>
          <w:tcPr>
            <w:tcW w:w="1476" w:type="dxa"/>
            <w:tcBorders>
              <w:top w:val="nil"/>
              <w:left w:val="nil"/>
              <w:bottom w:val="single" w:sz="4" w:space="0" w:color="auto"/>
              <w:right w:val="single" w:sz="4" w:space="0" w:color="auto"/>
            </w:tcBorders>
            <w:noWrap/>
            <w:vAlign w:val="center"/>
            <w:hideMark/>
          </w:tcPr>
          <w:p w14:paraId="191562D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w:t>
            </w:r>
          </w:p>
        </w:tc>
        <w:tc>
          <w:tcPr>
            <w:tcW w:w="1031" w:type="dxa"/>
            <w:tcBorders>
              <w:top w:val="nil"/>
              <w:left w:val="nil"/>
              <w:bottom w:val="single" w:sz="4" w:space="0" w:color="auto"/>
              <w:right w:val="single" w:sz="8" w:space="0" w:color="auto"/>
            </w:tcBorders>
            <w:noWrap/>
            <w:vAlign w:val="center"/>
            <w:hideMark/>
          </w:tcPr>
          <w:p w14:paraId="647CA2E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39653E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D23309B"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Engineering procurement has been submitted and approved</w:t>
            </w:r>
          </w:p>
        </w:tc>
        <w:tc>
          <w:tcPr>
            <w:tcW w:w="1476" w:type="dxa"/>
            <w:tcBorders>
              <w:top w:val="nil"/>
              <w:left w:val="nil"/>
              <w:bottom w:val="single" w:sz="4" w:space="0" w:color="auto"/>
              <w:right w:val="single" w:sz="4" w:space="0" w:color="auto"/>
            </w:tcBorders>
            <w:noWrap/>
            <w:vAlign w:val="center"/>
            <w:hideMark/>
          </w:tcPr>
          <w:p w14:paraId="7A0C8A2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4E1C6D3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7ABF69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91DDA5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Environmental Review accepted (by VDH, USDA-RD or DMME)</w:t>
            </w:r>
          </w:p>
        </w:tc>
        <w:tc>
          <w:tcPr>
            <w:tcW w:w="1476" w:type="dxa"/>
            <w:tcBorders>
              <w:top w:val="nil"/>
              <w:left w:val="nil"/>
              <w:bottom w:val="single" w:sz="4" w:space="0" w:color="auto"/>
              <w:right w:val="single" w:sz="4" w:space="0" w:color="auto"/>
            </w:tcBorders>
            <w:noWrap/>
            <w:vAlign w:val="center"/>
            <w:hideMark/>
          </w:tcPr>
          <w:p w14:paraId="794D835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2DB4444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696E6F8"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B1FCB6F" w14:textId="7186DFC0"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Approved P&amp;S / Construction Permit Issued</w:t>
            </w:r>
            <w:r w:rsidR="00D727FF" w:rsidRPr="008D77D8">
              <w:rPr>
                <w:rFonts w:ascii="Calibri" w:hAnsi="Calibri" w:cs="Calibri"/>
                <w:color w:val="000000"/>
                <w:sz w:val="20"/>
                <w:szCs w:val="20"/>
              </w:rPr>
              <w:t xml:space="preserve">          </w:t>
            </w:r>
            <w:r w:rsidRPr="008D77D8">
              <w:rPr>
                <w:rFonts w:ascii="Calibri" w:hAnsi="Calibri" w:cs="Calibri"/>
                <w:color w:val="000000"/>
                <w:sz w:val="20"/>
                <w:szCs w:val="20"/>
              </w:rPr>
              <w:t xml:space="preserve"> </w:t>
            </w:r>
          </w:p>
        </w:tc>
        <w:tc>
          <w:tcPr>
            <w:tcW w:w="1476" w:type="dxa"/>
            <w:tcBorders>
              <w:top w:val="nil"/>
              <w:left w:val="nil"/>
              <w:bottom w:val="single" w:sz="4" w:space="0" w:color="auto"/>
              <w:right w:val="single" w:sz="4" w:space="0" w:color="auto"/>
            </w:tcBorders>
            <w:noWrap/>
            <w:vAlign w:val="center"/>
            <w:hideMark/>
          </w:tcPr>
          <w:p w14:paraId="2DCC2D6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0CF5A3B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2BED2ED"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6278E1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A biddability review has been completed and approved by DWSRF</w:t>
            </w:r>
          </w:p>
        </w:tc>
        <w:tc>
          <w:tcPr>
            <w:tcW w:w="1476" w:type="dxa"/>
            <w:tcBorders>
              <w:top w:val="nil"/>
              <w:left w:val="nil"/>
              <w:bottom w:val="single" w:sz="4" w:space="0" w:color="auto"/>
              <w:right w:val="single" w:sz="4" w:space="0" w:color="auto"/>
            </w:tcBorders>
            <w:noWrap/>
            <w:vAlign w:val="center"/>
            <w:hideMark/>
          </w:tcPr>
          <w:p w14:paraId="5683B61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15ED7C1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B9B53CD"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DAEB3F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P&amp;S not required (supported by ODW Letter) </w:t>
            </w:r>
          </w:p>
        </w:tc>
        <w:tc>
          <w:tcPr>
            <w:tcW w:w="1476" w:type="dxa"/>
            <w:tcBorders>
              <w:top w:val="nil"/>
              <w:left w:val="nil"/>
              <w:bottom w:val="single" w:sz="4" w:space="0" w:color="auto"/>
              <w:right w:val="single" w:sz="4" w:space="0" w:color="auto"/>
            </w:tcBorders>
            <w:noWrap/>
            <w:vAlign w:val="center"/>
            <w:hideMark/>
          </w:tcPr>
          <w:p w14:paraId="323C3F0A"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4C4B30C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29F7182"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10EAD5F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1C1E126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48B4FEC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0D9D9C0"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19D2782C" w14:textId="3F66D587"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Other Funds Available</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(Points are not additive)</w:t>
            </w:r>
          </w:p>
        </w:tc>
        <w:tc>
          <w:tcPr>
            <w:tcW w:w="1476" w:type="dxa"/>
            <w:tcBorders>
              <w:top w:val="nil"/>
              <w:left w:val="nil"/>
              <w:bottom w:val="single" w:sz="4" w:space="0" w:color="auto"/>
              <w:right w:val="nil"/>
            </w:tcBorders>
            <w:noWrap/>
            <w:vAlign w:val="center"/>
            <w:hideMark/>
          </w:tcPr>
          <w:p w14:paraId="3A58F1B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013D1EF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43FAA45"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083636E" w14:textId="77777777" w:rsidR="00740F9E" w:rsidRPr="008D77D8" w:rsidRDefault="00740F9E" w:rsidP="006D08F2">
            <w:pPr>
              <w:widowControl/>
              <w:autoSpaceDE/>
              <w:autoSpaceDN/>
              <w:ind w:firstLineChars="200" w:firstLine="400"/>
              <w:rPr>
                <w:rFonts w:ascii="Calibri" w:hAnsi="Calibri" w:cs="Calibri"/>
                <w:color w:val="000000"/>
                <w:sz w:val="20"/>
                <w:szCs w:val="20"/>
              </w:rPr>
            </w:pPr>
            <w:r w:rsidRPr="008D77D8">
              <w:rPr>
                <w:rFonts w:ascii="Calibri" w:hAnsi="Calibri" w:cs="Calibri"/>
                <w:color w:val="000000"/>
                <w:sz w:val="20"/>
                <w:szCs w:val="20"/>
              </w:rPr>
              <w:t>&lt;5%</w:t>
            </w:r>
          </w:p>
        </w:tc>
        <w:tc>
          <w:tcPr>
            <w:tcW w:w="1476" w:type="dxa"/>
            <w:tcBorders>
              <w:top w:val="nil"/>
              <w:left w:val="nil"/>
              <w:bottom w:val="single" w:sz="4" w:space="0" w:color="auto"/>
              <w:right w:val="single" w:sz="4" w:space="0" w:color="auto"/>
            </w:tcBorders>
            <w:noWrap/>
            <w:vAlign w:val="center"/>
            <w:hideMark/>
          </w:tcPr>
          <w:p w14:paraId="2B8A5FA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768415A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F9E50C5"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973E39E" w14:textId="77777777" w:rsidR="00740F9E" w:rsidRPr="008D77D8" w:rsidRDefault="00740F9E" w:rsidP="006D08F2">
            <w:pPr>
              <w:widowControl/>
              <w:autoSpaceDE/>
              <w:autoSpaceDN/>
              <w:ind w:firstLineChars="200" w:firstLine="400"/>
              <w:rPr>
                <w:rFonts w:ascii="Calibri" w:hAnsi="Calibri" w:cs="Calibri"/>
                <w:color w:val="000000"/>
                <w:sz w:val="20"/>
                <w:szCs w:val="20"/>
              </w:rPr>
            </w:pPr>
            <w:r w:rsidRPr="008D77D8">
              <w:rPr>
                <w:rFonts w:ascii="Calibri" w:hAnsi="Calibri" w:cs="Calibri"/>
                <w:color w:val="000000"/>
                <w:sz w:val="20"/>
                <w:szCs w:val="20"/>
              </w:rPr>
              <w:t>5% to &lt;10%</w:t>
            </w:r>
          </w:p>
        </w:tc>
        <w:tc>
          <w:tcPr>
            <w:tcW w:w="1476" w:type="dxa"/>
            <w:tcBorders>
              <w:top w:val="nil"/>
              <w:left w:val="nil"/>
              <w:bottom w:val="single" w:sz="4" w:space="0" w:color="auto"/>
              <w:right w:val="single" w:sz="4" w:space="0" w:color="auto"/>
            </w:tcBorders>
            <w:noWrap/>
            <w:vAlign w:val="center"/>
            <w:hideMark/>
          </w:tcPr>
          <w:p w14:paraId="4DF01A5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w:t>
            </w:r>
          </w:p>
        </w:tc>
        <w:tc>
          <w:tcPr>
            <w:tcW w:w="1031" w:type="dxa"/>
            <w:tcBorders>
              <w:top w:val="nil"/>
              <w:left w:val="nil"/>
              <w:bottom w:val="single" w:sz="4" w:space="0" w:color="auto"/>
              <w:right w:val="single" w:sz="8" w:space="0" w:color="auto"/>
            </w:tcBorders>
            <w:noWrap/>
            <w:vAlign w:val="center"/>
            <w:hideMark/>
          </w:tcPr>
          <w:p w14:paraId="0F2F2B5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3EAE620"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78D56D5" w14:textId="77777777" w:rsidR="00740F9E" w:rsidRPr="008D77D8" w:rsidRDefault="00740F9E" w:rsidP="006D08F2">
            <w:pPr>
              <w:widowControl/>
              <w:autoSpaceDE/>
              <w:autoSpaceDN/>
              <w:ind w:firstLineChars="200" w:firstLine="400"/>
              <w:rPr>
                <w:rFonts w:ascii="Calibri" w:hAnsi="Calibri" w:cs="Calibri"/>
                <w:color w:val="000000"/>
                <w:sz w:val="20"/>
                <w:szCs w:val="20"/>
              </w:rPr>
            </w:pPr>
            <w:r w:rsidRPr="008D77D8">
              <w:rPr>
                <w:rFonts w:ascii="Calibri" w:hAnsi="Calibri" w:cs="Calibri"/>
                <w:color w:val="000000"/>
                <w:sz w:val="20"/>
                <w:szCs w:val="20"/>
              </w:rPr>
              <w:t>10% to &lt;15%</w:t>
            </w:r>
          </w:p>
        </w:tc>
        <w:tc>
          <w:tcPr>
            <w:tcW w:w="1476" w:type="dxa"/>
            <w:tcBorders>
              <w:top w:val="nil"/>
              <w:left w:val="nil"/>
              <w:bottom w:val="single" w:sz="4" w:space="0" w:color="auto"/>
              <w:right w:val="single" w:sz="4" w:space="0" w:color="auto"/>
            </w:tcBorders>
            <w:noWrap/>
            <w:vAlign w:val="center"/>
            <w:hideMark/>
          </w:tcPr>
          <w:p w14:paraId="2448E4E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1B81216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DD5DA29"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58B2993" w14:textId="77777777" w:rsidR="00740F9E" w:rsidRPr="008D77D8" w:rsidRDefault="00740F9E" w:rsidP="006D08F2">
            <w:pPr>
              <w:widowControl/>
              <w:autoSpaceDE/>
              <w:autoSpaceDN/>
              <w:ind w:firstLineChars="200" w:firstLine="400"/>
              <w:rPr>
                <w:rFonts w:ascii="Calibri" w:hAnsi="Calibri" w:cs="Calibri"/>
                <w:color w:val="000000"/>
                <w:sz w:val="20"/>
                <w:szCs w:val="20"/>
              </w:rPr>
            </w:pPr>
            <w:r w:rsidRPr="008D77D8">
              <w:rPr>
                <w:rFonts w:ascii="Calibri" w:hAnsi="Calibri" w:cs="Calibri"/>
                <w:color w:val="000000"/>
                <w:sz w:val="20"/>
                <w:szCs w:val="20"/>
              </w:rPr>
              <w:t>15% to &lt;20%</w:t>
            </w:r>
          </w:p>
        </w:tc>
        <w:tc>
          <w:tcPr>
            <w:tcW w:w="1476" w:type="dxa"/>
            <w:tcBorders>
              <w:top w:val="nil"/>
              <w:left w:val="nil"/>
              <w:bottom w:val="single" w:sz="4" w:space="0" w:color="auto"/>
              <w:right w:val="single" w:sz="4" w:space="0" w:color="auto"/>
            </w:tcBorders>
            <w:noWrap/>
            <w:vAlign w:val="center"/>
            <w:hideMark/>
          </w:tcPr>
          <w:p w14:paraId="66C6BEF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w:t>
            </w:r>
          </w:p>
        </w:tc>
        <w:tc>
          <w:tcPr>
            <w:tcW w:w="1031" w:type="dxa"/>
            <w:tcBorders>
              <w:top w:val="nil"/>
              <w:left w:val="nil"/>
              <w:bottom w:val="single" w:sz="4" w:space="0" w:color="auto"/>
              <w:right w:val="single" w:sz="8" w:space="0" w:color="auto"/>
            </w:tcBorders>
            <w:noWrap/>
            <w:vAlign w:val="center"/>
            <w:hideMark/>
          </w:tcPr>
          <w:p w14:paraId="719936BD"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9A7F551"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01F2725" w14:textId="77777777" w:rsidR="00740F9E" w:rsidRPr="008D77D8" w:rsidRDefault="00740F9E" w:rsidP="006D08F2">
            <w:pPr>
              <w:widowControl/>
              <w:autoSpaceDE/>
              <w:autoSpaceDN/>
              <w:ind w:firstLineChars="200" w:firstLine="400"/>
              <w:rPr>
                <w:rFonts w:ascii="Calibri" w:hAnsi="Calibri" w:cs="Calibri"/>
                <w:color w:val="000000"/>
                <w:sz w:val="20"/>
                <w:szCs w:val="20"/>
              </w:rPr>
            </w:pPr>
            <w:r w:rsidRPr="008D77D8">
              <w:rPr>
                <w:rFonts w:ascii="Calibri" w:hAnsi="Calibri" w:cs="Calibri"/>
                <w:color w:val="000000"/>
                <w:sz w:val="20"/>
                <w:szCs w:val="20"/>
              </w:rPr>
              <w:t>≥ 20%</w:t>
            </w:r>
          </w:p>
        </w:tc>
        <w:tc>
          <w:tcPr>
            <w:tcW w:w="1476" w:type="dxa"/>
            <w:tcBorders>
              <w:top w:val="nil"/>
              <w:left w:val="nil"/>
              <w:bottom w:val="single" w:sz="4" w:space="0" w:color="auto"/>
              <w:right w:val="single" w:sz="4" w:space="0" w:color="auto"/>
            </w:tcBorders>
            <w:noWrap/>
            <w:vAlign w:val="center"/>
            <w:hideMark/>
          </w:tcPr>
          <w:p w14:paraId="362D7E8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w:t>
            </w:r>
          </w:p>
        </w:tc>
        <w:tc>
          <w:tcPr>
            <w:tcW w:w="1031" w:type="dxa"/>
            <w:tcBorders>
              <w:top w:val="nil"/>
              <w:left w:val="nil"/>
              <w:bottom w:val="single" w:sz="4" w:space="0" w:color="auto"/>
              <w:right w:val="single" w:sz="8" w:space="0" w:color="auto"/>
            </w:tcBorders>
            <w:noWrap/>
            <w:vAlign w:val="center"/>
            <w:hideMark/>
          </w:tcPr>
          <w:p w14:paraId="0A5BAA7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CF924B6"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3B7B0CF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7AACAF1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4DC656B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5D4D8CE"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0D02347C" w14:textId="7DDE489F"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Projected Cost per Connections Served</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(Points are not additive)</w:t>
            </w:r>
          </w:p>
        </w:tc>
        <w:tc>
          <w:tcPr>
            <w:tcW w:w="1476" w:type="dxa"/>
            <w:tcBorders>
              <w:top w:val="nil"/>
              <w:left w:val="nil"/>
              <w:bottom w:val="single" w:sz="4" w:space="0" w:color="auto"/>
              <w:right w:val="nil"/>
            </w:tcBorders>
            <w:noWrap/>
            <w:vAlign w:val="center"/>
            <w:hideMark/>
          </w:tcPr>
          <w:p w14:paraId="28A42EC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3DA31E7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E14C5F7"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418E304D"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&lt;$500/household</w:t>
            </w:r>
          </w:p>
        </w:tc>
        <w:tc>
          <w:tcPr>
            <w:tcW w:w="1476" w:type="dxa"/>
            <w:tcBorders>
              <w:top w:val="nil"/>
              <w:left w:val="nil"/>
              <w:bottom w:val="single" w:sz="4" w:space="0" w:color="auto"/>
              <w:right w:val="single" w:sz="4" w:space="0" w:color="auto"/>
            </w:tcBorders>
            <w:noWrap/>
            <w:vAlign w:val="center"/>
            <w:hideMark/>
          </w:tcPr>
          <w:p w14:paraId="06DFCF2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w:t>
            </w:r>
          </w:p>
        </w:tc>
        <w:tc>
          <w:tcPr>
            <w:tcW w:w="1031" w:type="dxa"/>
            <w:tcBorders>
              <w:top w:val="nil"/>
              <w:left w:val="nil"/>
              <w:bottom w:val="single" w:sz="4" w:space="0" w:color="auto"/>
              <w:right w:val="single" w:sz="8" w:space="0" w:color="auto"/>
            </w:tcBorders>
            <w:noWrap/>
            <w:vAlign w:val="center"/>
            <w:hideMark/>
          </w:tcPr>
          <w:p w14:paraId="531B6C4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FD12DFC"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5DFB7217"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$500-$2500/household</w:t>
            </w:r>
          </w:p>
        </w:tc>
        <w:tc>
          <w:tcPr>
            <w:tcW w:w="1476" w:type="dxa"/>
            <w:tcBorders>
              <w:top w:val="nil"/>
              <w:left w:val="nil"/>
              <w:bottom w:val="single" w:sz="4" w:space="0" w:color="auto"/>
              <w:right w:val="single" w:sz="4" w:space="0" w:color="auto"/>
            </w:tcBorders>
            <w:noWrap/>
            <w:vAlign w:val="center"/>
            <w:hideMark/>
          </w:tcPr>
          <w:p w14:paraId="1254C2A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w:t>
            </w:r>
          </w:p>
        </w:tc>
        <w:tc>
          <w:tcPr>
            <w:tcW w:w="1031" w:type="dxa"/>
            <w:tcBorders>
              <w:top w:val="nil"/>
              <w:left w:val="nil"/>
              <w:bottom w:val="single" w:sz="4" w:space="0" w:color="auto"/>
              <w:right w:val="single" w:sz="8" w:space="0" w:color="auto"/>
            </w:tcBorders>
            <w:noWrap/>
            <w:vAlign w:val="center"/>
            <w:hideMark/>
          </w:tcPr>
          <w:p w14:paraId="58BB985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9900CC5"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6DDDC3D"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$2501-$5000/household</w:t>
            </w:r>
          </w:p>
        </w:tc>
        <w:tc>
          <w:tcPr>
            <w:tcW w:w="1476" w:type="dxa"/>
            <w:tcBorders>
              <w:top w:val="nil"/>
              <w:left w:val="nil"/>
              <w:bottom w:val="single" w:sz="4" w:space="0" w:color="auto"/>
              <w:right w:val="single" w:sz="4" w:space="0" w:color="auto"/>
            </w:tcBorders>
            <w:noWrap/>
            <w:vAlign w:val="center"/>
            <w:hideMark/>
          </w:tcPr>
          <w:p w14:paraId="0856D2C6"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w:t>
            </w:r>
          </w:p>
        </w:tc>
        <w:tc>
          <w:tcPr>
            <w:tcW w:w="1031" w:type="dxa"/>
            <w:tcBorders>
              <w:top w:val="nil"/>
              <w:left w:val="nil"/>
              <w:bottom w:val="single" w:sz="4" w:space="0" w:color="auto"/>
              <w:right w:val="single" w:sz="8" w:space="0" w:color="auto"/>
            </w:tcBorders>
            <w:noWrap/>
            <w:vAlign w:val="center"/>
            <w:hideMark/>
          </w:tcPr>
          <w:p w14:paraId="05E0BBC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14F325E"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4646AEBE"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&gt;$5000/household</w:t>
            </w:r>
          </w:p>
        </w:tc>
        <w:tc>
          <w:tcPr>
            <w:tcW w:w="1476" w:type="dxa"/>
            <w:tcBorders>
              <w:top w:val="nil"/>
              <w:left w:val="nil"/>
              <w:bottom w:val="single" w:sz="4" w:space="0" w:color="auto"/>
              <w:right w:val="single" w:sz="4" w:space="0" w:color="auto"/>
            </w:tcBorders>
            <w:noWrap/>
            <w:vAlign w:val="center"/>
            <w:hideMark/>
          </w:tcPr>
          <w:p w14:paraId="20AA8C50"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49D5920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03C5CCE"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764BF93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5BA5A91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7D54FB5F"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45775AC"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66C116E3" w14:textId="77777777"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Asset Management Plan (AMP)</w:t>
            </w:r>
          </w:p>
        </w:tc>
        <w:tc>
          <w:tcPr>
            <w:tcW w:w="1476" w:type="dxa"/>
            <w:tcBorders>
              <w:top w:val="nil"/>
              <w:left w:val="nil"/>
              <w:bottom w:val="single" w:sz="4" w:space="0" w:color="auto"/>
              <w:right w:val="nil"/>
            </w:tcBorders>
            <w:noWrap/>
            <w:vAlign w:val="center"/>
            <w:hideMark/>
          </w:tcPr>
          <w:p w14:paraId="1897EA5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1704F5D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A5548BE"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1A4A0F0B"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Waterworks has an AMP approved by VDH-ODW</w:t>
            </w:r>
          </w:p>
        </w:tc>
        <w:tc>
          <w:tcPr>
            <w:tcW w:w="1476" w:type="dxa"/>
            <w:tcBorders>
              <w:top w:val="nil"/>
              <w:left w:val="nil"/>
              <w:bottom w:val="single" w:sz="4" w:space="0" w:color="auto"/>
              <w:right w:val="single" w:sz="4" w:space="0" w:color="auto"/>
            </w:tcBorders>
            <w:noWrap/>
            <w:vAlign w:val="center"/>
            <w:hideMark/>
          </w:tcPr>
          <w:p w14:paraId="262FDE62"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20</w:t>
            </w:r>
          </w:p>
        </w:tc>
        <w:tc>
          <w:tcPr>
            <w:tcW w:w="1031" w:type="dxa"/>
            <w:tcBorders>
              <w:top w:val="nil"/>
              <w:left w:val="nil"/>
              <w:bottom w:val="single" w:sz="4" w:space="0" w:color="auto"/>
              <w:right w:val="single" w:sz="8" w:space="0" w:color="auto"/>
            </w:tcBorders>
            <w:noWrap/>
            <w:vAlign w:val="center"/>
            <w:hideMark/>
          </w:tcPr>
          <w:p w14:paraId="157310B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 </w:t>
            </w:r>
          </w:p>
        </w:tc>
      </w:tr>
      <w:tr w:rsidR="00740F9E" w:rsidRPr="008D77D8" w14:paraId="3A231EDE"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4D4A26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Proposed project is identified in VDH-ODW approved Asset Management Plan</w:t>
            </w:r>
          </w:p>
        </w:tc>
        <w:tc>
          <w:tcPr>
            <w:tcW w:w="1476" w:type="dxa"/>
            <w:tcBorders>
              <w:top w:val="nil"/>
              <w:left w:val="nil"/>
              <w:bottom w:val="single" w:sz="4" w:space="0" w:color="auto"/>
              <w:right w:val="single" w:sz="4" w:space="0" w:color="auto"/>
            </w:tcBorders>
            <w:noWrap/>
            <w:vAlign w:val="center"/>
            <w:hideMark/>
          </w:tcPr>
          <w:p w14:paraId="5C67FDB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10</w:t>
            </w:r>
          </w:p>
        </w:tc>
        <w:tc>
          <w:tcPr>
            <w:tcW w:w="1031" w:type="dxa"/>
            <w:tcBorders>
              <w:top w:val="nil"/>
              <w:left w:val="nil"/>
              <w:bottom w:val="single" w:sz="4" w:space="0" w:color="auto"/>
              <w:right w:val="single" w:sz="8" w:space="0" w:color="auto"/>
            </w:tcBorders>
            <w:noWrap/>
            <w:vAlign w:val="center"/>
            <w:hideMark/>
          </w:tcPr>
          <w:p w14:paraId="1C7E738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034BBF5"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70640B27"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490CD59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0C6A2C5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3E07FBA"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621B8D7A" w14:textId="16D7D5CB" w:rsidR="00740F9E" w:rsidRPr="008D77D8" w:rsidRDefault="00740F9E" w:rsidP="006D08F2">
            <w:pPr>
              <w:widowControl/>
              <w:autoSpaceDE/>
              <w:autoSpaceDN/>
              <w:rPr>
                <w:rFonts w:ascii="Calibri" w:hAnsi="Calibri" w:cs="Calibri"/>
                <w:b/>
                <w:bCs/>
                <w:color w:val="000000"/>
                <w:sz w:val="20"/>
                <w:szCs w:val="20"/>
                <w:u w:val="single"/>
              </w:rPr>
            </w:pPr>
            <w:r w:rsidRPr="008D77D8">
              <w:rPr>
                <w:rFonts w:ascii="Calibri" w:hAnsi="Calibri" w:cs="Calibri"/>
                <w:b/>
                <w:bCs/>
                <w:color w:val="000000"/>
                <w:sz w:val="20"/>
                <w:szCs w:val="20"/>
                <w:u w:val="single"/>
              </w:rPr>
              <w:t>Green Project Reserve</w:t>
            </w:r>
            <w:r w:rsidR="00D727FF" w:rsidRPr="008D77D8">
              <w:rPr>
                <w:rFonts w:ascii="Calibri" w:hAnsi="Calibri" w:cs="Calibri"/>
                <w:b/>
                <w:bCs/>
                <w:color w:val="000000"/>
                <w:sz w:val="20"/>
                <w:szCs w:val="20"/>
                <w:u w:val="single"/>
              </w:rPr>
              <w:t xml:space="preserve"> </w:t>
            </w:r>
            <w:r w:rsidRPr="008D77D8">
              <w:rPr>
                <w:rFonts w:ascii="Calibri" w:hAnsi="Calibri" w:cs="Calibri"/>
                <w:b/>
                <w:bCs/>
                <w:color w:val="000000"/>
                <w:sz w:val="20"/>
                <w:szCs w:val="20"/>
                <w:u w:val="single"/>
              </w:rPr>
              <w:t>(Points are not additive)</w:t>
            </w:r>
          </w:p>
        </w:tc>
        <w:tc>
          <w:tcPr>
            <w:tcW w:w="1476" w:type="dxa"/>
            <w:tcBorders>
              <w:top w:val="nil"/>
              <w:left w:val="nil"/>
              <w:bottom w:val="single" w:sz="4" w:space="0" w:color="auto"/>
              <w:right w:val="nil"/>
            </w:tcBorders>
            <w:noWrap/>
            <w:vAlign w:val="center"/>
            <w:hideMark/>
          </w:tcPr>
          <w:p w14:paraId="560F7B9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2B05AD92"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3CA4221" w14:textId="77777777" w:rsidTr="00740F9E">
        <w:trPr>
          <w:trHeight w:val="300"/>
        </w:trPr>
        <w:tc>
          <w:tcPr>
            <w:tcW w:w="8053" w:type="dxa"/>
            <w:tcBorders>
              <w:top w:val="nil"/>
              <w:left w:val="single" w:sz="8" w:space="0" w:color="auto"/>
              <w:bottom w:val="single" w:sz="4" w:space="0" w:color="auto"/>
              <w:right w:val="nil"/>
            </w:tcBorders>
            <w:noWrap/>
            <w:vAlign w:val="center"/>
            <w:hideMark/>
          </w:tcPr>
          <w:p w14:paraId="2690B33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xml:space="preserve">Green Project Reserve (Business Case must be presented) (% of construction cost) </w:t>
            </w:r>
          </w:p>
        </w:tc>
        <w:tc>
          <w:tcPr>
            <w:tcW w:w="1476" w:type="dxa"/>
            <w:tcBorders>
              <w:top w:val="nil"/>
              <w:left w:val="nil"/>
              <w:bottom w:val="single" w:sz="4" w:space="0" w:color="auto"/>
              <w:right w:val="nil"/>
            </w:tcBorders>
            <w:noWrap/>
            <w:vAlign w:val="center"/>
            <w:hideMark/>
          </w:tcPr>
          <w:p w14:paraId="183780F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noWrap/>
            <w:vAlign w:val="center"/>
            <w:hideMark/>
          </w:tcPr>
          <w:p w14:paraId="245AA074"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9A9254F"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4157CA79"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0-10%</w:t>
            </w:r>
          </w:p>
        </w:tc>
        <w:tc>
          <w:tcPr>
            <w:tcW w:w="1476" w:type="dxa"/>
            <w:tcBorders>
              <w:top w:val="nil"/>
              <w:left w:val="nil"/>
              <w:bottom w:val="single" w:sz="4" w:space="0" w:color="auto"/>
              <w:right w:val="single" w:sz="4" w:space="0" w:color="auto"/>
            </w:tcBorders>
            <w:noWrap/>
            <w:vAlign w:val="center"/>
            <w:hideMark/>
          </w:tcPr>
          <w:p w14:paraId="5FFF5FAB"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c>
          <w:tcPr>
            <w:tcW w:w="1031" w:type="dxa"/>
            <w:tcBorders>
              <w:top w:val="nil"/>
              <w:left w:val="nil"/>
              <w:bottom w:val="single" w:sz="4" w:space="0" w:color="auto"/>
              <w:right w:val="single" w:sz="8" w:space="0" w:color="auto"/>
            </w:tcBorders>
            <w:noWrap/>
            <w:vAlign w:val="center"/>
            <w:hideMark/>
          </w:tcPr>
          <w:p w14:paraId="6306098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6421EEB"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690945A7"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11-20%</w:t>
            </w:r>
          </w:p>
        </w:tc>
        <w:tc>
          <w:tcPr>
            <w:tcW w:w="1476" w:type="dxa"/>
            <w:tcBorders>
              <w:top w:val="nil"/>
              <w:left w:val="nil"/>
              <w:bottom w:val="single" w:sz="4" w:space="0" w:color="auto"/>
              <w:right w:val="single" w:sz="4" w:space="0" w:color="auto"/>
            </w:tcBorders>
            <w:noWrap/>
            <w:vAlign w:val="center"/>
            <w:hideMark/>
          </w:tcPr>
          <w:p w14:paraId="23C1FE8C"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1</w:t>
            </w:r>
          </w:p>
        </w:tc>
        <w:tc>
          <w:tcPr>
            <w:tcW w:w="1031" w:type="dxa"/>
            <w:tcBorders>
              <w:top w:val="nil"/>
              <w:left w:val="nil"/>
              <w:bottom w:val="single" w:sz="4" w:space="0" w:color="auto"/>
              <w:right w:val="single" w:sz="8" w:space="0" w:color="auto"/>
            </w:tcBorders>
            <w:noWrap/>
            <w:vAlign w:val="center"/>
            <w:hideMark/>
          </w:tcPr>
          <w:p w14:paraId="644F0365"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76A4B8C2"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71A9066B"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21-40%</w:t>
            </w:r>
          </w:p>
        </w:tc>
        <w:tc>
          <w:tcPr>
            <w:tcW w:w="1476" w:type="dxa"/>
            <w:tcBorders>
              <w:top w:val="nil"/>
              <w:left w:val="nil"/>
              <w:bottom w:val="single" w:sz="4" w:space="0" w:color="auto"/>
              <w:right w:val="single" w:sz="4" w:space="0" w:color="auto"/>
            </w:tcBorders>
            <w:noWrap/>
            <w:vAlign w:val="center"/>
            <w:hideMark/>
          </w:tcPr>
          <w:p w14:paraId="7C682A08"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2</w:t>
            </w:r>
          </w:p>
        </w:tc>
        <w:tc>
          <w:tcPr>
            <w:tcW w:w="1031" w:type="dxa"/>
            <w:tcBorders>
              <w:top w:val="nil"/>
              <w:left w:val="nil"/>
              <w:bottom w:val="single" w:sz="4" w:space="0" w:color="auto"/>
              <w:right w:val="single" w:sz="8" w:space="0" w:color="auto"/>
            </w:tcBorders>
            <w:noWrap/>
            <w:vAlign w:val="center"/>
            <w:hideMark/>
          </w:tcPr>
          <w:p w14:paraId="43217C27"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668B5880"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2850ED74"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41-60%</w:t>
            </w:r>
          </w:p>
        </w:tc>
        <w:tc>
          <w:tcPr>
            <w:tcW w:w="1476" w:type="dxa"/>
            <w:tcBorders>
              <w:top w:val="nil"/>
              <w:left w:val="nil"/>
              <w:bottom w:val="single" w:sz="4" w:space="0" w:color="auto"/>
              <w:right w:val="single" w:sz="4" w:space="0" w:color="auto"/>
            </w:tcBorders>
            <w:noWrap/>
            <w:vAlign w:val="center"/>
            <w:hideMark/>
          </w:tcPr>
          <w:p w14:paraId="43B2421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3</w:t>
            </w:r>
          </w:p>
        </w:tc>
        <w:tc>
          <w:tcPr>
            <w:tcW w:w="1031" w:type="dxa"/>
            <w:tcBorders>
              <w:top w:val="nil"/>
              <w:left w:val="nil"/>
              <w:bottom w:val="single" w:sz="4" w:space="0" w:color="auto"/>
              <w:right w:val="single" w:sz="8" w:space="0" w:color="auto"/>
            </w:tcBorders>
            <w:noWrap/>
            <w:vAlign w:val="center"/>
            <w:hideMark/>
          </w:tcPr>
          <w:p w14:paraId="289E9373"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2F431DD6"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0ACF0969"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61-80%</w:t>
            </w:r>
          </w:p>
        </w:tc>
        <w:tc>
          <w:tcPr>
            <w:tcW w:w="1476" w:type="dxa"/>
            <w:tcBorders>
              <w:top w:val="nil"/>
              <w:left w:val="nil"/>
              <w:bottom w:val="single" w:sz="4" w:space="0" w:color="auto"/>
              <w:right w:val="single" w:sz="4" w:space="0" w:color="auto"/>
            </w:tcBorders>
            <w:noWrap/>
            <w:vAlign w:val="center"/>
            <w:hideMark/>
          </w:tcPr>
          <w:p w14:paraId="43A8ABA1"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4</w:t>
            </w:r>
          </w:p>
        </w:tc>
        <w:tc>
          <w:tcPr>
            <w:tcW w:w="1031" w:type="dxa"/>
            <w:tcBorders>
              <w:top w:val="nil"/>
              <w:left w:val="nil"/>
              <w:bottom w:val="single" w:sz="4" w:space="0" w:color="auto"/>
              <w:right w:val="single" w:sz="8" w:space="0" w:color="auto"/>
            </w:tcBorders>
            <w:noWrap/>
            <w:vAlign w:val="center"/>
            <w:hideMark/>
          </w:tcPr>
          <w:p w14:paraId="38CD18F4"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32EEC964" w14:textId="77777777" w:rsidTr="00740F9E">
        <w:trPr>
          <w:trHeight w:val="300"/>
        </w:trPr>
        <w:tc>
          <w:tcPr>
            <w:tcW w:w="8053" w:type="dxa"/>
            <w:tcBorders>
              <w:top w:val="nil"/>
              <w:left w:val="single" w:sz="8" w:space="0" w:color="auto"/>
              <w:bottom w:val="single" w:sz="4" w:space="0" w:color="auto"/>
              <w:right w:val="single" w:sz="4" w:space="0" w:color="auto"/>
            </w:tcBorders>
            <w:noWrap/>
            <w:vAlign w:val="center"/>
            <w:hideMark/>
          </w:tcPr>
          <w:p w14:paraId="3CDC6260" w14:textId="77777777" w:rsidR="00740F9E" w:rsidRPr="008D77D8" w:rsidRDefault="00740F9E" w:rsidP="006D08F2">
            <w:pPr>
              <w:widowControl/>
              <w:autoSpaceDE/>
              <w:autoSpaceDN/>
              <w:ind w:firstLineChars="600" w:firstLine="1200"/>
              <w:rPr>
                <w:rFonts w:ascii="Calibri" w:hAnsi="Calibri" w:cs="Calibri"/>
                <w:color w:val="000000"/>
                <w:sz w:val="20"/>
                <w:szCs w:val="20"/>
              </w:rPr>
            </w:pPr>
            <w:r w:rsidRPr="008D77D8">
              <w:rPr>
                <w:rFonts w:ascii="Calibri" w:hAnsi="Calibri" w:cs="Calibri"/>
                <w:color w:val="000000"/>
                <w:sz w:val="20"/>
                <w:szCs w:val="20"/>
              </w:rPr>
              <w:t>81-100%</w:t>
            </w:r>
          </w:p>
        </w:tc>
        <w:tc>
          <w:tcPr>
            <w:tcW w:w="1476" w:type="dxa"/>
            <w:tcBorders>
              <w:top w:val="nil"/>
              <w:left w:val="nil"/>
              <w:bottom w:val="single" w:sz="4" w:space="0" w:color="auto"/>
              <w:right w:val="single" w:sz="4" w:space="0" w:color="auto"/>
            </w:tcBorders>
            <w:noWrap/>
            <w:vAlign w:val="center"/>
            <w:hideMark/>
          </w:tcPr>
          <w:p w14:paraId="6DB6C939"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5</w:t>
            </w:r>
          </w:p>
        </w:tc>
        <w:tc>
          <w:tcPr>
            <w:tcW w:w="1031" w:type="dxa"/>
            <w:tcBorders>
              <w:top w:val="nil"/>
              <w:left w:val="nil"/>
              <w:bottom w:val="single" w:sz="4" w:space="0" w:color="auto"/>
              <w:right w:val="single" w:sz="8" w:space="0" w:color="auto"/>
            </w:tcBorders>
            <w:noWrap/>
            <w:vAlign w:val="center"/>
            <w:hideMark/>
          </w:tcPr>
          <w:p w14:paraId="1852936F"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4E0430D" w14:textId="77777777" w:rsidTr="00740F9E">
        <w:trPr>
          <w:trHeight w:val="150"/>
        </w:trPr>
        <w:tc>
          <w:tcPr>
            <w:tcW w:w="8053" w:type="dxa"/>
            <w:tcBorders>
              <w:top w:val="nil"/>
              <w:left w:val="single" w:sz="8" w:space="0" w:color="auto"/>
              <w:bottom w:val="single" w:sz="4" w:space="0" w:color="auto"/>
              <w:right w:val="nil"/>
            </w:tcBorders>
            <w:shd w:val="thinDiagStripe" w:color="000000" w:fill="auto"/>
            <w:noWrap/>
            <w:vAlign w:val="center"/>
            <w:hideMark/>
          </w:tcPr>
          <w:p w14:paraId="0DB0C06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4" w:space="0" w:color="auto"/>
              <w:right w:val="nil"/>
            </w:tcBorders>
            <w:shd w:val="thinDiagStripe" w:color="000000" w:fill="auto"/>
            <w:noWrap/>
            <w:vAlign w:val="center"/>
            <w:hideMark/>
          </w:tcPr>
          <w:p w14:paraId="50D2A07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8" w:space="0" w:color="auto"/>
            </w:tcBorders>
            <w:shd w:val="thinDiagStripe" w:color="000000" w:fill="auto"/>
            <w:noWrap/>
            <w:vAlign w:val="center"/>
            <w:hideMark/>
          </w:tcPr>
          <w:p w14:paraId="3B62B5AB"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8B84762" w14:textId="77777777" w:rsidTr="00740F9E">
        <w:trPr>
          <w:trHeight w:val="315"/>
        </w:trPr>
        <w:tc>
          <w:tcPr>
            <w:tcW w:w="8053" w:type="dxa"/>
            <w:tcBorders>
              <w:top w:val="nil"/>
              <w:left w:val="single" w:sz="8" w:space="0" w:color="auto"/>
              <w:bottom w:val="single" w:sz="8" w:space="0" w:color="auto"/>
              <w:right w:val="single" w:sz="4" w:space="0" w:color="auto"/>
            </w:tcBorders>
            <w:noWrap/>
            <w:vAlign w:val="center"/>
            <w:hideMark/>
          </w:tcPr>
          <w:p w14:paraId="3A793313" w14:textId="77777777" w:rsidR="00740F9E" w:rsidRPr="008D77D8" w:rsidRDefault="00740F9E" w:rsidP="006D08F2">
            <w:pPr>
              <w:widowControl/>
              <w:autoSpaceDE/>
              <w:autoSpaceDN/>
              <w:ind w:firstLineChars="400" w:firstLine="800"/>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single" w:sz="8" w:space="0" w:color="auto"/>
              <w:right w:val="single" w:sz="4" w:space="0" w:color="auto"/>
            </w:tcBorders>
            <w:noWrap/>
            <w:vAlign w:val="center"/>
            <w:hideMark/>
          </w:tcPr>
          <w:p w14:paraId="56A92236"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Subtotal:</w:t>
            </w:r>
          </w:p>
        </w:tc>
        <w:tc>
          <w:tcPr>
            <w:tcW w:w="1031" w:type="dxa"/>
            <w:tcBorders>
              <w:top w:val="nil"/>
              <w:left w:val="nil"/>
              <w:bottom w:val="single" w:sz="8" w:space="0" w:color="auto"/>
              <w:right w:val="single" w:sz="8" w:space="0" w:color="auto"/>
            </w:tcBorders>
            <w:noWrap/>
            <w:vAlign w:val="center"/>
            <w:hideMark/>
          </w:tcPr>
          <w:p w14:paraId="3192684E" w14:textId="77777777" w:rsidR="00740F9E" w:rsidRPr="008D77D8" w:rsidRDefault="00740F9E" w:rsidP="006D08F2">
            <w:pPr>
              <w:widowControl/>
              <w:autoSpaceDE/>
              <w:autoSpaceDN/>
              <w:jc w:val="center"/>
              <w:rPr>
                <w:rFonts w:ascii="Calibri" w:hAnsi="Calibri" w:cs="Calibri"/>
                <w:color w:val="000000"/>
                <w:sz w:val="20"/>
                <w:szCs w:val="20"/>
              </w:rPr>
            </w:pPr>
            <w:r w:rsidRPr="008D77D8">
              <w:rPr>
                <w:rFonts w:ascii="Calibri" w:hAnsi="Calibri" w:cs="Calibri"/>
                <w:color w:val="000000"/>
                <w:sz w:val="20"/>
                <w:szCs w:val="20"/>
              </w:rPr>
              <w:t>0</w:t>
            </w:r>
          </w:p>
        </w:tc>
      </w:tr>
      <w:tr w:rsidR="00740F9E" w:rsidRPr="008D77D8" w14:paraId="11865B4E" w14:textId="77777777" w:rsidTr="00740F9E">
        <w:trPr>
          <w:trHeight w:val="300"/>
        </w:trPr>
        <w:tc>
          <w:tcPr>
            <w:tcW w:w="8053" w:type="dxa"/>
            <w:tcBorders>
              <w:top w:val="nil"/>
              <w:left w:val="nil"/>
              <w:bottom w:val="nil"/>
              <w:right w:val="nil"/>
            </w:tcBorders>
            <w:noWrap/>
            <w:vAlign w:val="center"/>
            <w:hideMark/>
          </w:tcPr>
          <w:p w14:paraId="30976CA5"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476" w:type="dxa"/>
            <w:tcBorders>
              <w:top w:val="nil"/>
              <w:left w:val="nil"/>
              <w:bottom w:val="nil"/>
              <w:right w:val="nil"/>
            </w:tcBorders>
            <w:noWrap/>
            <w:vAlign w:val="bottom"/>
            <w:hideMark/>
          </w:tcPr>
          <w:p w14:paraId="3C2FBAF3" w14:textId="77777777" w:rsidR="00740F9E" w:rsidRPr="008D77D8" w:rsidRDefault="00740F9E" w:rsidP="006D08F2">
            <w:pPr>
              <w:widowControl/>
              <w:autoSpaceDE/>
              <w:autoSpaceDN/>
              <w:rPr>
                <w:rFonts w:ascii="Calibri" w:hAnsi="Calibri" w:cs="Calibri"/>
                <w:color w:val="000000"/>
                <w:sz w:val="20"/>
                <w:szCs w:val="20"/>
              </w:rPr>
            </w:pPr>
          </w:p>
        </w:tc>
        <w:tc>
          <w:tcPr>
            <w:tcW w:w="1031" w:type="dxa"/>
            <w:tcBorders>
              <w:top w:val="nil"/>
              <w:left w:val="nil"/>
              <w:bottom w:val="nil"/>
              <w:right w:val="nil"/>
            </w:tcBorders>
            <w:noWrap/>
            <w:vAlign w:val="bottom"/>
            <w:hideMark/>
          </w:tcPr>
          <w:p w14:paraId="0E23E149" w14:textId="77777777" w:rsidR="00740F9E" w:rsidRPr="008D77D8" w:rsidRDefault="00740F9E" w:rsidP="006D08F2">
            <w:pPr>
              <w:widowControl/>
              <w:autoSpaceDE/>
              <w:autoSpaceDN/>
              <w:rPr>
                <w:sz w:val="20"/>
                <w:szCs w:val="20"/>
              </w:rPr>
            </w:pPr>
          </w:p>
        </w:tc>
      </w:tr>
      <w:tr w:rsidR="00740F9E" w:rsidRPr="008D77D8" w14:paraId="0FB027D7" w14:textId="77777777" w:rsidTr="00740F9E">
        <w:trPr>
          <w:trHeight w:val="510"/>
        </w:trPr>
        <w:tc>
          <w:tcPr>
            <w:tcW w:w="8053" w:type="dxa"/>
            <w:tcBorders>
              <w:top w:val="nil"/>
              <w:left w:val="nil"/>
              <w:bottom w:val="nil"/>
              <w:right w:val="single" w:sz="4" w:space="0" w:color="auto"/>
            </w:tcBorders>
            <w:noWrap/>
            <w:vAlign w:val="center"/>
            <w:hideMark/>
          </w:tcPr>
          <w:p w14:paraId="6A69722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lastRenderedPageBreak/>
              <w:t> </w:t>
            </w:r>
          </w:p>
        </w:tc>
        <w:tc>
          <w:tcPr>
            <w:tcW w:w="1476" w:type="dxa"/>
            <w:tcBorders>
              <w:top w:val="single" w:sz="4" w:space="0" w:color="auto"/>
              <w:left w:val="nil"/>
              <w:bottom w:val="single" w:sz="4" w:space="0" w:color="auto"/>
              <w:right w:val="single" w:sz="4" w:space="0" w:color="auto"/>
            </w:tcBorders>
            <w:vAlign w:val="center"/>
            <w:hideMark/>
          </w:tcPr>
          <w:p w14:paraId="6A4C8865"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 xml:space="preserve">Max. Possible Score </w:t>
            </w:r>
          </w:p>
        </w:tc>
        <w:tc>
          <w:tcPr>
            <w:tcW w:w="1031" w:type="dxa"/>
            <w:tcBorders>
              <w:top w:val="single" w:sz="4" w:space="0" w:color="auto"/>
              <w:left w:val="nil"/>
              <w:bottom w:val="single" w:sz="4" w:space="0" w:color="auto"/>
              <w:right w:val="single" w:sz="4" w:space="0" w:color="auto"/>
            </w:tcBorders>
            <w:vAlign w:val="center"/>
            <w:hideMark/>
          </w:tcPr>
          <w:p w14:paraId="1519892C"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Total Points Awarded</w:t>
            </w:r>
          </w:p>
        </w:tc>
      </w:tr>
      <w:tr w:rsidR="00740F9E" w:rsidRPr="008D77D8" w14:paraId="337A9408" w14:textId="77777777" w:rsidTr="00740F9E">
        <w:trPr>
          <w:trHeight w:val="300"/>
        </w:trPr>
        <w:tc>
          <w:tcPr>
            <w:tcW w:w="8053" w:type="dxa"/>
            <w:tcBorders>
              <w:top w:val="nil"/>
              <w:left w:val="nil"/>
              <w:bottom w:val="nil"/>
              <w:right w:val="single" w:sz="4" w:space="0" w:color="auto"/>
            </w:tcBorders>
            <w:noWrap/>
            <w:vAlign w:val="center"/>
            <w:hideMark/>
          </w:tcPr>
          <w:p w14:paraId="73F52830"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Section A</w:t>
            </w:r>
          </w:p>
        </w:tc>
        <w:tc>
          <w:tcPr>
            <w:tcW w:w="1476" w:type="dxa"/>
            <w:tcBorders>
              <w:top w:val="nil"/>
              <w:left w:val="nil"/>
              <w:bottom w:val="single" w:sz="4" w:space="0" w:color="auto"/>
              <w:right w:val="single" w:sz="4" w:space="0" w:color="auto"/>
            </w:tcBorders>
            <w:vAlign w:val="center"/>
            <w:hideMark/>
          </w:tcPr>
          <w:p w14:paraId="1F13A569"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3960</w:t>
            </w:r>
          </w:p>
        </w:tc>
        <w:tc>
          <w:tcPr>
            <w:tcW w:w="1031" w:type="dxa"/>
            <w:tcBorders>
              <w:top w:val="nil"/>
              <w:left w:val="nil"/>
              <w:bottom w:val="single" w:sz="4" w:space="0" w:color="auto"/>
              <w:right w:val="single" w:sz="4" w:space="0" w:color="auto"/>
            </w:tcBorders>
            <w:vAlign w:val="center"/>
            <w:hideMark/>
          </w:tcPr>
          <w:p w14:paraId="4FBD7D3E"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0</w:t>
            </w:r>
          </w:p>
        </w:tc>
      </w:tr>
      <w:tr w:rsidR="00740F9E" w:rsidRPr="008D77D8" w14:paraId="564D0DED" w14:textId="77777777" w:rsidTr="00740F9E">
        <w:trPr>
          <w:trHeight w:val="300"/>
        </w:trPr>
        <w:tc>
          <w:tcPr>
            <w:tcW w:w="8053" w:type="dxa"/>
            <w:tcBorders>
              <w:top w:val="nil"/>
              <w:left w:val="nil"/>
              <w:bottom w:val="nil"/>
              <w:right w:val="single" w:sz="4" w:space="0" w:color="auto"/>
            </w:tcBorders>
            <w:noWrap/>
            <w:vAlign w:val="center"/>
            <w:hideMark/>
          </w:tcPr>
          <w:p w14:paraId="008DCEF4"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Section B</w:t>
            </w:r>
          </w:p>
        </w:tc>
        <w:tc>
          <w:tcPr>
            <w:tcW w:w="1476" w:type="dxa"/>
            <w:tcBorders>
              <w:top w:val="nil"/>
              <w:left w:val="nil"/>
              <w:bottom w:val="single" w:sz="4" w:space="0" w:color="auto"/>
              <w:right w:val="single" w:sz="4" w:space="0" w:color="auto"/>
            </w:tcBorders>
            <w:vAlign w:val="center"/>
            <w:hideMark/>
          </w:tcPr>
          <w:p w14:paraId="5B490429"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3830</w:t>
            </w:r>
          </w:p>
        </w:tc>
        <w:tc>
          <w:tcPr>
            <w:tcW w:w="1031" w:type="dxa"/>
            <w:tcBorders>
              <w:top w:val="nil"/>
              <w:left w:val="nil"/>
              <w:bottom w:val="single" w:sz="4" w:space="0" w:color="auto"/>
              <w:right w:val="single" w:sz="4" w:space="0" w:color="auto"/>
            </w:tcBorders>
            <w:vAlign w:val="center"/>
            <w:hideMark/>
          </w:tcPr>
          <w:p w14:paraId="1B318877"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0</w:t>
            </w:r>
          </w:p>
        </w:tc>
      </w:tr>
      <w:tr w:rsidR="00740F9E" w:rsidRPr="008D77D8" w14:paraId="0C25BF61" w14:textId="77777777" w:rsidTr="00740F9E">
        <w:trPr>
          <w:trHeight w:val="300"/>
        </w:trPr>
        <w:tc>
          <w:tcPr>
            <w:tcW w:w="8053" w:type="dxa"/>
            <w:tcBorders>
              <w:top w:val="nil"/>
              <w:left w:val="nil"/>
              <w:bottom w:val="nil"/>
              <w:right w:val="single" w:sz="4" w:space="0" w:color="auto"/>
            </w:tcBorders>
            <w:noWrap/>
            <w:vAlign w:val="center"/>
            <w:hideMark/>
          </w:tcPr>
          <w:p w14:paraId="651C2EFD"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Section C</w:t>
            </w:r>
          </w:p>
        </w:tc>
        <w:tc>
          <w:tcPr>
            <w:tcW w:w="1476" w:type="dxa"/>
            <w:tcBorders>
              <w:top w:val="nil"/>
              <w:left w:val="nil"/>
              <w:bottom w:val="single" w:sz="4" w:space="0" w:color="auto"/>
              <w:right w:val="single" w:sz="4" w:space="0" w:color="auto"/>
            </w:tcBorders>
            <w:vAlign w:val="center"/>
            <w:hideMark/>
          </w:tcPr>
          <w:p w14:paraId="05437D5A"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78</w:t>
            </w:r>
          </w:p>
        </w:tc>
        <w:tc>
          <w:tcPr>
            <w:tcW w:w="1031" w:type="dxa"/>
            <w:tcBorders>
              <w:top w:val="nil"/>
              <w:left w:val="nil"/>
              <w:bottom w:val="single" w:sz="4" w:space="0" w:color="auto"/>
              <w:right w:val="single" w:sz="4" w:space="0" w:color="auto"/>
            </w:tcBorders>
            <w:vAlign w:val="center"/>
            <w:hideMark/>
          </w:tcPr>
          <w:p w14:paraId="092C8638"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0</w:t>
            </w:r>
          </w:p>
        </w:tc>
      </w:tr>
      <w:tr w:rsidR="00740F9E" w:rsidRPr="008D77D8" w14:paraId="56F9F369" w14:textId="77777777" w:rsidTr="00740F9E">
        <w:trPr>
          <w:trHeight w:val="300"/>
        </w:trPr>
        <w:tc>
          <w:tcPr>
            <w:tcW w:w="8053" w:type="dxa"/>
            <w:tcBorders>
              <w:top w:val="nil"/>
              <w:left w:val="nil"/>
              <w:bottom w:val="nil"/>
              <w:right w:val="single" w:sz="4" w:space="0" w:color="auto"/>
            </w:tcBorders>
            <w:noWrap/>
            <w:vAlign w:val="center"/>
            <w:hideMark/>
          </w:tcPr>
          <w:p w14:paraId="1F2BA616" w14:textId="77777777" w:rsidR="00740F9E" w:rsidRPr="008D77D8" w:rsidRDefault="00740F9E" w:rsidP="006D08F2">
            <w:pPr>
              <w:widowControl/>
              <w:autoSpaceDE/>
              <w:autoSpaceDN/>
              <w:jc w:val="right"/>
              <w:rPr>
                <w:rFonts w:ascii="Calibri" w:hAnsi="Calibri" w:cs="Calibri"/>
                <w:b/>
                <w:bCs/>
                <w:color w:val="000000"/>
                <w:sz w:val="20"/>
                <w:szCs w:val="20"/>
              </w:rPr>
            </w:pPr>
            <w:r w:rsidRPr="008D77D8">
              <w:rPr>
                <w:rFonts w:ascii="Calibri" w:hAnsi="Calibri" w:cs="Calibri"/>
                <w:b/>
                <w:bCs/>
                <w:color w:val="000000"/>
                <w:sz w:val="20"/>
                <w:szCs w:val="20"/>
              </w:rPr>
              <w:t>TOTAL</w:t>
            </w:r>
          </w:p>
        </w:tc>
        <w:tc>
          <w:tcPr>
            <w:tcW w:w="1476" w:type="dxa"/>
            <w:tcBorders>
              <w:top w:val="nil"/>
              <w:left w:val="nil"/>
              <w:bottom w:val="single" w:sz="4" w:space="0" w:color="auto"/>
              <w:right w:val="single" w:sz="4" w:space="0" w:color="auto"/>
            </w:tcBorders>
            <w:shd w:val="thinReverseDiagStripe" w:color="FFFFFF" w:fill="auto"/>
            <w:noWrap/>
            <w:vAlign w:val="bottom"/>
            <w:hideMark/>
          </w:tcPr>
          <w:p w14:paraId="688F5628" w14:textId="19889CE8" w:rsidR="00740F9E" w:rsidRPr="008D77D8" w:rsidRDefault="00D727FF" w:rsidP="006D08F2">
            <w:pPr>
              <w:widowControl/>
              <w:autoSpaceDE/>
              <w:autoSpaceDN/>
              <w:rPr>
                <w:rFonts w:ascii="Calibri" w:hAnsi="Calibri" w:cs="Calibri"/>
                <w:b/>
                <w:bCs/>
                <w:color w:val="000000"/>
                <w:sz w:val="20"/>
                <w:szCs w:val="20"/>
              </w:rPr>
            </w:pPr>
            <w:r w:rsidRPr="008D77D8">
              <w:rPr>
                <w:rFonts w:ascii="Calibri" w:hAnsi="Calibri" w:cs="Calibri"/>
                <w:b/>
                <w:bCs/>
                <w:color w:val="000000"/>
                <w:sz w:val="20"/>
                <w:szCs w:val="20"/>
              </w:rPr>
              <w:t xml:space="preserve">       </w:t>
            </w:r>
            <w:r w:rsidR="00740F9E" w:rsidRPr="008D77D8">
              <w:rPr>
                <w:rFonts w:ascii="Calibri" w:hAnsi="Calibri" w:cs="Calibri"/>
                <w:b/>
                <w:bCs/>
                <w:color w:val="000000"/>
                <w:sz w:val="20"/>
                <w:szCs w:val="20"/>
              </w:rPr>
              <w:t xml:space="preserve">7,868 </w:t>
            </w:r>
          </w:p>
        </w:tc>
        <w:tc>
          <w:tcPr>
            <w:tcW w:w="1031" w:type="dxa"/>
            <w:tcBorders>
              <w:top w:val="nil"/>
              <w:left w:val="nil"/>
              <w:bottom w:val="single" w:sz="4" w:space="0" w:color="auto"/>
              <w:right w:val="single" w:sz="4" w:space="0" w:color="auto"/>
            </w:tcBorders>
            <w:noWrap/>
            <w:vAlign w:val="center"/>
            <w:hideMark/>
          </w:tcPr>
          <w:p w14:paraId="5DE93743"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0</w:t>
            </w:r>
          </w:p>
        </w:tc>
      </w:tr>
      <w:tr w:rsidR="00740F9E" w:rsidRPr="008D77D8" w14:paraId="75822AE1" w14:textId="77777777" w:rsidTr="00740F9E">
        <w:trPr>
          <w:trHeight w:val="315"/>
        </w:trPr>
        <w:tc>
          <w:tcPr>
            <w:tcW w:w="8053" w:type="dxa"/>
            <w:tcBorders>
              <w:top w:val="nil"/>
              <w:left w:val="nil"/>
              <w:bottom w:val="nil"/>
              <w:right w:val="nil"/>
            </w:tcBorders>
            <w:noWrap/>
            <w:vAlign w:val="center"/>
            <w:hideMark/>
          </w:tcPr>
          <w:p w14:paraId="4DFBD677" w14:textId="77777777" w:rsidR="00740F9E" w:rsidRPr="008D77D8" w:rsidRDefault="00740F9E" w:rsidP="006D08F2">
            <w:pPr>
              <w:widowControl/>
              <w:autoSpaceDE/>
              <w:autoSpaceDN/>
              <w:jc w:val="center"/>
              <w:rPr>
                <w:rFonts w:ascii="Calibri" w:hAnsi="Calibri" w:cs="Calibri"/>
                <w:b/>
                <w:bCs/>
                <w:color w:val="000000"/>
                <w:sz w:val="20"/>
                <w:szCs w:val="20"/>
              </w:rPr>
            </w:pPr>
          </w:p>
        </w:tc>
        <w:tc>
          <w:tcPr>
            <w:tcW w:w="1476" w:type="dxa"/>
            <w:tcBorders>
              <w:top w:val="nil"/>
              <w:left w:val="nil"/>
              <w:bottom w:val="nil"/>
              <w:right w:val="nil"/>
            </w:tcBorders>
            <w:noWrap/>
            <w:vAlign w:val="center"/>
            <w:hideMark/>
          </w:tcPr>
          <w:p w14:paraId="515F6C78" w14:textId="77777777" w:rsidR="00740F9E" w:rsidRPr="008D77D8" w:rsidRDefault="00740F9E" w:rsidP="006D08F2">
            <w:pPr>
              <w:widowControl/>
              <w:autoSpaceDE/>
              <w:autoSpaceDN/>
              <w:jc w:val="right"/>
              <w:rPr>
                <w:rFonts w:ascii="Calibri" w:hAnsi="Calibri" w:cs="Calibri"/>
                <w:b/>
                <w:bCs/>
                <w:color w:val="000000"/>
                <w:sz w:val="24"/>
                <w:szCs w:val="24"/>
              </w:rPr>
            </w:pPr>
            <w:r w:rsidRPr="008D77D8">
              <w:rPr>
                <w:rFonts w:ascii="Calibri" w:hAnsi="Calibri" w:cs="Calibri"/>
                <w:b/>
                <w:bCs/>
                <w:color w:val="000000"/>
                <w:sz w:val="24"/>
                <w:szCs w:val="24"/>
              </w:rPr>
              <w:t xml:space="preserve">Percent Score = </w:t>
            </w:r>
          </w:p>
        </w:tc>
        <w:tc>
          <w:tcPr>
            <w:tcW w:w="1031" w:type="dxa"/>
            <w:tcBorders>
              <w:top w:val="nil"/>
              <w:left w:val="nil"/>
              <w:bottom w:val="nil"/>
              <w:right w:val="nil"/>
            </w:tcBorders>
            <w:noWrap/>
            <w:vAlign w:val="center"/>
            <w:hideMark/>
          </w:tcPr>
          <w:p w14:paraId="54D11E3F" w14:textId="77777777" w:rsidR="00740F9E" w:rsidRPr="008D77D8" w:rsidRDefault="00740F9E" w:rsidP="006D08F2">
            <w:pPr>
              <w:widowControl/>
              <w:autoSpaceDE/>
              <w:autoSpaceDN/>
              <w:jc w:val="center"/>
              <w:rPr>
                <w:rFonts w:ascii="Calibri" w:hAnsi="Calibri" w:cs="Calibri"/>
                <w:b/>
                <w:bCs/>
                <w:color w:val="000000"/>
                <w:sz w:val="24"/>
                <w:szCs w:val="24"/>
              </w:rPr>
            </w:pPr>
            <w:r w:rsidRPr="008D77D8">
              <w:rPr>
                <w:rFonts w:ascii="Calibri" w:hAnsi="Calibri" w:cs="Calibri"/>
                <w:b/>
                <w:bCs/>
                <w:color w:val="000000"/>
                <w:sz w:val="24"/>
                <w:szCs w:val="24"/>
              </w:rPr>
              <w:t>0.0%</w:t>
            </w:r>
          </w:p>
        </w:tc>
      </w:tr>
      <w:tr w:rsidR="00740F9E" w:rsidRPr="008D77D8" w14:paraId="50774DC4" w14:textId="77777777" w:rsidTr="00740F9E">
        <w:trPr>
          <w:trHeight w:val="300"/>
        </w:trPr>
        <w:tc>
          <w:tcPr>
            <w:tcW w:w="8053" w:type="dxa"/>
            <w:tcBorders>
              <w:top w:val="nil"/>
              <w:left w:val="nil"/>
              <w:bottom w:val="nil"/>
              <w:right w:val="nil"/>
            </w:tcBorders>
            <w:noWrap/>
            <w:vAlign w:val="center"/>
            <w:hideMark/>
          </w:tcPr>
          <w:p w14:paraId="1DB3EB55" w14:textId="77777777" w:rsidR="00740F9E" w:rsidRPr="008D77D8" w:rsidRDefault="00740F9E" w:rsidP="006D08F2">
            <w:pPr>
              <w:widowControl/>
              <w:autoSpaceDE/>
              <w:autoSpaceDN/>
              <w:jc w:val="center"/>
              <w:rPr>
                <w:rFonts w:ascii="Calibri" w:hAnsi="Calibri" w:cs="Calibri"/>
                <w:b/>
                <w:bCs/>
                <w:color w:val="000000"/>
                <w:sz w:val="24"/>
                <w:szCs w:val="24"/>
              </w:rPr>
            </w:pPr>
          </w:p>
        </w:tc>
        <w:tc>
          <w:tcPr>
            <w:tcW w:w="1476" w:type="dxa"/>
            <w:tcBorders>
              <w:top w:val="nil"/>
              <w:left w:val="nil"/>
              <w:bottom w:val="nil"/>
              <w:right w:val="nil"/>
            </w:tcBorders>
            <w:noWrap/>
            <w:vAlign w:val="bottom"/>
            <w:hideMark/>
          </w:tcPr>
          <w:p w14:paraId="1A57DD72" w14:textId="77777777" w:rsidR="00740F9E" w:rsidRPr="008D77D8" w:rsidRDefault="00740F9E" w:rsidP="006D08F2">
            <w:pPr>
              <w:widowControl/>
              <w:autoSpaceDE/>
              <w:autoSpaceDN/>
              <w:rPr>
                <w:sz w:val="20"/>
                <w:szCs w:val="20"/>
              </w:rPr>
            </w:pPr>
          </w:p>
        </w:tc>
        <w:tc>
          <w:tcPr>
            <w:tcW w:w="1031" w:type="dxa"/>
            <w:tcBorders>
              <w:top w:val="nil"/>
              <w:left w:val="nil"/>
              <w:bottom w:val="nil"/>
              <w:right w:val="nil"/>
            </w:tcBorders>
            <w:noWrap/>
            <w:vAlign w:val="bottom"/>
            <w:hideMark/>
          </w:tcPr>
          <w:p w14:paraId="37D70F6B" w14:textId="77777777" w:rsidR="00740F9E" w:rsidRPr="008D77D8" w:rsidRDefault="00740F9E" w:rsidP="006D08F2">
            <w:pPr>
              <w:widowControl/>
              <w:autoSpaceDE/>
              <w:autoSpaceDN/>
              <w:rPr>
                <w:sz w:val="20"/>
                <w:szCs w:val="20"/>
              </w:rPr>
            </w:pPr>
          </w:p>
        </w:tc>
      </w:tr>
      <w:tr w:rsidR="00740F9E" w:rsidRPr="008D77D8" w14:paraId="38645552" w14:textId="77777777" w:rsidTr="00740F9E">
        <w:trPr>
          <w:trHeight w:val="300"/>
        </w:trPr>
        <w:tc>
          <w:tcPr>
            <w:tcW w:w="8053" w:type="dxa"/>
            <w:tcBorders>
              <w:top w:val="single" w:sz="4" w:space="0" w:color="auto"/>
              <w:left w:val="single" w:sz="4" w:space="0" w:color="auto"/>
              <w:bottom w:val="single" w:sz="4" w:space="0" w:color="auto"/>
              <w:right w:val="single" w:sz="4" w:space="0" w:color="auto"/>
            </w:tcBorders>
            <w:noWrap/>
            <w:vAlign w:val="bottom"/>
            <w:hideMark/>
          </w:tcPr>
          <w:p w14:paraId="0BEF4680"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10% construction contingency used? (Indicate Yes or No)</w:t>
            </w:r>
          </w:p>
        </w:tc>
        <w:tc>
          <w:tcPr>
            <w:tcW w:w="1476" w:type="dxa"/>
            <w:tcBorders>
              <w:top w:val="single" w:sz="4" w:space="0" w:color="auto"/>
              <w:left w:val="nil"/>
              <w:bottom w:val="single" w:sz="4" w:space="0" w:color="auto"/>
              <w:right w:val="single" w:sz="4" w:space="0" w:color="auto"/>
            </w:tcBorders>
            <w:noWrap/>
            <w:vAlign w:val="bottom"/>
            <w:hideMark/>
          </w:tcPr>
          <w:p w14:paraId="75705E5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nil"/>
              <w:right w:val="nil"/>
            </w:tcBorders>
            <w:noWrap/>
            <w:vAlign w:val="bottom"/>
            <w:hideMark/>
          </w:tcPr>
          <w:p w14:paraId="72E0E2A9"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09CBD413" w14:textId="77777777" w:rsidTr="00740F9E">
        <w:trPr>
          <w:trHeight w:val="525"/>
        </w:trPr>
        <w:tc>
          <w:tcPr>
            <w:tcW w:w="8053" w:type="dxa"/>
            <w:tcBorders>
              <w:top w:val="nil"/>
              <w:left w:val="single" w:sz="4" w:space="0" w:color="auto"/>
              <w:bottom w:val="single" w:sz="4" w:space="0" w:color="auto"/>
              <w:right w:val="nil"/>
            </w:tcBorders>
            <w:vAlign w:val="bottom"/>
            <w:hideMark/>
          </w:tcPr>
          <w:p w14:paraId="7C2A023A"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(If bids have already been received contingency should equal 5% of actual construction costs)</w:t>
            </w:r>
          </w:p>
        </w:tc>
        <w:tc>
          <w:tcPr>
            <w:tcW w:w="1476" w:type="dxa"/>
            <w:tcBorders>
              <w:top w:val="nil"/>
              <w:left w:val="nil"/>
              <w:bottom w:val="single" w:sz="4" w:space="0" w:color="auto"/>
              <w:right w:val="single" w:sz="4" w:space="0" w:color="auto"/>
            </w:tcBorders>
            <w:noWrap/>
            <w:vAlign w:val="bottom"/>
            <w:hideMark/>
          </w:tcPr>
          <w:p w14:paraId="72A46A4C" w14:textId="77777777" w:rsidR="00740F9E" w:rsidRPr="008D77D8" w:rsidRDefault="00740F9E" w:rsidP="006D08F2">
            <w:pPr>
              <w:widowControl/>
              <w:autoSpaceDE/>
              <w:autoSpaceDN/>
              <w:rPr>
                <w:rFonts w:ascii="Calibri" w:hAnsi="Calibri" w:cs="Calibri"/>
                <w:b/>
                <w:bCs/>
                <w:color w:val="000000"/>
                <w:sz w:val="20"/>
                <w:szCs w:val="20"/>
              </w:rPr>
            </w:pPr>
            <w:r w:rsidRPr="008D77D8">
              <w:rPr>
                <w:rFonts w:ascii="Calibri" w:hAnsi="Calibri" w:cs="Calibri"/>
                <w:b/>
                <w:bCs/>
                <w:color w:val="000000"/>
                <w:sz w:val="20"/>
                <w:szCs w:val="20"/>
              </w:rPr>
              <w:t> </w:t>
            </w:r>
          </w:p>
        </w:tc>
        <w:tc>
          <w:tcPr>
            <w:tcW w:w="1031" w:type="dxa"/>
            <w:tcBorders>
              <w:top w:val="nil"/>
              <w:left w:val="nil"/>
              <w:bottom w:val="nil"/>
              <w:right w:val="nil"/>
            </w:tcBorders>
            <w:noWrap/>
            <w:vAlign w:val="bottom"/>
            <w:hideMark/>
          </w:tcPr>
          <w:p w14:paraId="288ECFEF" w14:textId="77777777" w:rsidR="00740F9E" w:rsidRPr="008D77D8" w:rsidRDefault="00740F9E" w:rsidP="006D08F2">
            <w:pPr>
              <w:widowControl/>
              <w:autoSpaceDE/>
              <w:autoSpaceDN/>
              <w:rPr>
                <w:rFonts w:ascii="Calibri" w:hAnsi="Calibri" w:cs="Calibri"/>
                <w:b/>
                <w:bCs/>
                <w:color w:val="000000"/>
                <w:sz w:val="20"/>
                <w:szCs w:val="20"/>
              </w:rPr>
            </w:pPr>
          </w:p>
        </w:tc>
      </w:tr>
      <w:tr w:rsidR="00740F9E" w:rsidRPr="008D77D8" w14:paraId="4FCADD20" w14:textId="77777777" w:rsidTr="00740F9E">
        <w:trPr>
          <w:trHeight w:val="300"/>
        </w:trPr>
        <w:tc>
          <w:tcPr>
            <w:tcW w:w="8053" w:type="dxa"/>
            <w:tcBorders>
              <w:top w:val="nil"/>
              <w:left w:val="single" w:sz="4" w:space="0" w:color="auto"/>
              <w:bottom w:val="single" w:sz="4" w:space="0" w:color="auto"/>
              <w:right w:val="single" w:sz="4" w:space="0" w:color="auto"/>
            </w:tcBorders>
            <w:noWrap/>
            <w:vAlign w:val="bottom"/>
            <w:hideMark/>
          </w:tcPr>
          <w:p w14:paraId="6B93A4FB"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If </w:t>
            </w:r>
            <w:proofErr w:type="gramStart"/>
            <w:r w:rsidRPr="008D77D8">
              <w:rPr>
                <w:rFonts w:ascii="Calibri" w:hAnsi="Calibri" w:cs="Calibri"/>
                <w:color w:val="000000"/>
                <w:sz w:val="20"/>
                <w:szCs w:val="20"/>
              </w:rPr>
              <w:t>no</w:t>
            </w:r>
            <w:proofErr w:type="gramEnd"/>
            <w:r w:rsidRPr="008D77D8">
              <w:rPr>
                <w:rFonts w:ascii="Calibri" w:hAnsi="Calibri" w:cs="Calibri"/>
                <w:color w:val="000000"/>
                <w:sz w:val="20"/>
                <w:szCs w:val="20"/>
              </w:rPr>
              <w:t xml:space="preserve">, calculate revised Total Project Cost (TPC) using 10%: Revised TPC = </w:t>
            </w:r>
          </w:p>
        </w:tc>
        <w:tc>
          <w:tcPr>
            <w:tcW w:w="1476" w:type="dxa"/>
            <w:tcBorders>
              <w:top w:val="nil"/>
              <w:left w:val="nil"/>
              <w:bottom w:val="single" w:sz="4" w:space="0" w:color="auto"/>
              <w:right w:val="single" w:sz="4" w:space="0" w:color="auto"/>
            </w:tcBorders>
            <w:noWrap/>
            <w:vAlign w:val="bottom"/>
            <w:hideMark/>
          </w:tcPr>
          <w:p w14:paraId="1A2D275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nil"/>
              <w:right w:val="nil"/>
            </w:tcBorders>
            <w:noWrap/>
            <w:vAlign w:val="bottom"/>
            <w:hideMark/>
          </w:tcPr>
          <w:p w14:paraId="514B460A" w14:textId="77777777" w:rsidR="00740F9E" w:rsidRPr="008D77D8" w:rsidRDefault="00740F9E" w:rsidP="006D08F2">
            <w:pPr>
              <w:widowControl/>
              <w:autoSpaceDE/>
              <w:autoSpaceDN/>
              <w:rPr>
                <w:rFonts w:ascii="Calibri" w:hAnsi="Calibri" w:cs="Calibri"/>
                <w:color w:val="000000"/>
                <w:sz w:val="20"/>
                <w:szCs w:val="20"/>
              </w:rPr>
            </w:pPr>
          </w:p>
        </w:tc>
      </w:tr>
      <w:tr w:rsidR="00740F9E" w:rsidRPr="008D77D8" w14:paraId="5A55F91F" w14:textId="77777777" w:rsidTr="00740F9E">
        <w:trPr>
          <w:trHeight w:val="300"/>
        </w:trPr>
        <w:tc>
          <w:tcPr>
            <w:tcW w:w="8053" w:type="dxa"/>
            <w:tcBorders>
              <w:top w:val="nil"/>
              <w:left w:val="nil"/>
              <w:bottom w:val="nil"/>
              <w:right w:val="nil"/>
            </w:tcBorders>
            <w:noWrap/>
            <w:vAlign w:val="bottom"/>
            <w:hideMark/>
          </w:tcPr>
          <w:p w14:paraId="3491F941" w14:textId="77777777" w:rsidR="00740F9E" w:rsidRPr="008D77D8" w:rsidRDefault="00740F9E" w:rsidP="006D08F2">
            <w:pPr>
              <w:widowControl/>
              <w:autoSpaceDE/>
              <w:autoSpaceDN/>
              <w:rPr>
                <w:sz w:val="20"/>
                <w:szCs w:val="20"/>
              </w:rPr>
            </w:pPr>
          </w:p>
        </w:tc>
        <w:tc>
          <w:tcPr>
            <w:tcW w:w="1476" w:type="dxa"/>
            <w:tcBorders>
              <w:top w:val="nil"/>
              <w:left w:val="nil"/>
              <w:bottom w:val="nil"/>
              <w:right w:val="nil"/>
            </w:tcBorders>
            <w:noWrap/>
            <w:vAlign w:val="center"/>
            <w:hideMark/>
          </w:tcPr>
          <w:p w14:paraId="5F140A47"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 xml:space="preserve">Initials </w:t>
            </w:r>
          </w:p>
        </w:tc>
        <w:tc>
          <w:tcPr>
            <w:tcW w:w="1031" w:type="dxa"/>
            <w:tcBorders>
              <w:top w:val="nil"/>
              <w:left w:val="nil"/>
              <w:bottom w:val="nil"/>
              <w:right w:val="nil"/>
            </w:tcBorders>
            <w:noWrap/>
            <w:vAlign w:val="center"/>
            <w:hideMark/>
          </w:tcPr>
          <w:p w14:paraId="1EDB3391" w14:textId="77777777" w:rsidR="00740F9E" w:rsidRPr="008D77D8" w:rsidRDefault="00740F9E" w:rsidP="006D08F2">
            <w:pPr>
              <w:widowControl/>
              <w:autoSpaceDE/>
              <w:autoSpaceDN/>
              <w:jc w:val="center"/>
              <w:rPr>
                <w:rFonts w:ascii="Calibri" w:hAnsi="Calibri" w:cs="Calibri"/>
                <w:b/>
                <w:bCs/>
                <w:color w:val="000000"/>
                <w:sz w:val="20"/>
                <w:szCs w:val="20"/>
              </w:rPr>
            </w:pPr>
            <w:r w:rsidRPr="008D77D8">
              <w:rPr>
                <w:rFonts w:ascii="Calibri" w:hAnsi="Calibri" w:cs="Calibri"/>
                <w:b/>
                <w:bCs/>
                <w:color w:val="000000"/>
                <w:sz w:val="20"/>
                <w:szCs w:val="20"/>
              </w:rPr>
              <w:t>Date</w:t>
            </w:r>
          </w:p>
        </w:tc>
      </w:tr>
      <w:tr w:rsidR="00740F9E" w:rsidRPr="008D77D8" w14:paraId="35D0BB18" w14:textId="77777777" w:rsidTr="00740F9E">
        <w:trPr>
          <w:trHeight w:val="300"/>
        </w:trPr>
        <w:tc>
          <w:tcPr>
            <w:tcW w:w="8053" w:type="dxa"/>
            <w:tcBorders>
              <w:top w:val="single" w:sz="4" w:space="0" w:color="auto"/>
              <w:left w:val="single" w:sz="4" w:space="0" w:color="auto"/>
              <w:bottom w:val="single" w:sz="4" w:space="0" w:color="auto"/>
              <w:right w:val="single" w:sz="4" w:space="0" w:color="auto"/>
            </w:tcBorders>
            <w:noWrap/>
            <w:vAlign w:val="bottom"/>
            <w:hideMark/>
          </w:tcPr>
          <w:p w14:paraId="2F4303F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1st reviewers Initials &amp; Date:</w:t>
            </w:r>
          </w:p>
        </w:tc>
        <w:tc>
          <w:tcPr>
            <w:tcW w:w="1476" w:type="dxa"/>
            <w:tcBorders>
              <w:top w:val="single" w:sz="4" w:space="0" w:color="auto"/>
              <w:left w:val="nil"/>
              <w:bottom w:val="single" w:sz="4" w:space="0" w:color="auto"/>
              <w:right w:val="single" w:sz="4" w:space="0" w:color="auto"/>
            </w:tcBorders>
            <w:noWrap/>
            <w:vAlign w:val="bottom"/>
            <w:hideMark/>
          </w:tcPr>
          <w:p w14:paraId="38FCBFB3"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single" w:sz="4" w:space="0" w:color="auto"/>
              <w:left w:val="nil"/>
              <w:bottom w:val="single" w:sz="4" w:space="0" w:color="auto"/>
              <w:right w:val="single" w:sz="4" w:space="0" w:color="auto"/>
            </w:tcBorders>
            <w:noWrap/>
            <w:vAlign w:val="bottom"/>
            <w:hideMark/>
          </w:tcPr>
          <w:p w14:paraId="5353181C"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43BD6D3D" w14:textId="77777777" w:rsidTr="00740F9E">
        <w:trPr>
          <w:trHeight w:val="300"/>
        </w:trPr>
        <w:tc>
          <w:tcPr>
            <w:tcW w:w="8053" w:type="dxa"/>
            <w:tcBorders>
              <w:top w:val="nil"/>
              <w:left w:val="single" w:sz="4" w:space="0" w:color="auto"/>
              <w:bottom w:val="single" w:sz="4" w:space="0" w:color="auto"/>
              <w:right w:val="single" w:sz="4" w:space="0" w:color="auto"/>
            </w:tcBorders>
            <w:noWrap/>
            <w:vAlign w:val="bottom"/>
            <w:hideMark/>
          </w:tcPr>
          <w:p w14:paraId="23A66827"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2nd reviewers Initials &amp; Date:</w:t>
            </w:r>
          </w:p>
        </w:tc>
        <w:tc>
          <w:tcPr>
            <w:tcW w:w="1476" w:type="dxa"/>
            <w:tcBorders>
              <w:top w:val="nil"/>
              <w:left w:val="nil"/>
              <w:bottom w:val="single" w:sz="4" w:space="0" w:color="auto"/>
              <w:right w:val="single" w:sz="4" w:space="0" w:color="auto"/>
            </w:tcBorders>
            <w:noWrap/>
            <w:vAlign w:val="bottom"/>
            <w:hideMark/>
          </w:tcPr>
          <w:p w14:paraId="41F6713E"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4" w:space="0" w:color="auto"/>
            </w:tcBorders>
            <w:noWrap/>
            <w:vAlign w:val="bottom"/>
            <w:hideMark/>
          </w:tcPr>
          <w:p w14:paraId="26631F88"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1A94C05F" w14:textId="77777777" w:rsidTr="00740F9E">
        <w:trPr>
          <w:trHeight w:val="300"/>
        </w:trPr>
        <w:tc>
          <w:tcPr>
            <w:tcW w:w="8053" w:type="dxa"/>
            <w:tcBorders>
              <w:top w:val="nil"/>
              <w:left w:val="single" w:sz="4" w:space="0" w:color="auto"/>
              <w:bottom w:val="single" w:sz="4" w:space="0" w:color="auto"/>
              <w:right w:val="single" w:sz="4" w:space="0" w:color="auto"/>
            </w:tcBorders>
            <w:noWrap/>
            <w:vAlign w:val="bottom"/>
            <w:hideMark/>
          </w:tcPr>
          <w:p w14:paraId="551485EA" w14:textId="20BCBC6F"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xml:space="preserve">Project Team Leader </w:t>
            </w:r>
            <w:r w:rsidR="00162B8B" w:rsidRPr="008D77D8">
              <w:rPr>
                <w:rFonts w:ascii="Calibri" w:hAnsi="Calibri" w:cs="Calibri"/>
                <w:color w:val="000000"/>
                <w:sz w:val="20"/>
                <w:szCs w:val="20"/>
              </w:rPr>
              <w:t>Initials</w:t>
            </w:r>
            <w:r w:rsidRPr="008D77D8">
              <w:rPr>
                <w:rFonts w:ascii="Calibri" w:hAnsi="Calibri" w:cs="Calibri"/>
                <w:color w:val="000000"/>
                <w:sz w:val="20"/>
                <w:szCs w:val="20"/>
              </w:rPr>
              <w:t xml:space="preserve"> &amp; Date:</w:t>
            </w:r>
          </w:p>
        </w:tc>
        <w:tc>
          <w:tcPr>
            <w:tcW w:w="1476" w:type="dxa"/>
            <w:tcBorders>
              <w:top w:val="nil"/>
              <w:left w:val="nil"/>
              <w:bottom w:val="single" w:sz="4" w:space="0" w:color="auto"/>
              <w:right w:val="single" w:sz="4" w:space="0" w:color="auto"/>
            </w:tcBorders>
            <w:noWrap/>
            <w:vAlign w:val="bottom"/>
            <w:hideMark/>
          </w:tcPr>
          <w:p w14:paraId="0F624A29"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4" w:space="0" w:color="auto"/>
            </w:tcBorders>
            <w:noWrap/>
            <w:vAlign w:val="bottom"/>
            <w:hideMark/>
          </w:tcPr>
          <w:p w14:paraId="48C3CCCD"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r w:rsidR="00740F9E" w:rsidRPr="008D77D8" w14:paraId="55438DF0" w14:textId="77777777" w:rsidTr="00740F9E">
        <w:trPr>
          <w:trHeight w:val="300"/>
        </w:trPr>
        <w:tc>
          <w:tcPr>
            <w:tcW w:w="8053" w:type="dxa"/>
            <w:tcBorders>
              <w:top w:val="nil"/>
              <w:left w:val="single" w:sz="4" w:space="0" w:color="auto"/>
              <w:bottom w:val="single" w:sz="4" w:space="0" w:color="auto"/>
              <w:right w:val="single" w:sz="4" w:space="0" w:color="auto"/>
            </w:tcBorders>
            <w:noWrap/>
            <w:vAlign w:val="bottom"/>
            <w:hideMark/>
          </w:tcPr>
          <w:p w14:paraId="57A4C591"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Final Reviewer Initials &amp; Date:</w:t>
            </w:r>
          </w:p>
        </w:tc>
        <w:tc>
          <w:tcPr>
            <w:tcW w:w="1476" w:type="dxa"/>
            <w:tcBorders>
              <w:top w:val="nil"/>
              <w:left w:val="nil"/>
              <w:bottom w:val="single" w:sz="4" w:space="0" w:color="auto"/>
              <w:right w:val="single" w:sz="4" w:space="0" w:color="auto"/>
            </w:tcBorders>
            <w:noWrap/>
            <w:vAlign w:val="bottom"/>
            <w:hideMark/>
          </w:tcPr>
          <w:p w14:paraId="673C2956"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c>
          <w:tcPr>
            <w:tcW w:w="1031" w:type="dxa"/>
            <w:tcBorders>
              <w:top w:val="nil"/>
              <w:left w:val="nil"/>
              <w:bottom w:val="single" w:sz="4" w:space="0" w:color="auto"/>
              <w:right w:val="single" w:sz="4" w:space="0" w:color="auto"/>
            </w:tcBorders>
            <w:noWrap/>
            <w:vAlign w:val="bottom"/>
            <w:hideMark/>
          </w:tcPr>
          <w:p w14:paraId="0A0AA408" w14:textId="77777777" w:rsidR="00740F9E" w:rsidRPr="008D77D8" w:rsidRDefault="00740F9E" w:rsidP="006D08F2">
            <w:pPr>
              <w:widowControl/>
              <w:autoSpaceDE/>
              <w:autoSpaceDN/>
              <w:rPr>
                <w:rFonts w:ascii="Calibri" w:hAnsi="Calibri" w:cs="Calibri"/>
                <w:color w:val="000000"/>
                <w:sz w:val="20"/>
                <w:szCs w:val="20"/>
              </w:rPr>
            </w:pPr>
            <w:r w:rsidRPr="008D77D8">
              <w:rPr>
                <w:rFonts w:ascii="Calibri" w:hAnsi="Calibri" w:cs="Calibri"/>
                <w:color w:val="000000"/>
                <w:sz w:val="20"/>
                <w:szCs w:val="20"/>
              </w:rPr>
              <w:t> </w:t>
            </w:r>
          </w:p>
        </w:tc>
      </w:tr>
    </w:tbl>
    <w:p w14:paraId="5736D8C7" w14:textId="55B5BD7D" w:rsidR="006902C6" w:rsidRPr="008D77D8" w:rsidRDefault="00740F9E" w:rsidP="006D08F2">
      <w:pPr>
        <w:pStyle w:val="Heading2"/>
        <w:numPr>
          <w:ilvl w:val="0"/>
          <w:numId w:val="24"/>
        </w:numPr>
        <w:tabs>
          <w:tab w:val="left" w:pos="1080"/>
          <w:tab w:val="left" w:pos="1081"/>
        </w:tabs>
        <w:spacing w:before="240" w:after="240"/>
        <w:ind w:hanging="721"/>
        <w:jc w:val="both"/>
        <w:rPr>
          <w:u w:val="none"/>
        </w:rPr>
      </w:pPr>
      <w:r w:rsidRPr="008D77D8">
        <w:rPr>
          <w:b w:val="0"/>
        </w:rPr>
        <w:fldChar w:fldCharType="end"/>
      </w:r>
      <w:r w:rsidR="00730F67" w:rsidRPr="008D77D8">
        <w:t>PLANNING AND DESIGN AWARDS</w:t>
      </w:r>
    </w:p>
    <w:p w14:paraId="07F0513F" w14:textId="522C193C" w:rsidR="00896044" w:rsidRPr="008D77D8" w:rsidRDefault="00730F67" w:rsidP="006D08F2">
      <w:pPr>
        <w:pStyle w:val="BodyText"/>
        <w:spacing w:before="92" w:after="240"/>
        <w:ind w:left="360" w:right="552"/>
        <w:jc w:val="both"/>
      </w:pPr>
      <w:r w:rsidRPr="008D77D8">
        <w:t xml:space="preserve">The 1996 Amendments of the Safe Drinking Water Act (SDWA) </w:t>
      </w:r>
      <w:r w:rsidR="00B83696" w:rsidRPr="008D77D8">
        <w:t>encourage</w:t>
      </w:r>
      <w:r w:rsidRPr="008D77D8">
        <w:t xml:space="preserve"> States to provide technical</w:t>
      </w:r>
      <w:r w:rsidR="00D727FF" w:rsidRPr="008D77D8">
        <w:t xml:space="preserve"> </w:t>
      </w:r>
      <w:r w:rsidR="00923103" w:rsidRPr="008D77D8">
        <w:t>assistance</w:t>
      </w:r>
      <w:r w:rsidRPr="008D77D8">
        <w:t xml:space="preserve"> to waterworks. In addition to other forms of technical assistance, VDH created an activity to annually provide planning and design funding awards, especially for </w:t>
      </w:r>
      <w:r w:rsidRPr="008D77D8">
        <w:rPr>
          <w:u w:val="single"/>
        </w:rPr>
        <w:t>small, financially challenged</w:t>
      </w:r>
      <w:r w:rsidRPr="008D77D8">
        <w:t xml:space="preserve">, </w:t>
      </w:r>
      <w:r w:rsidRPr="008D77D8">
        <w:rPr>
          <w:u w:val="single"/>
        </w:rPr>
        <w:t>community</w:t>
      </w:r>
      <w:r w:rsidRPr="008D77D8">
        <w:t xml:space="preserve"> waterworks. Eligible projects may include preliminary engineering planning, design of plans and specifications, performance of source water quality and quantity studies, drilling test wells to determine source feasibility, or other similar technical assistance projects. Applicants interested in this program should review ODW’s </w:t>
      </w:r>
      <w:r w:rsidRPr="008D77D8">
        <w:rPr>
          <w:i/>
        </w:rPr>
        <w:t xml:space="preserve">Planning and Design Funding </w:t>
      </w:r>
      <w:r w:rsidRPr="008D77D8">
        <w:t>Program which is provided on our website as a separate document.</w:t>
      </w:r>
    </w:p>
    <w:p w14:paraId="6540AF58" w14:textId="77777777" w:rsidR="006902C6" w:rsidRPr="008D77D8" w:rsidRDefault="00730F67" w:rsidP="007A786B">
      <w:pPr>
        <w:pStyle w:val="Heading2"/>
        <w:numPr>
          <w:ilvl w:val="0"/>
          <w:numId w:val="24"/>
        </w:numPr>
        <w:tabs>
          <w:tab w:val="left" w:pos="1080"/>
          <w:tab w:val="left" w:pos="1081"/>
        </w:tabs>
        <w:spacing w:before="240" w:after="240"/>
        <w:ind w:hanging="721"/>
        <w:jc w:val="both"/>
      </w:pPr>
      <w:bookmarkStart w:id="14" w:name="_bookmark11"/>
      <w:bookmarkEnd w:id="14"/>
      <w:r w:rsidRPr="008D77D8">
        <w:t>1452 (k) LOCAL ASSISTANCE AND OTHER STATE PROGRAMS (15%)</w:t>
      </w:r>
    </w:p>
    <w:p w14:paraId="4D95D1F5" w14:textId="1E114F86" w:rsidR="00896044" w:rsidRPr="008D77D8" w:rsidRDefault="00730F67" w:rsidP="00BA3A33">
      <w:pPr>
        <w:spacing w:before="91" w:after="240"/>
        <w:ind w:left="360" w:right="552"/>
        <w:jc w:val="both"/>
        <w:sectPr w:rsidR="00896044" w:rsidRPr="008D77D8">
          <w:pgSz w:w="12240" w:h="15840"/>
          <w:pgMar w:top="1200" w:right="600" w:bottom="1000" w:left="1080" w:header="723" w:footer="808" w:gutter="0"/>
          <w:cols w:space="720"/>
        </w:sectPr>
      </w:pPr>
      <w:r w:rsidRPr="008D77D8">
        <w:t xml:space="preserve">“A State may fund several other categories of activities to assist development and/or implementation of local drinking water protection initiatives (section 1452). A State may use up to 15% of the capitalization grant amount...with the stipulation that not more than 10% of the capitalization grant can be used for any one activity.” </w:t>
      </w:r>
      <w:r w:rsidR="00BA3A33" w:rsidRPr="008D77D8">
        <w:t xml:space="preserve"> Applicants interested in this program should review ODW’s </w:t>
      </w:r>
      <w:r w:rsidR="00BA3A33" w:rsidRPr="008D77D8">
        <w:rPr>
          <w:i/>
          <w:iCs/>
        </w:rPr>
        <w:t xml:space="preserve">Planning and Design Funding </w:t>
      </w:r>
      <w:r w:rsidR="00BA3A33" w:rsidRPr="008D77D8">
        <w:t>Program which is provided on our website as a separate document.</w:t>
      </w:r>
    </w:p>
    <w:p w14:paraId="07A47395" w14:textId="77777777" w:rsidR="00896044" w:rsidRPr="008D77D8" w:rsidRDefault="00896044" w:rsidP="006D08F2">
      <w:pPr>
        <w:pStyle w:val="BodyText"/>
        <w:spacing w:before="7"/>
        <w:rPr>
          <w:sz w:val="11"/>
        </w:rPr>
      </w:pPr>
    </w:p>
    <w:p w14:paraId="4AF2CADC" w14:textId="77777777" w:rsidR="00896044" w:rsidRPr="008D77D8" w:rsidRDefault="00730F67" w:rsidP="00CB740B">
      <w:pPr>
        <w:pStyle w:val="Heading3"/>
        <w:spacing w:before="187"/>
        <w:ind w:left="0"/>
        <w:jc w:val="center"/>
        <w:rPr>
          <w:b w:val="0"/>
        </w:rPr>
      </w:pPr>
      <w:bookmarkStart w:id="15" w:name="_bookmark12"/>
      <w:bookmarkEnd w:id="15"/>
      <w:r w:rsidRPr="008D77D8">
        <w:t>APPENDIX A</w:t>
      </w:r>
    </w:p>
    <w:p w14:paraId="23132173" w14:textId="4095E142" w:rsidR="006902C6" w:rsidRPr="008D77D8" w:rsidRDefault="00404B7E" w:rsidP="00CB740B">
      <w:pPr>
        <w:jc w:val="center"/>
        <w:rPr>
          <w:b/>
          <w:bCs/>
        </w:rPr>
      </w:pPr>
      <w:r w:rsidRPr="008D77D8">
        <w:rPr>
          <w:b/>
          <w:bCs/>
          <w:noProof/>
        </w:rPr>
        <mc:AlternateContent>
          <mc:Choice Requires="wps">
            <w:drawing>
              <wp:anchor distT="0" distB="0" distL="0" distR="0" simplePos="0" relativeHeight="487597568" behindDoc="1" locked="0" layoutInCell="1" allowOverlap="1" wp14:anchorId="3F525752" wp14:editId="3D9AC208">
                <wp:simplePos x="0" y="0"/>
                <wp:positionH relativeFrom="page">
                  <wp:posOffset>896620</wp:posOffset>
                </wp:positionH>
                <wp:positionV relativeFrom="paragraph">
                  <wp:posOffset>197485</wp:posOffset>
                </wp:positionV>
                <wp:extent cx="6163945" cy="18415"/>
                <wp:effectExtent l="0" t="0" r="0" b="0"/>
                <wp:wrapTopAndBottom/>
                <wp:docPr id="2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707" id="docshape82" o:spid="_x0000_s1026" style="position:absolute;margin-left:70.6pt;margin-top:15.55pt;width:485.3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" fillcolor="black" stroked="f">
                <w10:wrap type="topAndBottom" anchorx="page"/>
              </v:rect>
            </w:pict>
          </mc:Fallback>
        </mc:AlternateContent>
      </w:r>
      <w:r w:rsidR="00730F67" w:rsidRPr="008D77D8">
        <w:rPr>
          <w:b/>
          <w:bCs/>
        </w:rPr>
        <w:t>Synopsis of Program Requirements</w:t>
      </w:r>
    </w:p>
    <w:p w14:paraId="337855BF" w14:textId="77777777" w:rsidR="006902C6" w:rsidRPr="008D77D8" w:rsidRDefault="00730F67" w:rsidP="00CB740B">
      <w:pPr>
        <w:pStyle w:val="Heading4"/>
      </w:pPr>
      <w:r w:rsidRPr="008D77D8">
        <w:t>Introduction:</w:t>
      </w:r>
    </w:p>
    <w:p w14:paraId="498F54D1" w14:textId="77777777" w:rsidR="006902C6" w:rsidRPr="008D77D8" w:rsidRDefault="00730F67" w:rsidP="006D08F2">
      <w:pPr>
        <w:spacing w:after="240" w:line="242" w:lineRule="auto"/>
        <w:ind w:left="360" w:right="552"/>
        <w:jc w:val="both"/>
        <w:rPr>
          <w:b/>
        </w:rPr>
      </w:pPr>
      <w:r w:rsidRPr="008D77D8">
        <w:t xml:space="preserve">There are a number of Federal and State requirements which are applicable to projects funded through the Program. It is the intent of the Virginia Department of Health (VDH) to ensure compliance with all of these requirements by our Loan Recipients. </w:t>
      </w:r>
      <w:r w:rsidRPr="008D77D8">
        <w:rPr>
          <w:b/>
        </w:rPr>
        <w:t>In order for this goal to be achieved, it is important that our Recipients fully understand these requirements and that they follow through in meeting these requirements in a timely manner.</w:t>
      </w:r>
    </w:p>
    <w:p w14:paraId="45029C72" w14:textId="77777777" w:rsidR="006902C6" w:rsidRPr="008D77D8" w:rsidRDefault="00730F67" w:rsidP="006D08F2">
      <w:pPr>
        <w:pStyle w:val="BodyText"/>
        <w:spacing w:after="240"/>
        <w:ind w:left="360" w:right="564"/>
        <w:jc w:val="both"/>
      </w:pPr>
      <w:r w:rsidRPr="008D77D8">
        <w:t xml:space="preserve">The Purpose of this synopsis is to provide a very brief summary of the program requirements as they relate to the Recipients. The Synopsis is not intended to explain </w:t>
      </w:r>
      <w:r w:rsidR="001D469B" w:rsidRPr="008D77D8">
        <w:t>all</w:t>
      </w:r>
      <w:r w:rsidRPr="008D77D8">
        <w:t xml:space="preserve"> the details of meeting these requirements, as that information is provided in the </w:t>
      </w:r>
      <w:r w:rsidRPr="008D77D8">
        <w:rPr>
          <w:i/>
        </w:rPr>
        <w:t>Procedural Guidelines</w:t>
      </w:r>
      <w:r w:rsidRPr="008D77D8">
        <w:t xml:space="preserve">. It is imperative that the Recipient read, understand and follow the procedures presented in the </w:t>
      </w:r>
      <w:r w:rsidRPr="008D77D8">
        <w:rPr>
          <w:i/>
        </w:rPr>
        <w:t>Guidelines</w:t>
      </w:r>
      <w:r w:rsidRPr="008D77D8">
        <w:t xml:space="preserve">. This document provides a review of the requirements for easy reference in one location. The </w:t>
      </w:r>
      <w:proofErr w:type="gramStart"/>
      <w:r w:rsidRPr="008D77D8">
        <w:t>guidance documents</w:t>
      </w:r>
      <w:proofErr w:type="gramEnd"/>
      <w:r w:rsidRPr="008D77D8">
        <w:t xml:space="preserve"> contained within the </w:t>
      </w:r>
      <w:r w:rsidRPr="008D77D8">
        <w:rPr>
          <w:i/>
        </w:rPr>
        <w:t xml:space="preserve">Procedural Guidelines </w:t>
      </w:r>
      <w:r w:rsidRPr="008D77D8">
        <w:t>are referenced as appropriate (as PG #s).</w:t>
      </w:r>
    </w:p>
    <w:p w14:paraId="68F343E7" w14:textId="77777777" w:rsidR="006902C6" w:rsidRPr="008D77D8" w:rsidRDefault="00730F67" w:rsidP="00CB740B">
      <w:pPr>
        <w:pStyle w:val="Heading4"/>
      </w:pPr>
      <w:r w:rsidRPr="008D77D8">
        <w:t>Financial (</w:t>
      </w:r>
      <w:proofErr w:type="gramStart"/>
      <w:r w:rsidRPr="008D77D8">
        <w:t>PG #’</w:t>
      </w:r>
      <w:proofErr w:type="gramEnd"/>
      <w:r w:rsidRPr="008D77D8">
        <w:t xml:space="preserve">s </w:t>
      </w:r>
      <w:r w:rsidR="00C53074" w:rsidRPr="008D77D8">
        <w:t>1</w:t>
      </w:r>
      <w:r w:rsidRPr="008D77D8">
        <w:t xml:space="preserve">, </w:t>
      </w:r>
      <w:r w:rsidR="00C53074" w:rsidRPr="008D77D8">
        <w:t>2</w:t>
      </w:r>
      <w:r w:rsidRPr="008D77D8">
        <w:t xml:space="preserve">, </w:t>
      </w:r>
      <w:r w:rsidR="00C53074" w:rsidRPr="008D77D8">
        <w:t>3</w:t>
      </w:r>
      <w:r w:rsidRPr="008D77D8">
        <w:t xml:space="preserve">, </w:t>
      </w:r>
      <w:r w:rsidR="00C53074" w:rsidRPr="008D77D8">
        <w:t>4</w:t>
      </w:r>
      <w:r w:rsidRPr="008D77D8">
        <w:t>)</w:t>
      </w:r>
    </w:p>
    <w:p w14:paraId="03F5F53D" w14:textId="77777777" w:rsidR="006902C6" w:rsidRPr="008D77D8" w:rsidRDefault="00730F67" w:rsidP="006D08F2">
      <w:pPr>
        <w:pStyle w:val="BodyText"/>
        <w:spacing w:after="240"/>
        <w:ind w:left="360"/>
        <w:jc w:val="both"/>
      </w:pPr>
      <w:r w:rsidRPr="008D77D8">
        <w:t>The financial requirements of the Program include:</w:t>
      </w:r>
    </w:p>
    <w:p w14:paraId="2C72BD19" w14:textId="77777777" w:rsidR="006902C6" w:rsidRPr="008D77D8" w:rsidRDefault="00730F67" w:rsidP="006D08F2">
      <w:pPr>
        <w:pStyle w:val="ListParagraph"/>
        <w:numPr>
          <w:ilvl w:val="0"/>
          <w:numId w:val="7"/>
        </w:numPr>
        <w:tabs>
          <w:tab w:val="left" w:pos="1081"/>
          <w:tab w:val="left" w:pos="6490"/>
        </w:tabs>
        <w:spacing w:line="276" w:lineRule="auto"/>
        <w:ind w:right="550"/>
        <w:jc w:val="both"/>
      </w:pPr>
      <w:r w:rsidRPr="008D77D8">
        <w:t xml:space="preserve">Compliance with the </w:t>
      </w:r>
      <w:r w:rsidRPr="008D77D8">
        <w:rPr>
          <w:i/>
        </w:rPr>
        <w:t>Virginia Public Procurement Act</w:t>
      </w:r>
      <w:r w:rsidRPr="008D77D8">
        <w:t>.</w:t>
      </w:r>
      <w:r w:rsidR="0047059D" w:rsidRPr="008D77D8">
        <w:t xml:space="preserve"> </w:t>
      </w:r>
      <w:r w:rsidRPr="008D77D8">
        <w:t>(Recipients must comply with all the requirements of this Act regardless of population size).</w:t>
      </w:r>
    </w:p>
    <w:p w14:paraId="007BC50E" w14:textId="77777777" w:rsidR="006902C6" w:rsidRPr="008D77D8" w:rsidRDefault="00730F67" w:rsidP="006D08F2">
      <w:pPr>
        <w:pStyle w:val="ListParagraph"/>
        <w:numPr>
          <w:ilvl w:val="0"/>
          <w:numId w:val="7"/>
        </w:numPr>
        <w:tabs>
          <w:tab w:val="left" w:pos="1081"/>
        </w:tabs>
        <w:spacing w:line="276" w:lineRule="auto"/>
        <w:ind w:hanging="361"/>
        <w:jc w:val="both"/>
      </w:pPr>
      <w:r w:rsidRPr="008D77D8">
        <w:t xml:space="preserve">Compliance with </w:t>
      </w:r>
      <w:r w:rsidRPr="008D77D8">
        <w:rPr>
          <w:i/>
        </w:rPr>
        <w:t>Office of Management and Budget Circular A-102</w:t>
      </w:r>
      <w:r w:rsidRPr="008D77D8">
        <w:t>.</w:t>
      </w:r>
    </w:p>
    <w:p w14:paraId="5EA2AC66" w14:textId="77777777" w:rsidR="006902C6" w:rsidRPr="008D77D8" w:rsidRDefault="00730F67" w:rsidP="006D08F2">
      <w:pPr>
        <w:pStyle w:val="ListParagraph"/>
        <w:numPr>
          <w:ilvl w:val="0"/>
          <w:numId w:val="7"/>
        </w:numPr>
        <w:tabs>
          <w:tab w:val="left" w:pos="1081"/>
        </w:tabs>
        <w:spacing w:line="276" w:lineRule="auto"/>
        <w:ind w:hanging="361"/>
        <w:jc w:val="both"/>
      </w:pPr>
      <w:r w:rsidRPr="008D77D8">
        <w:t xml:space="preserve">Compliance with the </w:t>
      </w:r>
      <w:r w:rsidRPr="008D77D8">
        <w:rPr>
          <w:i/>
        </w:rPr>
        <w:t>Uniform Financial Report Manual</w:t>
      </w:r>
      <w:r w:rsidRPr="008D77D8">
        <w:t>.</w:t>
      </w:r>
    </w:p>
    <w:p w14:paraId="5CF60FA7" w14:textId="77777777" w:rsidR="006902C6" w:rsidRPr="008D77D8" w:rsidRDefault="00730F67" w:rsidP="006D08F2">
      <w:pPr>
        <w:pStyle w:val="ListParagraph"/>
        <w:numPr>
          <w:ilvl w:val="0"/>
          <w:numId w:val="7"/>
        </w:numPr>
        <w:tabs>
          <w:tab w:val="left" w:pos="1081"/>
        </w:tabs>
        <w:spacing w:after="240" w:line="276" w:lineRule="auto"/>
        <w:ind w:hanging="361"/>
        <w:jc w:val="both"/>
      </w:pPr>
      <w:r w:rsidRPr="008D77D8">
        <w:t xml:space="preserve">Compliance with the </w:t>
      </w:r>
      <w:r w:rsidRPr="008D77D8">
        <w:rPr>
          <w:i/>
        </w:rPr>
        <w:t>Single Audit Act</w:t>
      </w:r>
      <w:r w:rsidRPr="008D77D8">
        <w:t>.</w:t>
      </w:r>
    </w:p>
    <w:p w14:paraId="70B1D983" w14:textId="6871E5FB" w:rsidR="006902C6" w:rsidRPr="008D77D8" w:rsidRDefault="00730F67" w:rsidP="006D08F2">
      <w:pPr>
        <w:pStyle w:val="BodyText"/>
        <w:spacing w:after="240"/>
        <w:ind w:left="360" w:right="668"/>
        <w:jc w:val="both"/>
      </w:pPr>
      <w:r w:rsidRPr="008D77D8">
        <w:t xml:space="preserve">An adequate recordkeeping/filing system is the only way to ensure that required records related to the above requirements are maintained and accessible. There </w:t>
      </w:r>
      <w:r w:rsidR="0016771A" w:rsidRPr="008D77D8">
        <w:t>are</w:t>
      </w:r>
      <w:r w:rsidRPr="008D77D8">
        <w:t xml:space="preserve"> no specific recordkeeping/filing requirements regarding the manner in which files are kept. The </w:t>
      </w:r>
      <w:r w:rsidRPr="008D77D8">
        <w:rPr>
          <w:i/>
        </w:rPr>
        <w:t xml:space="preserve">Procedural Guidelines </w:t>
      </w:r>
      <w:r w:rsidR="008732F9" w:rsidRPr="008D77D8">
        <w:t>contain</w:t>
      </w:r>
      <w:r w:rsidRPr="008D77D8">
        <w:t xml:space="preserve"> a summary of the type of information that will be reviewed during VDH monitoring visits, and a sample filing system</w:t>
      </w:r>
      <w:r w:rsidR="00982550">
        <w:t xml:space="preserve"> (PG #6)</w:t>
      </w:r>
      <w:r w:rsidRPr="008D77D8">
        <w:t>.</w:t>
      </w:r>
    </w:p>
    <w:p w14:paraId="7E315693" w14:textId="77777777" w:rsidR="006902C6" w:rsidRPr="008D77D8" w:rsidRDefault="00730F67" w:rsidP="00CB740B">
      <w:pPr>
        <w:pStyle w:val="Heading4"/>
      </w:pPr>
      <w:r w:rsidRPr="008D77D8">
        <w:t>Planning and Design</w:t>
      </w:r>
    </w:p>
    <w:p w14:paraId="55A6571B" w14:textId="77777777" w:rsidR="006902C6" w:rsidRPr="008D77D8" w:rsidRDefault="00730F67" w:rsidP="006D08F2">
      <w:pPr>
        <w:pStyle w:val="BodyText"/>
        <w:spacing w:after="240"/>
        <w:ind w:left="360" w:right="547"/>
        <w:jc w:val="both"/>
      </w:pPr>
      <w:r w:rsidRPr="008D77D8">
        <w:t>There are six (6) Program requirements related to project planning and design. It is important to note that all planning and design requirements must be satisfied prior to closing a loan through the Program. The requirements are as follows:</w:t>
      </w:r>
    </w:p>
    <w:p w14:paraId="3EC08E19" w14:textId="45D3490D" w:rsidR="00896044" w:rsidRPr="008D77D8" w:rsidRDefault="00730F67" w:rsidP="006D08F2">
      <w:pPr>
        <w:pStyle w:val="ListParagraph"/>
        <w:numPr>
          <w:ilvl w:val="0"/>
          <w:numId w:val="6"/>
        </w:numPr>
        <w:tabs>
          <w:tab w:val="left" w:pos="1081"/>
        </w:tabs>
        <w:spacing w:after="240"/>
        <w:ind w:right="626"/>
        <w:jc w:val="both"/>
      </w:pPr>
      <w:r w:rsidRPr="008D77D8">
        <w:rPr>
          <w:i/>
        </w:rPr>
        <w:t xml:space="preserve">Environmental Review </w:t>
      </w:r>
      <w:r w:rsidRPr="008D77D8">
        <w:t xml:space="preserve">(ER) (PG #7) - This requirement is intended to ensure that projects funded through the Program are environmentally sound and is one of the major planning requirements. It involves a review of the environmental impacts of the project alternatives along with any preventive or mitigative measures which could be taken to minimize the adverse impacts. There are three types or levels of environmental review in the Program based on the </w:t>
      </w:r>
      <w:r w:rsidR="0047059D" w:rsidRPr="008D77D8">
        <w:t>project’s</w:t>
      </w:r>
      <w:r w:rsidRPr="008D77D8">
        <w:t xml:space="preserve"> potential for significant environmental </w:t>
      </w:r>
      <w:r w:rsidR="00FB15D0" w:rsidRPr="008D77D8">
        <w:t>impacts:</w:t>
      </w:r>
      <w:r w:rsidRPr="008D77D8">
        <w:t xml:space="preserve"> ranging from a relatively simple Categorical Exclusion to the more complex Environmental Impact Statement. The review includes procedures for soliciting public participation into the process and final review and approval.</w:t>
      </w:r>
    </w:p>
    <w:p w14:paraId="7C1823E7" w14:textId="77777777" w:rsidR="00896044" w:rsidRPr="008D77D8" w:rsidRDefault="00896044" w:rsidP="006D08F2">
      <w:pPr>
        <w:spacing w:after="240"/>
        <w:sectPr w:rsidR="00896044" w:rsidRPr="008D77D8">
          <w:pgSz w:w="12240" w:h="15840"/>
          <w:pgMar w:top="1200" w:right="600" w:bottom="1000" w:left="1080" w:header="723" w:footer="808" w:gutter="0"/>
          <w:cols w:space="720"/>
        </w:sectPr>
      </w:pPr>
    </w:p>
    <w:p w14:paraId="4526586B" w14:textId="77777777" w:rsidR="00896044" w:rsidRPr="008D77D8" w:rsidRDefault="00896044" w:rsidP="006D08F2">
      <w:pPr>
        <w:pStyle w:val="BodyText"/>
        <w:spacing w:before="2" w:after="240"/>
        <w:rPr>
          <w:sz w:val="11"/>
        </w:rPr>
      </w:pPr>
    </w:p>
    <w:p w14:paraId="6A6C82D8" w14:textId="77777777" w:rsidR="006902C6" w:rsidRPr="008D77D8" w:rsidRDefault="00730F67" w:rsidP="006D08F2">
      <w:pPr>
        <w:pStyle w:val="ListParagraph"/>
        <w:numPr>
          <w:ilvl w:val="0"/>
          <w:numId w:val="6"/>
        </w:numPr>
        <w:tabs>
          <w:tab w:val="left" w:pos="1081"/>
        </w:tabs>
        <w:spacing w:before="92" w:after="240"/>
        <w:ind w:right="659"/>
        <w:jc w:val="both"/>
      </w:pPr>
      <w:r w:rsidRPr="008D77D8">
        <w:t xml:space="preserve">Permit Application - Notification of Intent (PG #8) - This form is submitted by waterworks owners to initiate the project evaluation process. The </w:t>
      </w:r>
      <w:r w:rsidRPr="008D77D8">
        <w:rPr>
          <w:i/>
        </w:rPr>
        <w:t xml:space="preserve">Code of Virginia </w:t>
      </w:r>
      <w:r w:rsidRPr="008D77D8">
        <w:t>Section 32.1-172B requires a person to apply to the Field Office of VDH prior to the establishment, construction or operation of a waterworks. Applications also may be completed by telephone and signed during the Preliminary Engineering Conference.</w:t>
      </w:r>
    </w:p>
    <w:p w14:paraId="5C6C1691" w14:textId="5516E1CD" w:rsidR="006902C6" w:rsidRPr="008D77D8" w:rsidRDefault="00C53074" w:rsidP="006D08F2">
      <w:pPr>
        <w:pStyle w:val="ListParagraph"/>
        <w:numPr>
          <w:ilvl w:val="0"/>
          <w:numId w:val="6"/>
        </w:numPr>
        <w:tabs>
          <w:tab w:val="left" w:pos="1081"/>
        </w:tabs>
        <w:spacing w:after="240"/>
        <w:ind w:right="607"/>
        <w:jc w:val="both"/>
      </w:pPr>
      <w:r w:rsidRPr="008D77D8">
        <w:t xml:space="preserve">Preliminary Engineering Conference (PEC) (PG#8) – The </w:t>
      </w:r>
      <w:r w:rsidR="00B83696" w:rsidRPr="008D77D8">
        <w:t>PECs</w:t>
      </w:r>
      <w:r w:rsidRPr="008D77D8">
        <w:t xml:space="preserve"> </w:t>
      </w:r>
      <w:r w:rsidR="00684418" w:rsidRPr="008D77D8">
        <w:t>provide</w:t>
      </w:r>
      <w:r w:rsidRPr="008D77D8">
        <w:t xml:space="preserve"> for an exchange of information between all parties and is normally held at the ODW Field Office with the engineering staff.</w:t>
      </w:r>
      <w:r w:rsidR="00D727FF" w:rsidRPr="008D77D8">
        <w:t xml:space="preserve"> </w:t>
      </w:r>
      <w:r w:rsidRPr="008D77D8">
        <w:t>The envisioned project will be discussed in its entirety.</w:t>
      </w:r>
      <w:r w:rsidR="00D727FF" w:rsidRPr="008D77D8">
        <w:t xml:space="preserve"> </w:t>
      </w:r>
      <w:r w:rsidRPr="008D77D8">
        <w:t>The applicant’s engineer shall be prepared to set forth water supply problems and the proposed solution in such a manner as to support the conclusions and recommendations.</w:t>
      </w:r>
      <w:r w:rsidR="00D727FF" w:rsidRPr="008D77D8">
        <w:t xml:space="preserve"> </w:t>
      </w:r>
      <w:r w:rsidRPr="008D77D8">
        <w:t>Discussions regarding system problems and technical design standards and construction requirements and ongoing financial commitments will help determine if the project is feasible and, if so, the scope of work for the envisioned project.</w:t>
      </w:r>
      <w:r w:rsidR="00D727FF" w:rsidRPr="008D77D8">
        <w:t xml:space="preserve"> </w:t>
      </w:r>
    </w:p>
    <w:p w14:paraId="5F258ABC" w14:textId="5F9AD9CB" w:rsidR="006902C6" w:rsidRPr="008D77D8" w:rsidRDefault="00224D28" w:rsidP="006D08F2">
      <w:pPr>
        <w:tabs>
          <w:tab w:val="left" w:pos="1081"/>
        </w:tabs>
        <w:spacing w:after="240"/>
        <w:ind w:left="1080" w:right="607"/>
        <w:jc w:val="both"/>
      </w:pPr>
      <w:r w:rsidRPr="008D77D8">
        <w:t xml:space="preserve">The effort will enable the owner to consider many elements that will affect the </w:t>
      </w:r>
      <w:r w:rsidR="00B83696" w:rsidRPr="008D77D8">
        <w:t>long-term</w:t>
      </w:r>
      <w:r w:rsidRPr="008D77D8">
        <w:t xml:space="preserve"> economic viability necessary to ensure stability of the project.</w:t>
      </w:r>
      <w:r w:rsidR="00D727FF" w:rsidRPr="008D77D8">
        <w:t xml:space="preserve"> </w:t>
      </w:r>
      <w:r w:rsidRPr="008D77D8">
        <w:t>Preliminary thoughts for design exceptions should be formulated at this step.</w:t>
      </w:r>
      <w:r w:rsidR="00D727FF" w:rsidRPr="008D77D8">
        <w:t xml:space="preserve"> </w:t>
      </w:r>
    </w:p>
    <w:p w14:paraId="765FFD06" w14:textId="339193BF" w:rsidR="006902C6" w:rsidRPr="008D77D8" w:rsidRDefault="00B83696" w:rsidP="006D08F2">
      <w:pPr>
        <w:tabs>
          <w:tab w:val="left" w:pos="1081"/>
        </w:tabs>
        <w:spacing w:after="240"/>
        <w:ind w:left="1080" w:right="607"/>
        <w:jc w:val="both"/>
      </w:pPr>
      <w:r w:rsidRPr="008D77D8">
        <w:t>PECs</w:t>
      </w:r>
      <w:r w:rsidR="00224D28" w:rsidRPr="008D77D8">
        <w:t xml:space="preserve"> are encouraged for all projects involving treatment processes or complex hydraulics.</w:t>
      </w:r>
      <w:r w:rsidR="00D727FF" w:rsidRPr="008D77D8">
        <w:t xml:space="preserve"> </w:t>
      </w:r>
      <w:r w:rsidR="00224D28" w:rsidRPr="008D77D8">
        <w:t>For routine water line extensions, a telephone conference may suffice at the discretion of the ODW Field Office.</w:t>
      </w:r>
      <w:r w:rsidR="00D727FF" w:rsidRPr="008D77D8">
        <w:t xml:space="preserve"> </w:t>
      </w:r>
    </w:p>
    <w:p w14:paraId="0F9E295B" w14:textId="77777777" w:rsidR="006902C6" w:rsidRPr="008D77D8" w:rsidRDefault="00730F67" w:rsidP="006D08F2">
      <w:pPr>
        <w:pStyle w:val="ListParagraph"/>
        <w:numPr>
          <w:ilvl w:val="0"/>
          <w:numId w:val="6"/>
        </w:numPr>
        <w:tabs>
          <w:tab w:val="left" w:pos="1081"/>
        </w:tabs>
        <w:spacing w:after="240"/>
        <w:ind w:right="549"/>
        <w:jc w:val="both"/>
      </w:pPr>
      <w:r w:rsidRPr="008D77D8">
        <w:t xml:space="preserve">Waterworks Business Operations Plan (WBOP) (PG #8) - The Program restricts assistance to a waterworks that lacks the technical, managerial or financial capability to maintain compliance with the SDWA and the </w:t>
      </w:r>
      <w:r w:rsidRPr="008D77D8">
        <w:rPr>
          <w:i/>
        </w:rPr>
        <w:t xml:space="preserve">Waterworks Regulations </w:t>
      </w:r>
      <w:r w:rsidRPr="008D77D8">
        <w:t>(see PG #1).</w:t>
      </w:r>
    </w:p>
    <w:p w14:paraId="7DC6C776" w14:textId="77777777" w:rsidR="006902C6" w:rsidRPr="008D77D8" w:rsidRDefault="00730F67" w:rsidP="006D08F2">
      <w:pPr>
        <w:pStyle w:val="BodyText"/>
        <w:spacing w:after="240"/>
        <w:ind w:left="1080" w:right="906"/>
        <w:jc w:val="both"/>
      </w:pPr>
      <w:r w:rsidRPr="008D77D8">
        <w:t xml:space="preserve">In addition, Section 32.1-172 of the </w:t>
      </w:r>
      <w:r w:rsidRPr="008D77D8">
        <w:rPr>
          <w:i/>
        </w:rPr>
        <w:t xml:space="preserve">Code of Virginia </w:t>
      </w:r>
      <w:r w:rsidRPr="008D77D8">
        <w:t>states that “an application for a permit shall include a comprehensive business plan detailing the technical, managerial, and financial commitments to be made by the owner in order to assure that the waterworks’ performance requirements for providing the water supply will be met over the long term”.</w:t>
      </w:r>
    </w:p>
    <w:p w14:paraId="7BD950FA" w14:textId="77777777" w:rsidR="006902C6" w:rsidRPr="008D77D8" w:rsidRDefault="00730F67" w:rsidP="006D08F2">
      <w:pPr>
        <w:pStyle w:val="BodyText"/>
        <w:spacing w:after="240"/>
        <w:ind w:left="1080" w:right="552"/>
        <w:jc w:val="both"/>
      </w:pPr>
      <w:r w:rsidRPr="008D77D8">
        <w:t xml:space="preserve">In addition, the </w:t>
      </w:r>
      <w:r w:rsidRPr="008D77D8">
        <w:rPr>
          <w:i/>
        </w:rPr>
        <w:t xml:space="preserve">Code </w:t>
      </w:r>
      <w:r w:rsidRPr="008D77D8">
        <w:t xml:space="preserve">allows for waiving the comprehensive business plan portion if an applicant has demonstrated an acceptable history of compliance with the </w:t>
      </w:r>
      <w:r w:rsidRPr="008D77D8">
        <w:rPr>
          <w:i/>
        </w:rPr>
        <w:t>Waterworks Regulations</w:t>
      </w:r>
      <w:r w:rsidRPr="008D77D8">
        <w:t>.</w:t>
      </w:r>
    </w:p>
    <w:p w14:paraId="59075421" w14:textId="77777777" w:rsidR="006902C6" w:rsidRPr="008D77D8" w:rsidRDefault="00730F67" w:rsidP="006D08F2">
      <w:pPr>
        <w:pStyle w:val="BodyText"/>
        <w:spacing w:after="240"/>
        <w:ind w:left="1080" w:right="552"/>
        <w:jc w:val="both"/>
      </w:pPr>
      <w:r w:rsidRPr="008D77D8">
        <w:t xml:space="preserve">The Program staff, with </w:t>
      </w:r>
      <w:proofErr w:type="gramStart"/>
      <w:r w:rsidRPr="008D77D8">
        <w:t>concurrence</w:t>
      </w:r>
      <w:proofErr w:type="gramEnd"/>
      <w:r w:rsidRPr="008D77D8">
        <w:t xml:space="preserve"> with the Field Director, will determine whether a WBOP or another </w:t>
      </w:r>
      <w:proofErr w:type="gramStart"/>
      <w:r w:rsidRPr="008D77D8">
        <w:t>form of certification</w:t>
      </w:r>
      <w:proofErr w:type="gramEnd"/>
      <w:r w:rsidRPr="008D77D8">
        <w:t xml:space="preserve"> of technical, managerial and financial capability is required of the applicant. If a WBOP is required of the applicant, the Program staff will provide a document outlining the requirements of such a plan. The field office staff will perform the evaluation.</w:t>
      </w:r>
    </w:p>
    <w:p w14:paraId="108769D2" w14:textId="62566F05" w:rsidR="006902C6" w:rsidRPr="008D77D8" w:rsidRDefault="00730F67" w:rsidP="006D08F2">
      <w:pPr>
        <w:pStyle w:val="ListParagraph"/>
        <w:numPr>
          <w:ilvl w:val="0"/>
          <w:numId w:val="6"/>
        </w:numPr>
        <w:tabs>
          <w:tab w:val="left" w:pos="1081"/>
        </w:tabs>
        <w:spacing w:after="240"/>
        <w:ind w:right="545"/>
        <w:jc w:val="both"/>
      </w:pPr>
      <w:r w:rsidRPr="008D77D8">
        <w:t xml:space="preserve">Preliminary Engineering Report (PER) (PG #8) - A PER may be required or waived by the ODW Field Office. Information required in the PER is listed in the current version of the </w:t>
      </w:r>
      <w:r w:rsidRPr="008D77D8">
        <w:rPr>
          <w:i/>
        </w:rPr>
        <w:t>Waterworks Regulations</w:t>
      </w:r>
      <w:r w:rsidRPr="008D77D8">
        <w:t xml:space="preserve">. Reports submitted for approval shall be prepared by or under the supervision of a licensed professional engineer legally qualified to practice in Virginia. The field office </w:t>
      </w:r>
      <w:r w:rsidR="00BE2829" w:rsidRPr="008D77D8">
        <w:t>e</w:t>
      </w:r>
      <w:r w:rsidRPr="008D77D8">
        <w:t>ngineering staff wil</w:t>
      </w:r>
      <w:r w:rsidR="00BA3A33" w:rsidRPr="008D77D8">
        <w:t>l p</w:t>
      </w:r>
      <w:r w:rsidRPr="008D77D8">
        <w:t>erform the technical evaluation of PERs.</w:t>
      </w:r>
    </w:p>
    <w:p w14:paraId="52FB1A8A" w14:textId="77777777" w:rsidR="006902C6" w:rsidRPr="008D77D8" w:rsidRDefault="00730F67" w:rsidP="006D08F2">
      <w:pPr>
        <w:pStyle w:val="ListParagraph"/>
        <w:numPr>
          <w:ilvl w:val="0"/>
          <w:numId w:val="6"/>
        </w:numPr>
        <w:tabs>
          <w:tab w:val="left" w:pos="1081"/>
        </w:tabs>
        <w:spacing w:after="240"/>
        <w:ind w:right="574"/>
        <w:jc w:val="both"/>
      </w:pPr>
      <w:r w:rsidRPr="008D77D8">
        <w:t xml:space="preserve">Plans and Specifications (PG #8) - Plans and specifications based on the approved PER are required of all projects. Information required in the plans and specifications is listed in the current version of the </w:t>
      </w:r>
      <w:r w:rsidRPr="008D77D8">
        <w:rPr>
          <w:i/>
        </w:rPr>
        <w:t>Waterworks Regulations</w:t>
      </w:r>
      <w:r w:rsidRPr="008D77D8">
        <w:t xml:space="preserve">. Plans and specifications submitted for approval shall be prepared by or under the supervision of a licensed professional </w:t>
      </w:r>
      <w:proofErr w:type="gramStart"/>
      <w:r w:rsidRPr="008D77D8">
        <w:t>engineer</w:t>
      </w:r>
      <w:proofErr w:type="gramEnd"/>
      <w:r w:rsidRPr="008D77D8">
        <w:t xml:space="preserve"> legally qualified to practice in Virginia. </w:t>
      </w:r>
      <w:r w:rsidR="00153DA5" w:rsidRPr="008D77D8">
        <w:t xml:space="preserve">ODW </w:t>
      </w:r>
      <w:r w:rsidRPr="008D77D8">
        <w:t>engineering staff will perform the technical evaluation</w:t>
      </w:r>
      <w:r w:rsidR="000F2EC1" w:rsidRPr="008D77D8">
        <w:t xml:space="preserve"> </w:t>
      </w:r>
      <w:r w:rsidRPr="008D77D8">
        <w:t>of plans and specifications. The Program staff will do a biddability review of the plans, specifications and addenda and review all change orders for compliance with the Program</w:t>
      </w:r>
      <w:r w:rsidR="000F2EC1" w:rsidRPr="008D77D8">
        <w:t xml:space="preserve"> </w:t>
      </w:r>
      <w:r w:rsidRPr="008D77D8">
        <w:t>requirements.</w:t>
      </w:r>
    </w:p>
    <w:p w14:paraId="5E2E495D" w14:textId="77777777" w:rsidR="006902C6" w:rsidRPr="008D77D8" w:rsidRDefault="00730F67" w:rsidP="00CB740B">
      <w:pPr>
        <w:pStyle w:val="Heading4"/>
      </w:pPr>
      <w:r w:rsidRPr="008D77D8">
        <w:lastRenderedPageBreak/>
        <w:t>Construction Documents</w:t>
      </w:r>
    </w:p>
    <w:p w14:paraId="03B878E1" w14:textId="77777777" w:rsidR="006902C6" w:rsidRPr="008D77D8" w:rsidRDefault="00730F67" w:rsidP="006D08F2">
      <w:pPr>
        <w:pStyle w:val="ListParagraph"/>
        <w:numPr>
          <w:ilvl w:val="0"/>
          <w:numId w:val="5"/>
        </w:numPr>
        <w:tabs>
          <w:tab w:val="left" w:pos="1081"/>
        </w:tabs>
        <w:spacing w:after="240"/>
        <w:ind w:right="552"/>
        <w:jc w:val="both"/>
      </w:pPr>
      <w:r w:rsidRPr="008D77D8">
        <w:rPr>
          <w:i/>
        </w:rPr>
        <w:t xml:space="preserve">Virginia Waterworks Regulations </w:t>
      </w:r>
      <w:r w:rsidRPr="008D77D8">
        <w:t xml:space="preserve">- The design of the waterworks facilities must be in conformance with the Virginia </w:t>
      </w:r>
      <w:r w:rsidRPr="008D77D8">
        <w:rPr>
          <w:i/>
        </w:rPr>
        <w:t>Waterworks Regulations</w:t>
      </w:r>
      <w:r w:rsidRPr="008D77D8">
        <w:t>.</w:t>
      </w:r>
    </w:p>
    <w:p w14:paraId="00D262B8" w14:textId="77777777" w:rsidR="006902C6" w:rsidRPr="008D77D8" w:rsidRDefault="00730F67" w:rsidP="006D08F2">
      <w:pPr>
        <w:pStyle w:val="ListParagraph"/>
        <w:numPr>
          <w:ilvl w:val="0"/>
          <w:numId w:val="5"/>
        </w:numPr>
        <w:tabs>
          <w:tab w:val="left" w:pos="1081"/>
        </w:tabs>
        <w:spacing w:after="240"/>
        <w:ind w:right="627"/>
        <w:jc w:val="both"/>
      </w:pPr>
      <w:r w:rsidRPr="008D77D8">
        <w:rPr>
          <w:i/>
        </w:rPr>
        <w:t xml:space="preserve">Inclusion of the State Contracts Inserts </w:t>
      </w:r>
      <w:r w:rsidRPr="008D77D8">
        <w:t xml:space="preserve">- The specifications for the project must include the Contract Inserts provided in the </w:t>
      </w:r>
      <w:r w:rsidRPr="008D77D8">
        <w:rPr>
          <w:i/>
        </w:rPr>
        <w:t>Procedural Guidelines</w:t>
      </w:r>
      <w:r w:rsidRPr="008D77D8">
        <w:t>. These inserts address the following requirements</w:t>
      </w:r>
      <w:r w:rsidR="000F2EC1" w:rsidRPr="008D77D8">
        <w:t>, at a minimum,</w:t>
      </w:r>
      <w:r w:rsidRPr="008D77D8">
        <w:t xml:space="preserve"> which must also be mentioned in the Information to Bidders section of the contract documents:</w:t>
      </w:r>
    </w:p>
    <w:p w14:paraId="55F9C929" w14:textId="5701F2F4" w:rsidR="00896044" w:rsidRPr="008D77D8" w:rsidRDefault="00730F67" w:rsidP="006D08F2">
      <w:pPr>
        <w:pStyle w:val="ListParagraph"/>
        <w:numPr>
          <w:ilvl w:val="1"/>
          <w:numId w:val="5"/>
        </w:numPr>
        <w:tabs>
          <w:tab w:val="left" w:pos="1621"/>
        </w:tabs>
        <w:spacing w:before="1" w:line="276" w:lineRule="auto"/>
        <w:ind w:hanging="450"/>
      </w:pPr>
      <w:r w:rsidRPr="008D77D8">
        <w:rPr>
          <w:i/>
        </w:rPr>
        <w:t>Compliance with Equal Employment Opportunity</w:t>
      </w:r>
    </w:p>
    <w:p w14:paraId="6AA71F74" w14:textId="77777777" w:rsidR="00896044" w:rsidRPr="008D77D8" w:rsidRDefault="00730F67" w:rsidP="006D08F2">
      <w:pPr>
        <w:pStyle w:val="ListParagraph"/>
        <w:numPr>
          <w:ilvl w:val="1"/>
          <w:numId w:val="5"/>
        </w:numPr>
        <w:tabs>
          <w:tab w:val="left" w:pos="1621"/>
        </w:tabs>
        <w:spacing w:before="1" w:line="276" w:lineRule="auto"/>
        <w:ind w:hanging="450"/>
        <w:rPr>
          <w:i/>
        </w:rPr>
      </w:pPr>
      <w:r w:rsidRPr="008D77D8">
        <w:rPr>
          <w:i/>
        </w:rPr>
        <w:t>Certification on Non-Segregational Facilities</w:t>
      </w:r>
    </w:p>
    <w:p w14:paraId="286EA51F" w14:textId="59420232" w:rsidR="00896044" w:rsidRPr="008D77D8" w:rsidRDefault="00730F67" w:rsidP="006D08F2">
      <w:pPr>
        <w:pStyle w:val="ListParagraph"/>
        <w:numPr>
          <w:ilvl w:val="1"/>
          <w:numId w:val="5"/>
        </w:numPr>
        <w:tabs>
          <w:tab w:val="left" w:pos="1620"/>
          <w:tab w:val="left" w:pos="1621"/>
          <w:tab w:val="left" w:pos="8281"/>
        </w:tabs>
        <w:spacing w:line="276" w:lineRule="auto"/>
        <w:ind w:hanging="450"/>
        <w:rPr>
          <w:i/>
        </w:rPr>
      </w:pPr>
      <w:r w:rsidRPr="008D77D8">
        <w:rPr>
          <w:i/>
        </w:rPr>
        <w:t>Compliance with Minority and Women’s Business Enterprise Goals</w:t>
      </w:r>
      <w:r w:rsidR="0047059D" w:rsidRPr="008D77D8">
        <w:rPr>
          <w:i/>
        </w:rPr>
        <w:t xml:space="preserve"> </w:t>
      </w:r>
      <w:r w:rsidRPr="008D77D8">
        <w:rPr>
          <w:i/>
        </w:rPr>
        <w:t>(MBE/WBE)</w:t>
      </w:r>
    </w:p>
    <w:p w14:paraId="37C15308" w14:textId="77777777" w:rsidR="00896044" w:rsidRPr="008D77D8" w:rsidRDefault="00730F67" w:rsidP="006D08F2">
      <w:pPr>
        <w:pStyle w:val="ListParagraph"/>
        <w:numPr>
          <w:ilvl w:val="1"/>
          <w:numId w:val="5"/>
        </w:numPr>
        <w:tabs>
          <w:tab w:val="left" w:pos="1621"/>
        </w:tabs>
        <w:spacing w:before="1" w:line="276" w:lineRule="auto"/>
        <w:ind w:hanging="450"/>
        <w:rPr>
          <w:i/>
        </w:rPr>
      </w:pPr>
      <w:r w:rsidRPr="008D77D8">
        <w:rPr>
          <w:i/>
        </w:rPr>
        <w:t>Compliance with the Civil Rights Act of 1964</w:t>
      </w:r>
    </w:p>
    <w:p w14:paraId="0E9B194D" w14:textId="3D8BA8C7" w:rsidR="00896044" w:rsidRPr="008D77D8" w:rsidRDefault="00730F67" w:rsidP="006D08F2">
      <w:pPr>
        <w:pStyle w:val="ListParagraph"/>
        <w:numPr>
          <w:ilvl w:val="1"/>
          <w:numId w:val="5"/>
        </w:numPr>
        <w:tabs>
          <w:tab w:val="left" w:pos="1620"/>
          <w:tab w:val="left" w:pos="1621"/>
          <w:tab w:val="left" w:pos="8336"/>
        </w:tabs>
        <w:spacing w:line="276" w:lineRule="auto"/>
        <w:ind w:right="547"/>
        <w:rPr>
          <w:i/>
        </w:rPr>
      </w:pPr>
      <w:r w:rsidRPr="008D77D8">
        <w:rPr>
          <w:i/>
        </w:rPr>
        <w:t>Compliance with Age Discrimination Act of 1975, Rehabilitation Act of</w:t>
      </w:r>
      <w:r w:rsidR="0047059D" w:rsidRPr="008D77D8">
        <w:rPr>
          <w:i/>
        </w:rPr>
        <w:t xml:space="preserve"> </w:t>
      </w:r>
      <w:r w:rsidRPr="008D77D8">
        <w:rPr>
          <w:i/>
        </w:rPr>
        <w:t>1973,</w:t>
      </w:r>
      <w:r w:rsidR="0047059D" w:rsidRPr="008D77D8">
        <w:rPr>
          <w:i/>
        </w:rPr>
        <w:t xml:space="preserve"> </w:t>
      </w:r>
      <w:r w:rsidRPr="008D77D8">
        <w:rPr>
          <w:i/>
        </w:rPr>
        <w:t>and</w:t>
      </w:r>
      <w:r w:rsidR="0047059D" w:rsidRPr="008D77D8">
        <w:rPr>
          <w:i/>
        </w:rPr>
        <w:t xml:space="preserve"> </w:t>
      </w:r>
      <w:r w:rsidRPr="008D77D8">
        <w:rPr>
          <w:i/>
        </w:rPr>
        <w:t>the</w:t>
      </w:r>
      <w:r w:rsidR="00162B8B" w:rsidRPr="008D77D8">
        <w:rPr>
          <w:i/>
        </w:rPr>
        <w:t xml:space="preserve"> </w:t>
      </w:r>
      <w:r w:rsidRPr="008D77D8">
        <w:rPr>
          <w:i/>
        </w:rPr>
        <w:t>Prohibition against Sex Discrimination</w:t>
      </w:r>
    </w:p>
    <w:p w14:paraId="6F2645B5" w14:textId="77777777" w:rsidR="00896044" w:rsidRPr="008D77D8" w:rsidRDefault="00730F67" w:rsidP="006D08F2">
      <w:pPr>
        <w:pStyle w:val="ListParagraph"/>
        <w:numPr>
          <w:ilvl w:val="1"/>
          <w:numId w:val="5"/>
        </w:numPr>
        <w:tabs>
          <w:tab w:val="left" w:pos="1620"/>
          <w:tab w:val="left" w:pos="1621"/>
        </w:tabs>
        <w:spacing w:line="276" w:lineRule="auto"/>
        <w:ind w:hanging="450"/>
        <w:rPr>
          <w:i/>
        </w:rPr>
      </w:pPr>
      <w:r w:rsidRPr="008D77D8">
        <w:rPr>
          <w:i/>
        </w:rPr>
        <w:t>Utilization of Small Businesses in Rural Areas</w:t>
      </w:r>
    </w:p>
    <w:p w14:paraId="5D50F414" w14:textId="141B51B5" w:rsidR="000F2EC1" w:rsidRPr="008D77D8" w:rsidRDefault="000F2EC1" w:rsidP="006D08F2">
      <w:pPr>
        <w:pStyle w:val="ListParagraph"/>
        <w:numPr>
          <w:ilvl w:val="1"/>
          <w:numId w:val="5"/>
        </w:numPr>
        <w:tabs>
          <w:tab w:val="left" w:pos="1620"/>
          <w:tab w:val="left" w:pos="1621"/>
        </w:tabs>
        <w:spacing w:line="276" w:lineRule="auto"/>
        <w:ind w:hanging="450"/>
        <w:rPr>
          <w:i/>
        </w:rPr>
      </w:pPr>
      <w:r w:rsidRPr="008D77D8">
        <w:rPr>
          <w:i/>
        </w:rPr>
        <w:t>Davis-Bacon Act</w:t>
      </w:r>
    </w:p>
    <w:p w14:paraId="0A5F47AE" w14:textId="77777777" w:rsidR="006902C6" w:rsidRPr="008D77D8" w:rsidRDefault="000F2EC1" w:rsidP="006D08F2">
      <w:pPr>
        <w:pStyle w:val="ListParagraph"/>
        <w:numPr>
          <w:ilvl w:val="1"/>
          <w:numId w:val="5"/>
        </w:numPr>
        <w:tabs>
          <w:tab w:val="left" w:pos="1620"/>
          <w:tab w:val="left" w:pos="1621"/>
        </w:tabs>
        <w:spacing w:after="240" w:line="276" w:lineRule="auto"/>
        <w:ind w:hanging="450"/>
        <w:rPr>
          <w:i/>
        </w:rPr>
      </w:pPr>
      <w:r w:rsidRPr="008D77D8">
        <w:rPr>
          <w:i/>
        </w:rPr>
        <w:t>Build America, Buy America and/or American Iron and Steel</w:t>
      </w:r>
    </w:p>
    <w:p w14:paraId="2E01D860" w14:textId="77777777" w:rsidR="006902C6" w:rsidRPr="008D77D8" w:rsidRDefault="00730F67" w:rsidP="006D08F2">
      <w:pPr>
        <w:pStyle w:val="BodyText"/>
        <w:spacing w:after="240"/>
        <w:ind w:left="1080" w:right="656"/>
        <w:jc w:val="both"/>
      </w:pPr>
      <w:r w:rsidRPr="008D77D8">
        <w:t>The Recipient must follow the Virginia Public Procurement Act in procuring the goods and services related to project construction. Once the Recipient has selected the contractor for the project, they must submit a bid package to the VDH for review. The bid package must contain evidence of bid advertisement, the bid tabulations, documentation regarding contractor selection, the bid bond, the bid proposal, and documentation verifying solicitation of MBE/WBE firms.</w:t>
      </w:r>
    </w:p>
    <w:p w14:paraId="2090ECBB" w14:textId="7C193B56" w:rsidR="006902C6" w:rsidRPr="008D77D8" w:rsidRDefault="00730F67" w:rsidP="00CB740B">
      <w:pPr>
        <w:pStyle w:val="BodyText"/>
        <w:spacing w:after="240"/>
        <w:ind w:left="1080" w:right="552"/>
        <w:jc w:val="both"/>
        <w:rPr>
          <w:b/>
          <w:bCs/>
        </w:rPr>
      </w:pPr>
      <w:r w:rsidRPr="008D77D8">
        <w:rPr>
          <w:b/>
          <w:bCs/>
        </w:rPr>
        <w:t>It is very important to note that the Recipient and Prime contractor must both demonstrate a “good faith effort” in the solicitation and utilization of Minority Business Enterprises / Women’s Business Enterprises (MBE/WBE) during the bid process. Efforts such as public</w:t>
      </w:r>
      <w:r w:rsidR="00CB740B" w:rsidRPr="008D77D8">
        <w:rPr>
          <w:b/>
          <w:bCs/>
        </w:rPr>
        <w:t xml:space="preserve"> </w:t>
      </w:r>
      <w:r w:rsidRPr="008D77D8">
        <w:rPr>
          <w:b/>
          <w:bCs/>
        </w:rPr>
        <w:t xml:space="preserve">notice, telephone or postal solicitations must be </w:t>
      </w:r>
      <w:r w:rsidR="008E06CD" w:rsidRPr="008D77D8">
        <w:rPr>
          <w:b/>
          <w:bCs/>
        </w:rPr>
        <w:t>undertaken,</w:t>
      </w:r>
      <w:r w:rsidRPr="008D77D8">
        <w:rPr>
          <w:b/>
          <w:bCs/>
        </w:rPr>
        <w:t xml:space="preserve"> and evidence of these efforts must be provided in order to ensure VDH participation in the project. Information regarding the anticipated utilization of MBE/WBE firms must also be presented and must demonstrate “good faith effort”.</w:t>
      </w:r>
    </w:p>
    <w:p w14:paraId="4E4A61C2" w14:textId="724AD4B3" w:rsidR="000F2EC1" w:rsidRPr="008D77D8" w:rsidRDefault="00730F67" w:rsidP="006D08F2">
      <w:pPr>
        <w:pStyle w:val="BodyText"/>
        <w:spacing w:after="240"/>
        <w:ind w:left="1080" w:right="552"/>
        <w:jc w:val="both"/>
      </w:pPr>
      <w:r w:rsidRPr="008D77D8">
        <w:t>Through the course of project construction, the Recipient must monitor contractor solicitation and utilization of MBE/WBE businesses and services. The MBE/WBE Utilization Report Forms mus</w:t>
      </w:r>
      <w:r w:rsidR="00BA3A33" w:rsidRPr="008D77D8">
        <w:t xml:space="preserve">t </w:t>
      </w:r>
      <w:r w:rsidRPr="008D77D8">
        <w:t>also be submitted by the Recipient to the VDH on a quarterly basis. The VDH will periodically monitor the Recipient’s performance in regard to these requirements.</w:t>
      </w:r>
    </w:p>
    <w:p w14:paraId="2BA05982" w14:textId="77777777" w:rsidR="006902C6" w:rsidRPr="008D77D8" w:rsidRDefault="00730F67" w:rsidP="006D08F2">
      <w:pPr>
        <w:pStyle w:val="ListParagraph"/>
        <w:numPr>
          <w:ilvl w:val="0"/>
          <w:numId w:val="5"/>
        </w:numPr>
        <w:tabs>
          <w:tab w:val="left" w:pos="1081"/>
        </w:tabs>
        <w:spacing w:after="240"/>
        <w:ind w:right="771"/>
        <w:jc w:val="both"/>
      </w:pPr>
      <w:r w:rsidRPr="008D77D8">
        <w:rPr>
          <w:i/>
        </w:rPr>
        <w:t xml:space="preserve">Final Project Evaluation </w:t>
      </w:r>
      <w:r w:rsidRPr="008D77D8">
        <w:t>- VDH will conduct a final project evaluation to determine whether all program requirements and loan conditions have been satisfied, and that construction of the project was completed in substantial accordance with approved plans, specifications, and change orders. The final evaluation will be conducted after notification by the Recipient that construction is complete and, if appropriate, will be conducted in conjunction with the Final Inspection referenced in the Waterworks Regulations. Disbursement of Fund proceeds is held to the 95% level until a Final Project Evaluation can be conducted.</w:t>
      </w:r>
    </w:p>
    <w:p w14:paraId="13EEF0F6" w14:textId="72D68B06" w:rsidR="00896044" w:rsidRPr="008D77D8" w:rsidRDefault="00730F67" w:rsidP="00CB740B">
      <w:pPr>
        <w:pStyle w:val="Heading4"/>
      </w:pPr>
      <w:r w:rsidRPr="008D77D8">
        <w:t>Summary</w:t>
      </w:r>
    </w:p>
    <w:p w14:paraId="155B7EC1" w14:textId="698632FC" w:rsidR="00896044" w:rsidRPr="008D77D8" w:rsidRDefault="00730F67" w:rsidP="006D08F2">
      <w:pPr>
        <w:pStyle w:val="BodyText"/>
        <w:spacing w:after="240"/>
        <w:ind w:left="360" w:right="534"/>
        <w:jc w:val="both"/>
        <w:sectPr w:rsidR="00896044" w:rsidRPr="008D77D8">
          <w:pgSz w:w="12240" w:h="15840"/>
          <w:pgMar w:top="1200" w:right="600" w:bottom="1000" w:left="1080" w:header="723" w:footer="808" w:gutter="0"/>
          <w:cols w:space="720"/>
        </w:sectPr>
      </w:pPr>
      <w:r w:rsidRPr="008D77D8">
        <w:t>The requirements associated with the Program are detailed in the Program Guidance. VDH staff are available to assist recipients during this process.</w:t>
      </w:r>
    </w:p>
    <w:p w14:paraId="79E62174" w14:textId="77777777" w:rsidR="00896044" w:rsidRPr="008D77D8" w:rsidRDefault="00730F67" w:rsidP="00CB740B">
      <w:pPr>
        <w:pStyle w:val="Heading3"/>
        <w:spacing w:before="187"/>
        <w:jc w:val="center"/>
        <w:rPr>
          <w:b w:val="0"/>
        </w:rPr>
      </w:pPr>
      <w:r w:rsidRPr="008D77D8">
        <w:lastRenderedPageBreak/>
        <w:t>APPENDIX B</w:t>
      </w:r>
    </w:p>
    <w:p w14:paraId="492740F4" w14:textId="5607020D" w:rsidR="006902C6" w:rsidRPr="008D77D8" w:rsidRDefault="00CB740B" w:rsidP="00CB740B">
      <w:pPr>
        <w:pStyle w:val="BodyText"/>
        <w:spacing w:after="240"/>
        <w:ind w:left="360" w:right="534"/>
        <w:jc w:val="center"/>
        <w:rPr>
          <w:b/>
        </w:rPr>
      </w:pPr>
      <w:r w:rsidRPr="008D77D8">
        <w:rPr>
          <w:b/>
          <w:bCs/>
          <w:noProof/>
        </w:rPr>
        <mc:AlternateContent>
          <mc:Choice Requires="wps">
            <w:drawing>
              <wp:anchor distT="0" distB="0" distL="0" distR="0" simplePos="0" relativeHeight="487599616" behindDoc="1" locked="0" layoutInCell="1" allowOverlap="1" wp14:anchorId="32455981" wp14:editId="0136FB81">
                <wp:simplePos x="0" y="0"/>
                <wp:positionH relativeFrom="page">
                  <wp:posOffset>942340</wp:posOffset>
                </wp:positionH>
                <wp:positionV relativeFrom="paragraph">
                  <wp:posOffset>228600</wp:posOffset>
                </wp:positionV>
                <wp:extent cx="6163945" cy="18415"/>
                <wp:effectExtent l="0" t="0" r="0" b="0"/>
                <wp:wrapTopAndBottom/>
                <wp:docPr id="1555332467"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8FE47" id="docshape82" o:spid="_x0000_s1026" style="position:absolute;margin-left:74.2pt;margin-top:18pt;width:485.35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" fillcolor="black" stroked="f">
                <w10:wrap type="topAndBottom" anchorx="page"/>
              </v:rect>
            </w:pict>
          </mc:Fallback>
        </mc:AlternateContent>
      </w:r>
      <w:r w:rsidR="00730F67" w:rsidRPr="008D77D8">
        <w:rPr>
          <w:b/>
        </w:rPr>
        <w:t>FEDERAL CROSS-</w:t>
      </w:r>
      <w:r w:rsidR="00730F67" w:rsidRPr="008D77D8">
        <w:rPr>
          <w:b/>
          <w:bCs/>
        </w:rPr>
        <w:t>CUTTING</w:t>
      </w:r>
      <w:r w:rsidR="00730F67" w:rsidRPr="008D77D8">
        <w:rPr>
          <w:b/>
        </w:rPr>
        <w:t xml:space="preserve"> REQUIREMENTS</w:t>
      </w:r>
      <w:r w:rsidR="00730F67" w:rsidRPr="008D77D8">
        <w:rPr>
          <w:b/>
          <w:vertAlign w:val="superscript"/>
        </w:rPr>
        <w:t>1</w:t>
      </w:r>
    </w:p>
    <w:p w14:paraId="53BE2988" w14:textId="419696E2" w:rsidR="00896044" w:rsidRPr="008D77D8" w:rsidRDefault="00730F67" w:rsidP="00D727FF">
      <w:pPr>
        <w:pStyle w:val="Heading4"/>
      </w:pPr>
      <w:r w:rsidRPr="008D77D8">
        <w:t>ENVIRONMENTAL AUTHORITIES:</w:t>
      </w:r>
    </w:p>
    <w:p w14:paraId="414C1E99" w14:textId="77777777" w:rsidR="00896044" w:rsidRPr="008D77D8" w:rsidRDefault="00730F67" w:rsidP="008C7D7A">
      <w:pPr>
        <w:pStyle w:val="BodyText"/>
        <w:spacing w:after="120" w:line="276" w:lineRule="auto"/>
        <w:ind w:left="360" w:right="533"/>
        <w:jc w:val="both"/>
      </w:pPr>
      <w:r w:rsidRPr="008D77D8">
        <w:t>Archeological and Historic Preservation Act of 1974, Pub. L. 86-523, as amended. Clean Air Act, Pub. L. 84-159, as amended.</w:t>
      </w:r>
    </w:p>
    <w:p w14:paraId="203EA568" w14:textId="77777777" w:rsidR="00896044" w:rsidRPr="008D77D8" w:rsidRDefault="00730F67" w:rsidP="008C7D7A">
      <w:pPr>
        <w:pStyle w:val="BodyText"/>
        <w:spacing w:after="120" w:line="276" w:lineRule="auto"/>
        <w:ind w:left="360" w:right="533"/>
        <w:jc w:val="both"/>
      </w:pPr>
      <w:r w:rsidRPr="008D77D8">
        <w:t>Coastal Barrier Resources Act, Pub. L. 97-348. and Coastal Zone Management Act, Pub. L 92-583, as amended. Endangered Species Act, Pub. L. 93-205, as amended.</w:t>
      </w:r>
    </w:p>
    <w:p w14:paraId="1E5C47BF" w14:textId="77777777" w:rsidR="00896044" w:rsidRPr="008D77D8" w:rsidRDefault="00730F67" w:rsidP="008C7D7A">
      <w:pPr>
        <w:pStyle w:val="BodyText"/>
        <w:spacing w:after="120" w:line="276" w:lineRule="auto"/>
        <w:ind w:left="360" w:right="533"/>
        <w:jc w:val="both"/>
      </w:pPr>
      <w:r w:rsidRPr="008D77D8">
        <w:t>Environmental Justice, Executive Order 12898. Farmland Protection Policy Act, Pub. L. 97-98.</w:t>
      </w:r>
    </w:p>
    <w:p w14:paraId="5539305E" w14:textId="77777777" w:rsidR="00896044" w:rsidRPr="008D77D8" w:rsidRDefault="00730F67" w:rsidP="008C7D7A">
      <w:pPr>
        <w:pStyle w:val="BodyText"/>
        <w:spacing w:after="120" w:line="276" w:lineRule="auto"/>
        <w:ind w:left="360" w:right="533"/>
        <w:jc w:val="both"/>
      </w:pPr>
      <w:r w:rsidRPr="008D77D8">
        <w:t>Fish and Wildlife Coordination Act, Pub. L. 85-624, as amended.</w:t>
      </w:r>
    </w:p>
    <w:p w14:paraId="0E017904" w14:textId="77777777" w:rsidR="00896044" w:rsidRPr="008D77D8" w:rsidRDefault="00730F67" w:rsidP="008C7D7A">
      <w:pPr>
        <w:pStyle w:val="BodyText"/>
        <w:spacing w:after="120" w:line="276" w:lineRule="auto"/>
        <w:ind w:left="360" w:right="533"/>
        <w:jc w:val="both"/>
      </w:pPr>
      <w:r w:rsidRPr="008D77D8">
        <w:t>Floodplain Management, Executive Order 11988, as amended by Executive Order 12148. National Environmental Policy Act, Pub. L. 91-190.</w:t>
      </w:r>
    </w:p>
    <w:p w14:paraId="698C5363" w14:textId="77777777" w:rsidR="00896044" w:rsidRPr="008D77D8" w:rsidRDefault="00730F67" w:rsidP="008C7D7A">
      <w:pPr>
        <w:pStyle w:val="BodyText"/>
        <w:spacing w:after="120" w:line="276" w:lineRule="auto"/>
        <w:ind w:left="360" w:right="533"/>
        <w:jc w:val="both"/>
      </w:pPr>
      <w:r w:rsidRPr="008D77D8">
        <w:t>National Historic Preservation Act of 1966, Pub. L. 89-665, as amended. Protection of Wetlands, Executive Order 11990.</w:t>
      </w:r>
    </w:p>
    <w:p w14:paraId="4767DB00" w14:textId="77777777" w:rsidR="00896044" w:rsidRPr="008D77D8" w:rsidRDefault="00730F67" w:rsidP="008C7D7A">
      <w:pPr>
        <w:pStyle w:val="BodyText"/>
        <w:spacing w:after="120" w:line="276" w:lineRule="auto"/>
        <w:ind w:left="360" w:right="533"/>
        <w:jc w:val="both"/>
      </w:pPr>
      <w:r w:rsidRPr="008D77D8">
        <w:t>Safe Drinking Water Act, Pub. L. 93-523, as amended. Wild and Scenic Rivers Act, Pub. L. 90-542, as amended.</w:t>
      </w:r>
    </w:p>
    <w:p w14:paraId="76496743" w14:textId="77777777" w:rsidR="00896044" w:rsidRPr="008D77D8" w:rsidRDefault="00730F67" w:rsidP="00D727FF">
      <w:pPr>
        <w:pStyle w:val="Heading4"/>
        <w:rPr>
          <w:b w:val="0"/>
        </w:rPr>
      </w:pPr>
      <w:r w:rsidRPr="008D77D8">
        <w:t>ECONOMIC AND MISCELLANEOUS AUTHORITIES:</w:t>
      </w:r>
    </w:p>
    <w:p w14:paraId="790B747D" w14:textId="77777777" w:rsidR="00896044" w:rsidRPr="008D77D8" w:rsidRDefault="00730F67" w:rsidP="008C7D7A">
      <w:pPr>
        <w:pStyle w:val="BodyText"/>
        <w:spacing w:after="120" w:line="276" w:lineRule="auto"/>
        <w:ind w:left="360" w:right="533"/>
        <w:jc w:val="both"/>
      </w:pPr>
      <w:r w:rsidRPr="008D77D8">
        <w:t>Audit Requirements under 2 CFR 200 Subpart F,</w:t>
      </w:r>
      <w:r w:rsidRPr="008D77D8">
        <w:rPr>
          <w:color w:val="FF0000"/>
        </w:rPr>
        <w:t xml:space="preserve"> </w:t>
      </w:r>
      <w:r w:rsidRPr="008D77D8">
        <w:t>(replaces OMB Circular A-133)</w:t>
      </w:r>
    </w:p>
    <w:p w14:paraId="4780E90E" w14:textId="77777777" w:rsidR="00896044" w:rsidRPr="008D77D8" w:rsidRDefault="00730F67" w:rsidP="008C7D7A">
      <w:pPr>
        <w:pStyle w:val="BodyText"/>
        <w:spacing w:after="120" w:line="276" w:lineRule="auto"/>
        <w:ind w:left="360" w:right="533"/>
        <w:jc w:val="both"/>
      </w:pPr>
      <w:r w:rsidRPr="008D77D8">
        <w:t xml:space="preserve">American Iron and Steel, see </w:t>
      </w:r>
      <w:hyperlink r:id="rId50">
        <w:r w:rsidRPr="008D77D8">
          <w:rPr>
            <w:color w:val="0000FF"/>
            <w:u w:val="single" w:color="0000FF"/>
          </w:rPr>
          <w:t>https://www.epa.gov/cwsrf/state-revolving-fund-american-iron-and-steel-ais-requirement</w:t>
        </w:r>
      </w:hyperlink>
    </w:p>
    <w:p w14:paraId="3AF164A0" w14:textId="0752D3B0" w:rsidR="00624AD1" w:rsidRPr="008D77D8" w:rsidRDefault="00624AD1" w:rsidP="008C7D7A">
      <w:pPr>
        <w:pStyle w:val="BodyText"/>
        <w:spacing w:after="120" w:line="276" w:lineRule="auto"/>
        <w:ind w:left="360" w:right="533"/>
        <w:jc w:val="both"/>
      </w:pPr>
      <w:r w:rsidRPr="008D77D8">
        <w:t xml:space="preserve">Build America, Buy America (BABA) see </w:t>
      </w:r>
      <w:r w:rsidR="00046EA9" w:rsidRPr="008D77D8">
        <w:t>https://www.epa.gov/cwsrf/build-america-buy-america-baba</w:t>
      </w:r>
      <w:r w:rsidRPr="008D77D8">
        <w:t xml:space="preserve"> </w:t>
      </w:r>
    </w:p>
    <w:p w14:paraId="37798B7D" w14:textId="0AA01925" w:rsidR="00896044" w:rsidRPr="008D77D8" w:rsidRDefault="00730F67" w:rsidP="008C7D7A">
      <w:pPr>
        <w:pStyle w:val="BodyText"/>
        <w:spacing w:after="120" w:line="276" w:lineRule="auto"/>
        <w:ind w:left="360" w:right="533"/>
        <w:jc w:val="both"/>
      </w:pPr>
      <w:r w:rsidRPr="008D77D8">
        <w:t>Debarment and Suspension, Executive Order 12549.</w:t>
      </w:r>
    </w:p>
    <w:p w14:paraId="4CE9063D" w14:textId="77777777" w:rsidR="00896044" w:rsidRPr="008D77D8" w:rsidRDefault="00730F67" w:rsidP="008C7D7A">
      <w:pPr>
        <w:pStyle w:val="BodyText"/>
        <w:spacing w:after="120" w:line="276" w:lineRule="auto"/>
        <w:ind w:left="360" w:right="533"/>
        <w:jc w:val="both"/>
      </w:pPr>
      <w:r w:rsidRPr="008D77D8">
        <w:t>Demonstration Cities and Metropolitan Development Act of 1966, Pub. L. 89-754, as amended, Exec. Order 12372.</w:t>
      </w:r>
    </w:p>
    <w:p w14:paraId="7EAEA205" w14:textId="77777777" w:rsidR="006902C6" w:rsidRPr="008D77D8" w:rsidRDefault="00730F67" w:rsidP="008C7D7A">
      <w:pPr>
        <w:pStyle w:val="BodyText"/>
        <w:spacing w:after="120" w:line="276" w:lineRule="auto"/>
        <w:ind w:left="360" w:right="533"/>
        <w:jc w:val="both"/>
      </w:pPr>
      <w:r w:rsidRPr="008D77D8">
        <w:t>Procurement Prohibitions under Section 306 of the Clean Air Act and Section 508 of the Clean Water Act, including Executive Order 11738, Administration of the Clean Air Act and the Federal Water Pollution Control Act with Respect to Federal Contracts, Grants, or Loans.</w:t>
      </w:r>
    </w:p>
    <w:p w14:paraId="368E0AEF" w14:textId="01F3BD37" w:rsidR="00896044" w:rsidRPr="008D77D8" w:rsidRDefault="00730F67" w:rsidP="008C7D7A">
      <w:pPr>
        <w:pStyle w:val="BodyText"/>
        <w:spacing w:after="240" w:line="276" w:lineRule="auto"/>
        <w:ind w:left="360" w:right="534"/>
        <w:jc w:val="both"/>
      </w:pPr>
      <w:r w:rsidRPr="008D77D8">
        <w:t>Uniform Relocation and Real Property Acquisition Policies Act, Pub. L. 91-646, as amended.</w:t>
      </w:r>
    </w:p>
    <w:p w14:paraId="024644F3" w14:textId="77777777" w:rsidR="00896044" w:rsidRPr="008D77D8" w:rsidRDefault="00730F67" w:rsidP="00D727FF">
      <w:pPr>
        <w:pStyle w:val="Heading4"/>
        <w:rPr>
          <w:b w:val="0"/>
          <w:sz w:val="20"/>
        </w:rPr>
      </w:pPr>
      <w:r w:rsidRPr="008D77D8">
        <w:t>SOCIAL LEGISLATION</w:t>
      </w:r>
      <w:r w:rsidRPr="008D77D8">
        <w:rPr>
          <w:sz w:val="20"/>
        </w:rPr>
        <w:t>:</w:t>
      </w:r>
    </w:p>
    <w:p w14:paraId="5CCFD4C0" w14:textId="77777777" w:rsidR="00896044" w:rsidRPr="008D77D8" w:rsidRDefault="00730F67" w:rsidP="008C7D7A">
      <w:pPr>
        <w:pStyle w:val="BodyText"/>
        <w:spacing w:after="120" w:line="276" w:lineRule="auto"/>
        <w:ind w:left="360" w:right="533"/>
        <w:jc w:val="both"/>
      </w:pPr>
      <w:r w:rsidRPr="008D77D8">
        <w:t xml:space="preserve">Davis-Bacon Act and Related Acts, see </w:t>
      </w:r>
      <w:hyperlink r:id="rId51">
        <w:r w:rsidRPr="008D77D8">
          <w:rPr>
            <w:color w:val="0000FF"/>
            <w:u w:val="single" w:color="0000FF"/>
          </w:rPr>
          <w:t>https://www.dol.gov/whd/contracts/dbra.htm</w:t>
        </w:r>
      </w:hyperlink>
    </w:p>
    <w:p w14:paraId="2C21A59E" w14:textId="77777777" w:rsidR="00896044" w:rsidRPr="008D77D8" w:rsidRDefault="00730F67" w:rsidP="008C7D7A">
      <w:pPr>
        <w:pStyle w:val="BodyText"/>
        <w:spacing w:after="120" w:line="276" w:lineRule="auto"/>
        <w:ind w:left="360" w:right="533"/>
        <w:jc w:val="both"/>
      </w:pPr>
      <w:r w:rsidRPr="008D77D8">
        <w:t>Age Discrimination Act of 1975, Pub. L. 94-135.</w:t>
      </w:r>
    </w:p>
    <w:p w14:paraId="21DB5D0A" w14:textId="77777777" w:rsidR="00896044" w:rsidRPr="008D77D8" w:rsidRDefault="00730F67" w:rsidP="008C7D7A">
      <w:pPr>
        <w:pStyle w:val="BodyText"/>
        <w:spacing w:after="120" w:line="276" w:lineRule="auto"/>
        <w:ind w:left="360" w:right="533"/>
        <w:jc w:val="both"/>
      </w:pPr>
      <w:r w:rsidRPr="008D77D8">
        <w:t>Anti-Lobbying Provisions (40 CFR Part 30) [applies only to capitalization grant recipients]. Equal Employment Opportunity, Executive Order 11246.</w:t>
      </w:r>
    </w:p>
    <w:p w14:paraId="778D1CC6" w14:textId="77777777" w:rsidR="00896044" w:rsidRPr="008D77D8" w:rsidRDefault="00730F67" w:rsidP="008C7D7A">
      <w:pPr>
        <w:pStyle w:val="BodyText"/>
        <w:spacing w:after="120" w:line="276" w:lineRule="auto"/>
        <w:ind w:left="360" w:right="533"/>
        <w:jc w:val="both"/>
      </w:pPr>
      <w:r w:rsidRPr="008D77D8">
        <w:t>Section 13 of the Federal Water Pollution Control Act Amendments of 1972, Pub. L. 92-500 (the Clean Water Act). Section 129 of the Small Business Administration Reauthorization and Amendment Act of 1988, Pub. L. 100-590. Section 504 of the Rehabilitation Act of 1973, Pub. L. 93-112 (including Executive Orders 11914 and 11250).</w:t>
      </w:r>
    </w:p>
    <w:p w14:paraId="7B95D774" w14:textId="77777777" w:rsidR="00896044" w:rsidRPr="008D77D8" w:rsidRDefault="00730F67" w:rsidP="008C7D7A">
      <w:pPr>
        <w:pStyle w:val="BodyText"/>
        <w:spacing w:after="120" w:line="276" w:lineRule="auto"/>
        <w:ind w:left="360" w:right="533"/>
        <w:jc w:val="both"/>
      </w:pPr>
      <w:r w:rsidRPr="008D77D8">
        <w:lastRenderedPageBreak/>
        <w:t>The Drug-Free Workplace Act of 1988, Pub. L. 100-690 (applies only to the capitalization grant recipient). Title IV of the Civil Rights Act of 1964, Pub. L. 88-352.</w:t>
      </w:r>
    </w:p>
    <w:p w14:paraId="3D0711B3" w14:textId="77777777" w:rsidR="006902C6" w:rsidRPr="008D77D8" w:rsidRDefault="00730F67" w:rsidP="008C7D7A">
      <w:pPr>
        <w:pStyle w:val="BodyText"/>
        <w:spacing w:after="120" w:line="276" w:lineRule="auto"/>
        <w:ind w:left="360" w:right="533"/>
        <w:jc w:val="both"/>
      </w:pPr>
      <w:r w:rsidRPr="008D77D8">
        <w:t>Women’s and Minority Business Enterprise, Executive Orders 11625, 12138 and 12432.</w:t>
      </w:r>
    </w:p>
    <w:p w14:paraId="4BDBE617" w14:textId="0C8A9F1F" w:rsidR="00896044" w:rsidRPr="008D77D8" w:rsidRDefault="00730F67" w:rsidP="008C7D7A">
      <w:pPr>
        <w:pStyle w:val="BodyText"/>
        <w:spacing w:after="120" w:line="276" w:lineRule="auto"/>
        <w:ind w:left="360" w:right="533"/>
        <w:jc w:val="both"/>
        <w:rPr>
          <w:sz w:val="20"/>
          <w:szCs w:val="20"/>
        </w:rPr>
      </w:pPr>
      <w:r w:rsidRPr="008D77D8">
        <w:rPr>
          <w:sz w:val="20"/>
          <w:szCs w:val="20"/>
          <w:vertAlign w:val="superscript"/>
        </w:rPr>
        <w:t>1</w:t>
      </w:r>
      <w:r w:rsidRPr="008D77D8">
        <w:rPr>
          <w:sz w:val="20"/>
          <w:szCs w:val="20"/>
        </w:rPr>
        <w:t>This information is provided for guidance and may not include all federal legislation as of this printing.</w:t>
      </w:r>
    </w:p>
    <w:p w14:paraId="4E16E86E" w14:textId="77777777" w:rsidR="00896044" w:rsidRPr="008D77D8" w:rsidRDefault="00896044" w:rsidP="006D08F2">
      <w:pPr>
        <w:rPr>
          <w:sz w:val="18"/>
        </w:rPr>
        <w:sectPr w:rsidR="00896044" w:rsidRPr="008D77D8">
          <w:headerReference w:type="default" r:id="rId52"/>
          <w:footerReference w:type="default" r:id="rId53"/>
          <w:pgSz w:w="12240" w:h="15840"/>
          <w:pgMar w:top="1200" w:right="600" w:bottom="1000" w:left="1080" w:header="723" w:footer="808" w:gutter="0"/>
          <w:cols w:space="720"/>
        </w:sectPr>
      </w:pPr>
    </w:p>
    <w:p w14:paraId="116445A5" w14:textId="77777777" w:rsidR="00162B8B" w:rsidRPr="008D77D8" w:rsidRDefault="00730F67" w:rsidP="00CB740B">
      <w:pPr>
        <w:pStyle w:val="Heading3"/>
        <w:jc w:val="center"/>
      </w:pPr>
      <w:r w:rsidRPr="008D77D8">
        <w:rPr>
          <w:u w:color="000000"/>
        </w:rPr>
        <w:lastRenderedPageBreak/>
        <w:t>APPENDIX</w:t>
      </w:r>
      <w:r w:rsidRPr="008D77D8">
        <w:rPr>
          <w:bCs w:val="0"/>
          <w:u w:color="000000"/>
        </w:rPr>
        <w:t xml:space="preserve"> C</w:t>
      </w:r>
    </w:p>
    <w:p w14:paraId="5FDFA943" w14:textId="588BA454" w:rsidR="00896044" w:rsidRPr="008D77D8" w:rsidRDefault="00CB740B" w:rsidP="00CB740B">
      <w:pPr>
        <w:spacing w:after="240"/>
        <w:ind w:left="360"/>
        <w:jc w:val="center"/>
        <w:rPr>
          <w:b/>
          <w:bCs/>
        </w:rPr>
      </w:pPr>
      <w:r w:rsidRPr="008D77D8">
        <w:rPr>
          <w:b/>
          <w:bCs/>
          <w:noProof/>
        </w:rPr>
        <mc:AlternateContent>
          <mc:Choice Requires="wps">
            <w:drawing>
              <wp:anchor distT="0" distB="0" distL="0" distR="0" simplePos="0" relativeHeight="487601664" behindDoc="1" locked="0" layoutInCell="1" allowOverlap="1" wp14:anchorId="034BD5A6" wp14:editId="4076FA1C">
                <wp:simplePos x="0" y="0"/>
                <wp:positionH relativeFrom="page">
                  <wp:posOffset>890270</wp:posOffset>
                </wp:positionH>
                <wp:positionV relativeFrom="paragraph">
                  <wp:posOffset>208915</wp:posOffset>
                </wp:positionV>
                <wp:extent cx="6163945" cy="18415"/>
                <wp:effectExtent l="0" t="0" r="0" b="0"/>
                <wp:wrapTopAndBottom/>
                <wp:docPr id="1263558124"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1AE27" id="docshape82" o:spid="_x0000_s1026" style="position:absolute;margin-left:70.1pt;margin-top:16.45pt;width:485.3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" fillcolor="black" stroked="f">
                <w10:wrap type="topAndBottom" anchorx="page"/>
              </v:rect>
            </w:pict>
          </mc:Fallback>
        </mc:AlternateContent>
      </w:r>
      <w:r w:rsidR="00730F67" w:rsidRPr="008D77D8">
        <w:rPr>
          <w:b/>
          <w:bCs/>
        </w:rPr>
        <w:t>SAMPLE SCENARIO FOR POTENTIAL GREEN PROJECT RESERVE APPLICATIONS</w:t>
      </w:r>
    </w:p>
    <w:p w14:paraId="2A0B6FEC" w14:textId="77777777" w:rsidR="006902C6" w:rsidRPr="008D77D8" w:rsidRDefault="00404B7E" w:rsidP="006D08F2">
      <w:pPr>
        <w:pStyle w:val="BodyText"/>
        <w:spacing w:after="240"/>
        <w:ind w:left="360" w:right="534"/>
        <w:jc w:val="both"/>
      </w:pPr>
      <w:r w:rsidRPr="008D77D8">
        <w:rPr>
          <w:noProof/>
        </w:rPr>
        <mc:AlternateContent>
          <mc:Choice Requires="wps">
            <w:drawing>
              <wp:anchor distT="0" distB="0" distL="114300" distR="114300" simplePos="0" relativeHeight="486908928" behindDoc="1" locked="0" layoutInCell="1" allowOverlap="1" wp14:anchorId="1893A116" wp14:editId="7FE45DFA">
                <wp:simplePos x="0" y="0"/>
                <wp:positionH relativeFrom="page">
                  <wp:posOffset>1143000</wp:posOffset>
                </wp:positionH>
                <wp:positionV relativeFrom="paragraph">
                  <wp:posOffset>485140</wp:posOffset>
                </wp:positionV>
                <wp:extent cx="1600200" cy="7620"/>
                <wp:effectExtent l="0" t="0" r="0" b="0"/>
                <wp:wrapNone/>
                <wp:docPr id="1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59BD" id="docshape88" o:spid="_x0000_s1026" style="position:absolute;margin-left:90pt;margin-top:38.2pt;width:126pt;height:.6pt;z-index:-164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" fillcolor="black" stroked="f">
                <w10:wrap anchorx="page"/>
              </v:rect>
            </w:pict>
          </mc:Fallback>
        </mc:AlternateContent>
      </w:r>
      <w:r w:rsidR="00730F67" w:rsidRPr="008D77D8">
        <w:t xml:space="preserve">To qualify as Green Project Reserve (GPR), a waterworks must show that the proposed project has significant (not incidental) green benefits. The project must provide green infrastructure, promote water and/or power efficiency, or provide other innovative environmental benefits. To determine if your proposed project can be classified as a GPR project, the first step is to determine which project </w:t>
      </w:r>
      <w:proofErr w:type="gramStart"/>
      <w:r w:rsidR="00730F67" w:rsidRPr="008D77D8">
        <w:t>elements</w:t>
      </w:r>
      <w:proofErr w:type="gramEnd"/>
      <w:r w:rsidR="00730F67" w:rsidRPr="008D77D8">
        <w:t xml:space="preserve"> and their associated costs meet GPR criteria. After determining which project elements (and costs) are potentially GPR, a business case showing how the project element is green on both technical and financial grounds. When making a business case for GPR consideration, the supporting information should be as specific and detailed as possible.</w:t>
      </w:r>
    </w:p>
    <w:p w14:paraId="0D6667A1" w14:textId="533EC4A9" w:rsidR="00896044" w:rsidRPr="008D77D8" w:rsidRDefault="00730F67" w:rsidP="00D727FF">
      <w:pPr>
        <w:pStyle w:val="Heading4"/>
      </w:pPr>
      <w:r w:rsidRPr="008D77D8">
        <w:t>Sample Scenario</w:t>
      </w:r>
    </w:p>
    <w:p w14:paraId="653A438D" w14:textId="4385B30A" w:rsidR="006902C6" w:rsidRPr="008D77D8" w:rsidRDefault="00730F67" w:rsidP="006D08F2">
      <w:pPr>
        <w:pStyle w:val="BodyText"/>
        <w:spacing w:after="240"/>
        <w:ind w:left="360" w:right="534"/>
        <w:jc w:val="both"/>
      </w:pPr>
      <w:r w:rsidRPr="008D77D8">
        <w:t xml:space="preserve">The town of Anywhere, Virginia serves 100 residential </w:t>
      </w:r>
      <w:r w:rsidR="00B83696" w:rsidRPr="008D77D8">
        <w:t>customers and</w:t>
      </w:r>
      <w:r w:rsidRPr="008D77D8">
        <w:t xml:space="preserve"> has applied for $100K in State Revolving Funds through the VDH-DWSRF. Their proposed project will replace 100% of the aging 6” water mains serving the </w:t>
      </w:r>
      <w:r w:rsidR="008E06CD" w:rsidRPr="008D77D8">
        <w:t>town and</w:t>
      </w:r>
      <w:r w:rsidRPr="008D77D8">
        <w:t xml:space="preserve"> replace 50% of the water meters currently in use with touch-read meters.</w:t>
      </w:r>
    </w:p>
    <w:p w14:paraId="0062B902" w14:textId="77777777" w:rsidR="006902C6" w:rsidRPr="008D77D8" w:rsidRDefault="00730F67" w:rsidP="006D08F2">
      <w:pPr>
        <w:pStyle w:val="BodyText"/>
        <w:spacing w:after="240"/>
        <w:ind w:left="360" w:right="534"/>
        <w:jc w:val="both"/>
      </w:pPr>
      <w:r w:rsidRPr="008D77D8">
        <w:t>Water loss through leakage is a significant problem for the town: water audits show 60% of average daily production cannot be reconciled. The town produces and treats 100,000 gpd, of which only 40,000 gallons reach customers. Pipe replacement accounts for $90K of the total project cost. Replacement of the existing meters with touch-read meters accounts for $10K of the total project costs. The key benefit will be labor savings for the town meter reader.</w:t>
      </w:r>
    </w:p>
    <w:p w14:paraId="259C516B" w14:textId="073E6985" w:rsidR="00896044" w:rsidRPr="008D77D8" w:rsidRDefault="00730F67" w:rsidP="006D08F2">
      <w:pPr>
        <w:pStyle w:val="BodyText"/>
        <w:spacing w:after="240"/>
        <w:ind w:left="360" w:right="534"/>
        <w:jc w:val="both"/>
      </w:pPr>
      <w:r w:rsidRPr="008D77D8">
        <w:t>In this scenario the water line replacement element may qualify as GPR, because it promotes water efficiency, while the meter replacement element does not, because its primary purpose is to modernize the utility’s management practices.</w:t>
      </w:r>
    </w:p>
    <w:p w14:paraId="15FF6562" w14:textId="77777777" w:rsidR="006902C6" w:rsidRPr="008D77D8" w:rsidRDefault="00730F67" w:rsidP="006D08F2">
      <w:pPr>
        <w:pStyle w:val="BodyText"/>
        <w:spacing w:after="240"/>
        <w:ind w:left="360" w:right="534"/>
        <w:jc w:val="both"/>
      </w:pPr>
      <w:r w:rsidRPr="008D77D8">
        <w:t>The technical basis for the water line replacement is expected reduction in water loss due to leakage from 60% of daily production to no more than 10% loss. The financial basis for the line replacement is expected savings in water production costs (lowering the cost of treatment chemicals, improving the life expectancy of pumps, reducing expenses for electricity) and costs of spot repair and maintenance.</w:t>
      </w:r>
    </w:p>
    <w:p w14:paraId="609BE2AB" w14:textId="7DC5B3B4" w:rsidR="00896044" w:rsidRPr="008D77D8" w:rsidRDefault="00730F67" w:rsidP="006D08F2">
      <w:pPr>
        <w:pStyle w:val="BodyText"/>
        <w:spacing w:after="240"/>
        <w:ind w:left="360" w:right="534"/>
        <w:jc w:val="both"/>
      </w:pPr>
      <w:r w:rsidRPr="008D77D8">
        <w:t xml:space="preserve">Below is a sample format for organizing your information. Please note that figures shown are for illustration purposes only. Under Financial Component document your systems expected cost savings in the same time unit throughout, where possible (as shown, except for pump life expectancy, cost savings are expressed </w:t>
      </w:r>
      <w:r w:rsidR="00B83696" w:rsidRPr="008D77D8">
        <w:t>on a</w:t>
      </w:r>
      <w:r w:rsidRPr="008D77D8">
        <w:t xml:space="preserve"> per month basis).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6760"/>
      </w:tblGrid>
      <w:tr w:rsidR="00896044" w:rsidRPr="008D77D8" w14:paraId="3E93DA66" w14:textId="77777777">
        <w:trPr>
          <w:trHeight w:val="306"/>
        </w:trPr>
        <w:tc>
          <w:tcPr>
            <w:tcW w:w="2521" w:type="dxa"/>
          </w:tcPr>
          <w:p w14:paraId="5753B6A7" w14:textId="77777777" w:rsidR="00896044" w:rsidRPr="008D77D8" w:rsidRDefault="00730F67" w:rsidP="006D08F2">
            <w:pPr>
              <w:pStyle w:val="TableParagraph"/>
              <w:spacing w:before="51"/>
              <w:rPr>
                <w:sz w:val="17"/>
              </w:rPr>
            </w:pPr>
            <w:r w:rsidRPr="008D77D8">
              <w:rPr>
                <w:sz w:val="17"/>
              </w:rPr>
              <w:t>Applicant</w:t>
            </w:r>
          </w:p>
        </w:tc>
        <w:tc>
          <w:tcPr>
            <w:tcW w:w="6760" w:type="dxa"/>
          </w:tcPr>
          <w:p w14:paraId="4192FA29" w14:textId="5AC7C377" w:rsidR="00896044" w:rsidRPr="008D77D8" w:rsidRDefault="00730F67" w:rsidP="006D08F2">
            <w:pPr>
              <w:pStyle w:val="TableParagraph"/>
              <w:spacing w:before="51"/>
              <w:rPr>
                <w:b/>
                <w:sz w:val="17"/>
              </w:rPr>
            </w:pPr>
            <w:r w:rsidRPr="008D77D8">
              <w:rPr>
                <w:sz w:val="17"/>
              </w:rPr>
              <w:t xml:space="preserve">Anytown Water Utility – Water Main and Meter Replacement Project </w:t>
            </w:r>
            <w:proofErr w:type="gramStart"/>
            <w:r w:rsidRPr="008D77D8">
              <w:rPr>
                <w:sz w:val="17"/>
              </w:rPr>
              <w:t>-</w:t>
            </w:r>
            <w:r w:rsidR="00D727FF" w:rsidRPr="008D77D8">
              <w:rPr>
                <w:sz w:val="17"/>
              </w:rPr>
              <w:t xml:space="preserve"> </w:t>
            </w:r>
            <w:r w:rsidRPr="008D77D8">
              <w:rPr>
                <w:sz w:val="17"/>
              </w:rPr>
              <w:t xml:space="preserve"> </w:t>
            </w:r>
            <w:r w:rsidRPr="008D77D8">
              <w:rPr>
                <w:b/>
                <w:sz w:val="17"/>
              </w:rPr>
              <w:t>Project</w:t>
            </w:r>
            <w:proofErr w:type="gramEnd"/>
            <w:r w:rsidRPr="008D77D8">
              <w:rPr>
                <w:b/>
                <w:sz w:val="17"/>
              </w:rPr>
              <w:t xml:space="preserve"> 299</w:t>
            </w:r>
          </w:p>
        </w:tc>
      </w:tr>
      <w:tr w:rsidR="00896044" w:rsidRPr="008D77D8" w14:paraId="0E8B996F" w14:textId="77777777">
        <w:trPr>
          <w:trHeight w:val="258"/>
        </w:trPr>
        <w:tc>
          <w:tcPr>
            <w:tcW w:w="2521" w:type="dxa"/>
          </w:tcPr>
          <w:p w14:paraId="492E5D49" w14:textId="77777777" w:rsidR="00896044" w:rsidRPr="008D77D8" w:rsidRDefault="00730F67" w:rsidP="006D08F2">
            <w:pPr>
              <w:pStyle w:val="TableParagraph"/>
              <w:spacing w:before="27"/>
              <w:rPr>
                <w:sz w:val="17"/>
              </w:rPr>
            </w:pPr>
            <w:r w:rsidRPr="008D77D8">
              <w:rPr>
                <w:sz w:val="17"/>
              </w:rPr>
              <w:t>Contact Name and Phone</w:t>
            </w:r>
          </w:p>
        </w:tc>
        <w:tc>
          <w:tcPr>
            <w:tcW w:w="6760" w:type="dxa"/>
          </w:tcPr>
          <w:p w14:paraId="12BD9862" w14:textId="77777777" w:rsidR="00896044" w:rsidRPr="008D77D8" w:rsidRDefault="00730F67" w:rsidP="006D08F2">
            <w:pPr>
              <w:pStyle w:val="TableParagraph"/>
              <w:spacing w:before="27"/>
              <w:rPr>
                <w:sz w:val="17"/>
              </w:rPr>
            </w:pPr>
            <w:r w:rsidRPr="008D77D8">
              <w:rPr>
                <w:sz w:val="17"/>
              </w:rPr>
              <w:t>John Smith, Utilities Director (703) 123 4567</w:t>
            </w:r>
          </w:p>
        </w:tc>
      </w:tr>
      <w:tr w:rsidR="00896044" w:rsidRPr="008D77D8" w14:paraId="6660740E" w14:textId="77777777">
        <w:trPr>
          <w:trHeight w:val="621"/>
        </w:trPr>
        <w:tc>
          <w:tcPr>
            <w:tcW w:w="2521" w:type="dxa"/>
          </w:tcPr>
          <w:p w14:paraId="1C89E2C9" w14:textId="77777777" w:rsidR="00896044" w:rsidRPr="008D77D8" w:rsidRDefault="00730F67" w:rsidP="006D08F2">
            <w:pPr>
              <w:pStyle w:val="TableParagraph"/>
              <w:spacing w:before="111"/>
              <w:ind w:right="637"/>
              <w:rPr>
                <w:sz w:val="17"/>
              </w:rPr>
            </w:pPr>
            <w:r w:rsidRPr="008D77D8">
              <w:rPr>
                <w:sz w:val="17"/>
              </w:rPr>
              <w:t>Project Description and associated costs</w:t>
            </w:r>
          </w:p>
        </w:tc>
        <w:tc>
          <w:tcPr>
            <w:tcW w:w="6760" w:type="dxa"/>
          </w:tcPr>
          <w:p w14:paraId="70CDF9FB" w14:textId="77777777" w:rsidR="00896044" w:rsidRPr="008D77D8" w:rsidRDefault="00730F67" w:rsidP="006D08F2">
            <w:pPr>
              <w:pStyle w:val="TableParagraph"/>
              <w:numPr>
                <w:ilvl w:val="0"/>
                <w:numId w:val="4"/>
              </w:numPr>
              <w:tabs>
                <w:tab w:val="left" w:pos="360"/>
              </w:tabs>
              <w:spacing w:before="13"/>
              <w:ind w:right="802"/>
              <w:rPr>
                <w:sz w:val="17"/>
              </w:rPr>
            </w:pPr>
            <w:r w:rsidRPr="008D77D8">
              <w:rPr>
                <w:sz w:val="17"/>
              </w:rPr>
              <w:t>Replace 100% of 6” water mains currently in service to 100 residential and business connections ($90K)</w:t>
            </w:r>
          </w:p>
          <w:p w14:paraId="28FBFE88" w14:textId="77777777" w:rsidR="00896044" w:rsidRPr="008D77D8" w:rsidRDefault="00730F67" w:rsidP="006D08F2">
            <w:pPr>
              <w:pStyle w:val="TableParagraph"/>
              <w:numPr>
                <w:ilvl w:val="0"/>
                <w:numId w:val="4"/>
              </w:numPr>
              <w:tabs>
                <w:tab w:val="left" w:pos="360"/>
              </w:tabs>
              <w:ind w:hanging="253"/>
              <w:rPr>
                <w:sz w:val="17"/>
              </w:rPr>
            </w:pPr>
            <w:r w:rsidRPr="008D77D8">
              <w:rPr>
                <w:sz w:val="17"/>
              </w:rPr>
              <w:t>Replace 50% of existing rotary water meters with touch-read meters. ($10K)</w:t>
            </w:r>
          </w:p>
        </w:tc>
      </w:tr>
      <w:tr w:rsidR="00896044" w:rsidRPr="008D77D8" w14:paraId="1521E0E0" w14:textId="77777777">
        <w:trPr>
          <w:trHeight w:val="585"/>
        </w:trPr>
        <w:tc>
          <w:tcPr>
            <w:tcW w:w="2521" w:type="dxa"/>
          </w:tcPr>
          <w:p w14:paraId="1D513653" w14:textId="77777777" w:rsidR="00896044" w:rsidRPr="008D77D8" w:rsidRDefault="00730F67" w:rsidP="006D08F2">
            <w:pPr>
              <w:pStyle w:val="TableParagraph"/>
              <w:spacing w:line="237" w:lineRule="auto"/>
              <w:ind w:right="135"/>
              <w:rPr>
                <w:sz w:val="17"/>
              </w:rPr>
            </w:pPr>
            <w:r w:rsidRPr="008D77D8">
              <w:rPr>
                <w:sz w:val="17"/>
              </w:rPr>
              <w:t>What project elements can be classified as potentially</w:t>
            </w:r>
          </w:p>
          <w:p w14:paraId="4F9DBD95" w14:textId="77777777" w:rsidR="00896044" w:rsidRPr="008D77D8" w:rsidRDefault="00730F67" w:rsidP="006D08F2">
            <w:pPr>
              <w:pStyle w:val="TableParagraph"/>
              <w:spacing w:line="178" w:lineRule="exact"/>
              <w:rPr>
                <w:sz w:val="17"/>
              </w:rPr>
            </w:pPr>
            <w:r w:rsidRPr="008D77D8">
              <w:rPr>
                <w:sz w:val="17"/>
              </w:rPr>
              <w:t>green?</w:t>
            </w:r>
          </w:p>
        </w:tc>
        <w:tc>
          <w:tcPr>
            <w:tcW w:w="6760" w:type="dxa"/>
          </w:tcPr>
          <w:p w14:paraId="717ED624" w14:textId="77777777" w:rsidR="00896044" w:rsidRPr="008D77D8" w:rsidRDefault="00896044" w:rsidP="006D08F2">
            <w:pPr>
              <w:pStyle w:val="TableParagraph"/>
              <w:spacing w:before="6"/>
              <w:ind w:left="0"/>
              <w:rPr>
                <w:sz w:val="16"/>
              </w:rPr>
            </w:pPr>
          </w:p>
          <w:p w14:paraId="29EA1B31" w14:textId="77777777" w:rsidR="00896044" w:rsidRPr="008D77D8" w:rsidRDefault="00730F67" w:rsidP="006D08F2">
            <w:pPr>
              <w:pStyle w:val="TableParagraph"/>
              <w:rPr>
                <w:sz w:val="17"/>
              </w:rPr>
            </w:pPr>
            <w:r w:rsidRPr="008D77D8">
              <w:rPr>
                <w:sz w:val="17"/>
              </w:rPr>
              <w:t>Water line replacement, at a cost of $90K.</w:t>
            </w:r>
          </w:p>
        </w:tc>
      </w:tr>
      <w:tr w:rsidR="00896044" w:rsidRPr="008D77D8" w14:paraId="0DAE0200" w14:textId="77777777">
        <w:trPr>
          <w:trHeight w:val="2738"/>
        </w:trPr>
        <w:tc>
          <w:tcPr>
            <w:tcW w:w="2521" w:type="dxa"/>
          </w:tcPr>
          <w:p w14:paraId="01E11EA5" w14:textId="77777777" w:rsidR="006902C6" w:rsidRPr="008D77D8" w:rsidRDefault="006902C6" w:rsidP="006D08F2">
            <w:pPr>
              <w:pStyle w:val="TableParagraph"/>
              <w:ind w:left="0"/>
              <w:rPr>
                <w:sz w:val="18"/>
              </w:rPr>
            </w:pPr>
          </w:p>
          <w:p w14:paraId="346162B4" w14:textId="77777777" w:rsidR="006902C6" w:rsidRPr="008D77D8" w:rsidRDefault="006902C6" w:rsidP="006D08F2">
            <w:pPr>
              <w:pStyle w:val="TableParagraph"/>
              <w:ind w:left="0"/>
              <w:rPr>
                <w:sz w:val="18"/>
              </w:rPr>
            </w:pPr>
          </w:p>
          <w:p w14:paraId="1714672A" w14:textId="77777777" w:rsidR="006902C6" w:rsidRPr="008D77D8" w:rsidRDefault="006902C6" w:rsidP="006D08F2">
            <w:pPr>
              <w:pStyle w:val="TableParagraph"/>
              <w:ind w:left="0"/>
              <w:rPr>
                <w:sz w:val="18"/>
              </w:rPr>
            </w:pPr>
          </w:p>
          <w:p w14:paraId="57F66F76" w14:textId="77777777" w:rsidR="00896044" w:rsidRPr="008D77D8" w:rsidRDefault="00730F67" w:rsidP="006D08F2">
            <w:pPr>
              <w:pStyle w:val="TableParagraph"/>
              <w:rPr>
                <w:sz w:val="17"/>
              </w:rPr>
            </w:pPr>
            <w:r w:rsidRPr="008D77D8">
              <w:rPr>
                <w:sz w:val="17"/>
              </w:rPr>
              <w:t>Technical Component</w:t>
            </w:r>
          </w:p>
        </w:tc>
        <w:tc>
          <w:tcPr>
            <w:tcW w:w="6760" w:type="dxa"/>
          </w:tcPr>
          <w:p w14:paraId="4EB2D65A" w14:textId="77777777" w:rsidR="006902C6" w:rsidRPr="008D77D8" w:rsidRDefault="00730F67" w:rsidP="006D08F2">
            <w:pPr>
              <w:pStyle w:val="TableParagraph"/>
              <w:ind w:right="112"/>
              <w:rPr>
                <w:sz w:val="17"/>
              </w:rPr>
            </w:pPr>
            <w:r w:rsidRPr="008D77D8">
              <w:rPr>
                <w:sz w:val="17"/>
              </w:rPr>
              <w:t xml:space="preserve">By replacing existing 6” water mains that were originally installed in 1930, we expect to reduce documented water loss through leakage by approximately 50%. The waterworks produces and treats an average of 100,000 gpd. Water meter readings show residential use of approximately 400 gpd per residential connection. The waterworks </w:t>
            </w:r>
            <w:proofErr w:type="gramStart"/>
            <w:r w:rsidRPr="008D77D8">
              <w:rPr>
                <w:sz w:val="17"/>
              </w:rPr>
              <w:t>serves</w:t>
            </w:r>
            <w:proofErr w:type="gramEnd"/>
            <w:r w:rsidRPr="008D77D8">
              <w:rPr>
                <w:sz w:val="17"/>
              </w:rPr>
              <w:t xml:space="preserve"> 100 households.</w:t>
            </w:r>
          </w:p>
          <w:p w14:paraId="7E85CF7F" w14:textId="04C68396" w:rsidR="00896044" w:rsidRPr="008D77D8" w:rsidRDefault="00730F67" w:rsidP="006D08F2">
            <w:pPr>
              <w:pStyle w:val="TableParagraph"/>
              <w:tabs>
                <w:tab w:val="left" w:pos="3563"/>
              </w:tabs>
              <w:rPr>
                <w:sz w:val="17"/>
              </w:rPr>
            </w:pPr>
            <w:r w:rsidRPr="008D77D8">
              <w:rPr>
                <w:sz w:val="17"/>
              </w:rPr>
              <w:t>Current daily production</w:t>
            </w:r>
            <w:r w:rsidRPr="008D77D8">
              <w:rPr>
                <w:sz w:val="17"/>
              </w:rPr>
              <w:tab/>
              <w:t>100,000 gpd</w:t>
            </w:r>
          </w:p>
          <w:p w14:paraId="6E762888" w14:textId="77777777" w:rsidR="00896044" w:rsidRPr="008D77D8" w:rsidRDefault="00730F67" w:rsidP="006D08F2">
            <w:pPr>
              <w:pStyle w:val="TableParagraph"/>
              <w:tabs>
                <w:tab w:val="left" w:pos="3539"/>
              </w:tabs>
              <w:spacing w:before="1"/>
              <w:ind w:right="490"/>
              <w:rPr>
                <w:sz w:val="17"/>
              </w:rPr>
            </w:pPr>
            <w:r w:rsidRPr="008D77D8">
              <w:rPr>
                <w:sz w:val="17"/>
              </w:rPr>
              <w:t>Average daily usage</w:t>
            </w:r>
            <w:r w:rsidRPr="008D77D8">
              <w:rPr>
                <w:sz w:val="17"/>
              </w:rPr>
              <w:tab/>
              <w:t>- 40,000 gpd (400 gpd/ conn. X 100 conn.)</w:t>
            </w:r>
          </w:p>
          <w:p w14:paraId="5874423A" w14:textId="77777777" w:rsidR="006902C6" w:rsidRPr="008D77D8" w:rsidRDefault="00730F67" w:rsidP="006D08F2">
            <w:pPr>
              <w:pStyle w:val="TableParagraph"/>
              <w:tabs>
                <w:tab w:val="left" w:pos="3530"/>
              </w:tabs>
              <w:spacing w:line="242" w:lineRule="auto"/>
              <w:ind w:right="1669"/>
              <w:rPr>
                <w:b/>
                <w:sz w:val="17"/>
              </w:rPr>
            </w:pPr>
            <w:r w:rsidRPr="008D77D8">
              <w:rPr>
                <w:sz w:val="17"/>
              </w:rPr>
              <w:t>Water loss goal after line replacement</w:t>
            </w:r>
            <w:r w:rsidRPr="008D77D8">
              <w:rPr>
                <w:sz w:val="17"/>
              </w:rPr>
              <w:tab/>
            </w:r>
            <w:r w:rsidRPr="008D77D8">
              <w:rPr>
                <w:sz w:val="17"/>
                <w:u w:val="single"/>
              </w:rPr>
              <w:t>- 10,000 gpd</w:t>
            </w:r>
            <w:r w:rsidRPr="008D77D8">
              <w:rPr>
                <w:sz w:val="17"/>
              </w:rPr>
              <w:t xml:space="preserve"> or less Expected water </w:t>
            </w:r>
            <w:r w:rsidRPr="008D77D8">
              <w:rPr>
                <w:sz w:val="17"/>
                <w:u w:val="single"/>
              </w:rPr>
              <w:t>savings</w:t>
            </w:r>
            <w:r w:rsidRPr="008D77D8">
              <w:rPr>
                <w:sz w:val="17"/>
              </w:rPr>
              <w:t xml:space="preserve"> after replacement</w:t>
            </w:r>
            <w:r w:rsidRPr="008D77D8">
              <w:rPr>
                <w:sz w:val="17"/>
              </w:rPr>
              <w:tab/>
              <w:t xml:space="preserve">= </w:t>
            </w:r>
            <w:r w:rsidRPr="008D77D8">
              <w:rPr>
                <w:b/>
                <w:sz w:val="17"/>
              </w:rPr>
              <w:t>50,000 gpd</w:t>
            </w:r>
          </w:p>
          <w:p w14:paraId="1DBD9947" w14:textId="3DD611C3" w:rsidR="00896044" w:rsidRPr="008D77D8" w:rsidRDefault="00730F67" w:rsidP="006D08F2">
            <w:pPr>
              <w:pStyle w:val="TableParagraph"/>
              <w:spacing w:line="194" w:lineRule="exact"/>
              <w:ind w:right="113"/>
              <w:rPr>
                <w:sz w:val="17"/>
              </w:rPr>
            </w:pPr>
            <w:r w:rsidRPr="008D77D8">
              <w:rPr>
                <w:sz w:val="17"/>
              </w:rPr>
              <w:t>It is expected that water use and efficiency will be significantly improved by replacing the existing, ageing pipe as described in the project application.</w:t>
            </w:r>
          </w:p>
        </w:tc>
      </w:tr>
      <w:tr w:rsidR="00896044" w:rsidRPr="008D77D8" w14:paraId="66B62ADC" w14:textId="77777777">
        <w:trPr>
          <w:trHeight w:val="2078"/>
        </w:trPr>
        <w:tc>
          <w:tcPr>
            <w:tcW w:w="2521" w:type="dxa"/>
          </w:tcPr>
          <w:p w14:paraId="7F1D837B" w14:textId="77777777" w:rsidR="006902C6" w:rsidRPr="008D77D8" w:rsidRDefault="006902C6" w:rsidP="006D08F2">
            <w:pPr>
              <w:pStyle w:val="TableParagraph"/>
              <w:ind w:left="0"/>
              <w:rPr>
                <w:sz w:val="18"/>
              </w:rPr>
            </w:pPr>
          </w:p>
          <w:p w14:paraId="2A4A12C6" w14:textId="77777777" w:rsidR="006902C6" w:rsidRPr="008D77D8" w:rsidRDefault="006902C6" w:rsidP="006D08F2">
            <w:pPr>
              <w:pStyle w:val="TableParagraph"/>
              <w:ind w:left="0"/>
              <w:rPr>
                <w:sz w:val="18"/>
              </w:rPr>
            </w:pPr>
          </w:p>
          <w:p w14:paraId="60A027C0" w14:textId="77777777" w:rsidR="00896044" w:rsidRPr="008D77D8" w:rsidRDefault="00730F67" w:rsidP="006D08F2">
            <w:pPr>
              <w:pStyle w:val="TableParagraph"/>
              <w:spacing w:before="109"/>
              <w:rPr>
                <w:sz w:val="17"/>
              </w:rPr>
            </w:pPr>
            <w:r w:rsidRPr="008D77D8">
              <w:rPr>
                <w:sz w:val="17"/>
              </w:rPr>
              <w:t>Financial Component</w:t>
            </w:r>
          </w:p>
        </w:tc>
        <w:tc>
          <w:tcPr>
            <w:tcW w:w="6760" w:type="dxa"/>
          </w:tcPr>
          <w:p w14:paraId="7B21D7C6" w14:textId="77777777" w:rsidR="00896044" w:rsidRPr="008D77D8" w:rsidRDefault="00730F67" w:rsidP="006D08F2">
            <w:pPr>
              <w:pStyle w:val="TableParagraph"/>
              <w:numPr>
                <w:ilvl w:val="0"/>
                <w:numId w:val="3"/>
              </w:numPr>
              <w:tabs>
                <w:tab w:val="left" w:pos="360"/>
              </w:tabs>
              <w:spacing w:before="58"/>
              <w:ind w:right="125"/>
              <w:rPr>
                <w:b/>
                <w:sz w:val="17"/>
              </w:rPr>
            </w:pPr>
            <w:r w:rsidRPr="008D77D8">
              <w:rPr>
                <w:sz w:val="17"/>
              </w:rPr>
              <w:t>40% reduction in treatment chemical costs. Current average monthly costs = $350. Savings after project = $</w:t>
            </w:r>
            <w:r w:rsidRPr="008D77D8">
              <w:rPr>
                <w:b/>
                <w:sz w:val="17"/>
              </w:rPr>
              <w:t>140 per month.</w:t>
            </w:r>
          </w:p>
          <w:p w14:paraId="5C5FBDC4" w14:textId="77777777" w:rsidR="00896044" w:rsidRPr="008D77D8" w:rsidRDefault="00730F67" w:rsidP="006D08F2">
            <w:pPr>
              <w:pStyle w:val="TableParagraph"/>
              <w:numPr>
                <w:ilvl w:val="0"/>
                <w:numId w:val="3"/>
              </w:numPr>
              <w:tabs>
                <w:tab w:val="left" w:pos="360"/>
              </w:tabs>
              <w:spacing w:line="193" w:lineRule="exact"/>
              <w:ind w:hanging="253"/>
              <w:rPr>
                <w:sz w:val="17"/>
              </w:rPr>
            </w:pPr>
            <w:r w:rsidRPr="008D77D8">
              <w:rPr>
                <w:sz w:val="17"/>
              </w:rPr>
              <w:t>30% reduction in Average monthly electric costs. Current average monthly costs =</w:t>
            </w:r>
          </w:p>
          <w:p w14:paraId="5FFFE556" w14:textId="77777777" w:rsidR="00896044" w:rsidRPr="008D77D8" w:rsidRDefault="00730F67" w:rsidP="006D08F2">
            <w:pPr>
              <w:pStyle w:val="TableParagraph"/>
              <w:spacing w:before="2" w:line="195" w:lineRule="exact"/>
              <w:ind w:left="359"/>
              <w:rPr>
                <w:b/>
                <w:sz w:val="17"/>
              </w:rPr>
            </w:pPr>
            <w:r w:rsidRPr="008D77D8">
              <w:rPr>
                <w:sz w:val="17"/>
              </w:rPr>
              <w:t>$1000. Savings after project = $</w:t>
            </w:r>
            <w:r w:rsidRPr="008D77D8">
              <w:rPr>
                <w:b/>
                <w:sz w:val="17"/>
              </w:rPr>
              <w:t>300 per month.</w:t>
            </w:r>
          </w:p>
          <w:p w14:paraId="770E0BF9" w14:textId="77777777" w:rsidR="00896044" w:rsidRPr="008D77D8" w:rsidRDefault="00730F67" w:rsidP="006D08F2">
            <w:pPr>
              <w:pStyle w:val="TableParagraph"/>
              <w:numPr>
                <w:ilvl w:val="0"/>
                <w:numId w:val="3"/>
              </w:numPr>
              <w:tabs>
                <w:tab w:val="left" w:pos="360"/>
              </w:tabs>
              <w:spacing w:line="195" w:lineRule="exact"/>
              <w:ind w:hanging="253"/>
              <w:rPr>
                <w:sz w:val="17"/>
              </w:rPr>
            </w:pPr>
            <w:r w:rsidRPr="008D77D8">
              <w:rPr>
                <w:sz w:val="17"/>
              </w:rPr>
              <w:t>Maintenance crew currently spends 20 hours/month on spot repairs at labor cost of</w:t>
            </w:r>
          </w:p>
          <w:p w14:paraId="70EE59B2" w14:textId="77777777" w:rsidR="00896044" w:rsidRPr="008D77D8" w:rsidRDefault="00730F67" w:rsidP="006D08F2">
            <w:pPr>
              <w:pStyle w:val="TableParagraph"/>
              <w:spacing w:before="1" w:line="195" w:lineRule="exact"/>
              <w:ind w:left="359"/>
              <w:rPr>
                <w:b/>
                <w:sz w:val="17"/>
              </w:rPr>
            </w:pPr>
            <w:r w:rsidRPr="008D77D8">
              <w:rPr>
                <w:sz w:val="17"/>
              </w:rPr>
              <w:t>$800/month. Savings after project = $</w:t>
            </w:r>
            <w:r w:rsidRPr="008D77D8">
              <w:rPr>
                <w:b/>
                <w:sz w:val="17"/>
              </w:rPr>
              <w:t>800 per month.</w:t>
            </w:r>
          </w:p>
          <w:p w14:paraId="02F406D1" w14:textId="77777777" w:rsidR="00896044" w:rsidRPr="008D77D8" w:rsidRDefault="00730F67" w:rsidP="006D08F2">
            <w:pPr>
              <w:pStyle w:val="TableParagraph"/>
              <w:numPr>
                <w:ilvl w:val="0"/>
                <w:numId w:val="3"/>
              </w:numPr>
              <w:tabs>
                <w:tab w:val="left" w:pos="360"/>
              </w:tabs>
              <w:ind w:right="595"/>
              <w:rPr>
                <w:b/>
                <w:sz w:val="17"/>
              </w:rPr>
            </w:pPr>
            <w:r w:rsidRPr="008D77D8">
              <w:rPr>
                <w:sz w:val="17"/>
              </w:rPr>
              <w:t xml:space="preserve">Improved life expectancy on submersible well pump by reducing frequency of cycling. Replacement cost = $4000 every four years = $84/month. The waterworks </w:t>
            </w:r>
            <w:proofErr w:type="gramStart"/>
            <w:r w:rsidRPr="008D77D8">
              <w:rPr>
                <w:sz w:val="17"/>
              </w:rPr>
              <w:t>expects</w:t>
            </w:r>
            <w:proofErr w:type="gramEnd"/>
            <w:r w:rsidRPr="008D77D8">
              <w:rPr>
                <w:sz w:val="17"/>
              </w:rPr>
              <w:t xml:space="preserve"> to </w:t>
            </w:r>
            <w:r w:rsidRPr="008D77D8">
              <w:rPr>
                <w:sz w:val="17"/>
                <w:u w:val="single"/>
              </w:rPr>
              <w:t>double</w:t>
            </w:r>
            <w:r w:rsidRPr="008D77D8">
              <w:rPr>
                <w:sz w:val="17"/>
              </w:rPr>
              <w:t xml:space="preserve"> pump life expectancy after pipe replacement. Savings after project = $</w:t>
            </w:r>
            <w:r w:rsidRPr="008D77D8">
              <w:rPr>
                <w:b/>
                <w:sz w:val="17"/>
              </w:rPr>
              <w:t>42 per month.</w:t>
            </w:r>
          </w:p>
        </w:tc>
      </w:tr>
      <w:tr w:rsidR="00896044" w:rsidRPr="008D77D8" w14:paraId="6D4075F1" w14:textId="77777777">
        <w:trPr>
          <w:trHeight w:val="294"/>
        </w:trPr>
        <w:tc>
          <w:tcPr>
            <w:tcW w:w="2521" w:type="dxa"/>
          </w:tcPr>
          <w:p w14:paraId="759716D5" w14:textId="77777777" w:rsidR="00896044" w:rsidRPr="008D77D8" w:rsidRDefault="00730F67" w:rsidP="006D08F2">
            <w:pPr>
              <w:pStyle w:val="TableParagraph"/>
              <w:spacing w:before="46"/>
              <w:rPr>
                <w:sz w:val="17"/>
              </w:rPr>
            </w:pPr>
            <w:r w:rsidRPr="008D77D8">
              <w:rPr>
                <w:sz w:val="17"/>
              </w:rPr>
              <w:t>GPR Dollars Claimed</w:t>
            </w:r>
          </w:p>
        </w:tc>
        <w:tc>
          <w:tcPr>
            <w:tcW w:w="6760" w:type="dxa"/>
          </w:tcPr>
          <w:p w14:paraId="4053E336" w14:textId="77777777" w:rsidR="00896044" w:rsidRPr="008D77D8" w:rsidRDefault="00730F67" w:rsidP="006D08F2">
            <w:pPr>
              <w:pStyle w:val="TableParagraph"/>
              <w:tabs>
                <w:tab w:val="left" w:pos="2879"/>
              </w:tabs>
              <w:spacing w:before="46"/>
              <w:rPr>
                <w:sz w:val="17"/>
              </w:rPr>
            </w:pPr>
            <w:r w:rsidRPr="008D77D8">
              <w:rPr>
                <w:b/>
                <w:sz w:val="17"/>
              </w:rPr>
              <w:t>$15,400/annually</w:t>
            </w:r>
            <w:r w:rsidRPr="008D77D8">
              <w:rPr>
                <w:b/>
                <w:sz w:val="17"/>
              </w:rPr>
              <w:tab/>
              <w:t xml:space="preserve">17.1% </w:t>
            </w:r>
            <w:r w:rsidRPr="008D77D8">
              <w:rPr>
                <w:sz w:val="17"/>
              </w:rPr>
              <w:t>(as % of VDH funded project)</w:t>
            </w:r>
          </w:p>
        </w:tc>
      </w:tr>
      <w:tr w:rsidR="00896044" w:rsidRPr="008D77D8" w14:paraId="3027D220" w14:textId="77777777">
        <w:trPr>
          <w:trHeight w:val="297"/>
        </w:trPr>
        <w:tc>
          <w:tcPr>
            <w:tcW w:w="2521" w:type="dxa"/>
          </w:tcPr>
          <w:p w14:paraId="5CF98AE5" w14:textId="77777777" w:rsidR="00896044" w:rsidRPr="008D77D8" w:rsidRDefault="00730F67" w:rsidP="006D08F2">
            <w:pPr>
              <w:pStyle w:val="TableParagraph"/>
              <w:spacing w:before="46"/>
              <w:rPr>
                <w:sz w:val="17"/>
              </w:rPr>
            </w:pPr>
            <w:r w:rsidRPr="008D77D8">
              <w:rPr>
                <w:sz w:val="17"/>
              </w:rPr>
              <w:t>Signature/Date</w:t>
            </w:r>
          </w:p>
        </w:tc>
        <w:tc>
          <w:tcPr>
            <w:tcW w:w="6760" w:type="dxa"/>
          </w:tcPr>
          <w:p w14:paraId="6C526634" w14:textId="77777777" w:rsidR="00896044" w:rsidRPr="008D77D8" w:rsidRDefault="00730F67" w:rsidP="006D08F2">
            <w:pPr>
              <w:pStyle w:val="TableParagraph"/>
              <w:spacing w:before="46"/>
              <w:rPr>
                <w:sz w:val="17"/>
              </w:rPr>
            </w:pPr>
            <w:r w:rsidRPr="008D77D8">
              <w:rPr>
                <w:sz w:val="17"/>
              </w:rPr>
              <w:t>John Smith, April 10, 2017</w:t>
            </w:r>
          </w:p>
        </w:tc>
      </w:tr>
    </w:tbl>
    <w:p w14:paraId="02B4EB92" w14:textId="77777777" w:rsidR="00896044" w:rsidRPr="008D77D8" w:rsidRDefault="00896044" w:rsidP="006D08F2">
      <w:pPr>
        <w:rPr>
          <w:sz w:val="17"/>
        </w:rPr>
        <w:sectPr w:rsidR="00896044" w:rsidRPr="008D77D8">
          <w:pgSz w:w="12240" w:h="15840"/>
          <w:pgMar w:top="1200" w:right="600" w:bottom="1000" w:left="1080" w:header="723" w:footer="808" w:gutter="0"/>
          <w:cols w:space="720"/>
        </w:sectPr>
      </w:pPr>
    </w:p>
    <w:p w14:paraId="6EDEBD32" w14:textId="77777777" w:rsidR="00A3292F" w:rsidRPr="008D77D8" w:rsidRDefault="00730F67" w:rsidP="006D08F2">
      <w:pPr>
        <w:pStyle w:val="Heading3"/>
        <w:jc w:val="center"/>
      </w:pPr>
      <w:r w:rsidRPr="008D77D8">
        <w:lastRenderedPageBreak/>
        <w:t>APPENDIX D</w:t>
      </w:r>
    </w:p>
    <w:p w14:paraId="1AFAC82C" w14:textId="2E18266B" w:rsidR="006902C6" w:rsidRPr="008D77D8" w:rsidRDefault="00CB740B" w:rsidP="00162B8B">
      <w:pPr>
        <w:jc w:val="center"/>
        <w:rPr>
          <w:b/>
          <w:bCs/>
        </w:rPr>
      </w:pPr>
      <w:r w:rsidRPr="008D77D8">
        <w:rPr>
          <w:b/>
          <w:bCs/>
          <w:noProof/>
        </w:rPr>
        <mc:AlternateContent>
          <mc:Choice Requires="wps">
            <w:drawing>
              <wp:anchor distT="0" distB="0" distL="0" distR="0" simplePos="0" relativeHeight="487603712" behindDoc="1" locked="0" layoutInCell="1" allowOverlap="1" wp14:anchorId="60444103" wp14:editId="545267A9">
                <wp:simplePos x="0" y="0"/>
                <wp:positionH relativeFrom="page">
                  <wp:posOffset>880745</wp:posOffset>
                </wp:positionH>
                <wp:positionV relativeFrom="paragraph">
                  <wp:posOffset>161290</wp:posOffset>
                </wp:positionV>
                <wp:extent cx="6163945" cy="18415"/>
                <wp:effectExtent l="0" t="0" r="0" b="0"/>
                <wp:wrapTopAndBottom/>
                <wp:docPr id="826868078"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A56AB" id="docshape82" o:spid="_x0000_s1026" style="position:absolute;margin-left:69.35pt;margin-top:12.7pt;width:485.3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" fillcolor="black" stroked="f">
                <w10:wrap type="topAndBottom" anchorx="page"/>
              </v:rect>
            </w:pict>
          </mc:Fallback>
        </mc:AlternateContent>
      </w:r>
      <w:r w:rsidR="00A42F16" w:rsidRPr="008D77D8">
        <w:rPr>
          <w:b/>
          <w:bCs/>
        </w:rPr>
        <w:t>Lead Elimination Assistance Program (LEAP)</w:t>
      </w:r>
      <w:r w:rsidRPr="008D77D8">
        <w:rPr>
          <w:b/>
          <w:bCs/>
        </w:rPr>
        <w:t xml:space="preserve"> </w:t>
      </w:r>
    </w:p>
    <w:p w14:paraId="5C64356F" w14:textId="6F74608C" w:rsidR="006902C6" w:rsidRPr="008D77D8" w:rsidRDefault="00730F67" w:rsidP="00CB740B">
      <w:pPr>
        <w:tabs>
          <w:tab w:val="left" w:pos="1440"/>
        </w:tabs>
        <w:spacing w:before="39" w:after="240"/>
        <w:jc w:val="both"/>
      </w:pPr>
      <w:r w:rsidRPr="008D77D8">
        <w:t>The Safe Drinking Water Act (SDWA) requires EPA to determine the level of contaminants in drinking water at which no adverse health effects are likely to occur with an adequate margin of safety. These non-enforceable health goals, based solely on possible health risks, are called maximum contaminant level goals (MCLGs). EPA has set the maximum contaminant level goal for lead in drinking water at zero because lead is a toxic metal that can be harmful to human health even at low exposure levels. Lea</w:t>
      </w:r>
      <w:r w:rsidR="00BA3A33" w:rsidRPr="008D77D8">
        <w:t>d i</w:t>
      </w:r>
      <w:r w:rsidRPr="008D77D8">
        <w:t>s persistent, and it can bio-accumulate in the body over time. In support of the MCLG the American Waterworks Association (AWWA) encourages communities to develop a lead reduction strategy that includes identifying and removing all lead service lines over time.</w:t>
      </w:r>
    </w:p>
    <w:p w14:paraId="65B5094A" w14:textId="77777777" w:rsidR="006902C6" w:rsidRPr="008D77D8" w:rsidRDefault="00730F67" w:rsidP="00CB740B">
      <w:pPr>
        <w:tabs>
          <w:tab w:val="left" w:pos="1440"/>
        </w:tabs>
        <w:spacing w:before="39" w:after="240"/>
        <w:jc w:val="both"/>
      </w:pPr>
      <w:r w:rsidRPr="008D77D8">
        <w:t>Beginning in 2017</w:t>
      </w:r>
      <w:r w:rsidR="00A42F16" w:rsidRPr="008D77D8">
        <w:t>,</w:t>
      </w:r>
      <w:r w:rsidRPr="008D77D8">
        <w:t xml:space="preserve"> the VDH/ODW implemented a lead service line replacement rebate program under the Water Supply Assistance Grant (WSAG) Program and/or the State Revolving Loan Fund (DWSRF) Program to support the goal of removing all lead service lines. This program was implemented to help defray the service line replacement costs as a cost sharing program to home/property owners and assist the waterworks in reducing potential risks related to lead exposure in drinking water to its customers.</w:t>
      </w:r>
      <w:r w:rsidR="00D15C09" w:rsidRPr="008D77D8">
        <w:t xml:space="preserve"> In 2020, the original lead service line replacement program was expanded and renamed the Lead Elimination Assistance Program (LEAP). </w:t>
      </w:r>
    </w:p>
    <w:p w14:paraId="3EC19826" w14:textId="1FEEABDC" w:rsidR="006902C6" w:rsidRPr="008D77D8" w:rsidRDefault="00730F67" w:rsidP="00CB740B">
      <w:pPr>
        <w:tabs>
          <w:tab w:val="left" w:pos="1440"/>
        </w:tabs>
        <w:spacing w:before="39" w:after="240"/>
        <w:jc w:val="both"/>
      </w:pPr>
      <w:r w:rsidRPr="008D77D8">
        <w:t>The presence of a lead service line connecting a residence/home to the main in the street can lead to elevated lead levels in tap water, especially if that water sits stagnant for an extended period. While the service line from the meter to the residence is the responsibility of the property owner</w:t>
      </w:r>
      <w:r w:rsidR="00D15C09" w:rsidRPr="008D77D8">
        <w:t>, the</w:t>
      </w:r>
      <w:r w:rsidRPr="008D77D8">
        <w:t xml:space="preserve"> costs to replace this line may be as high as $10,000 for each connection with average costs of $3</w:t>
      </w:r>
      <w:r w:rsidR="000F2EC1" w:rsidRPr="008D77D8">
        <w:t>,</w:t>
      </w:r>
      <w:r w:rsidRPr="008D77D8">
        <w:t>500 to $</w:t>
      </w:r>
      <w:r w:rsidR="00A3292F" w:rsidRPr="008D77D8">
        <w:t>5</w:t>
      </w:r>
      <w:r w:rsidR="000F2EC1" w:rsidRPr="008D77D8">
        <w:t>,</w:t>
      </w:r>
      <w:r w:rsidR="00A3292F" w:rsidRPr="008D77D8">
        <w:t>0</w:t>
      </w:r>
      <w:r w:rsidRPr="008D77D8">
        <w:t xml:space="preserve">00. For </w:t>
      </w:r>
      <w:r w:rsidR="00D15C09" w:rsidRPr="008D77D8">
        <w:t xml:space="preserve">many property </w:t>
      </w:r>
      <w:r w:rsidRPr="008D77D8">
        <w:t>owners this is cost prohibitive and as a result service lines are not replaced. In Virginia</w:t>
      </w:r>
      <w:r w:rsidR="00E33113" w:rsidRPr="008D77D8">
        <w:t>,</w:t>
      </w:r>
      <w:r w:rsidRPr="008D77D8">
        <w:t xml:space="preserve"> there are thousands of lead service lines that would be eligible for replacement. For waterworks</w:t>
      </w:r>
      <w:r w:rsidR="00E33113" w:rsidRPr="008D77D8">
        <w:t>,</w:t>
      </w:r>
      <w:r w:rsidRPr="008D77D8">
        <w:t xml:space="preserve"> the challenge </w:t>
      </w:r>
      <w:r w:rsidR="00D15C09" w:rsidRPr="008D77D8">
        <w:t xml:space="preserve">has been finding property </w:t>
      </w:r>
      <w:r w:rsidRPr="008D77D8">
        <w:t>owners who wish to cooperate in service line replacements</w:t>
      </w:r>
      <w:r w:rsidR="00982550">
        <w:t>,</w:t>
      </w:r>
      <w:r w:rsidRPr="008D77D8">
        <w:t xml:space="preserve"> as partial line replacements are not recommended. The lead lines tend to be in older communities constructed prior to 1980s. The American Waterworks Associations has proposed a best practices goal for waterworks of replacing 10% of lead service lines each year in its </w:t>
      </w:r>
      <w:r w:rsidRPr="008D77D8">
        <w:rPr>
          <w:i/>
        </w:rPr>
        <w:t>Get the Lead Out Program</w:t>
      </w:r>
      <w:r w:rsidRPr="008D77D8">
        <w:t>.</w:t>
      </w:r>
    </w:p>
    <w:p w14:paraId="34A0585C" w14:textId="4BFAA70F" w:rsidR="00840A83" w:rsidRPr="008D77D8" w:rsidRDefault="00730F67" w:rsidP="00CB740B">
      <w:pPr>
        <w:tabs>
          <w:tab w:val="left" w:pos="1440"/>
        </w:tabs>
        <w:spacing w:before="39" w:after="240"/>
        <w:jc w:val="both"/>
      </w:pPr>
      <w:r w:rsidRPr="008D77D8">
        <w:t xml:space="preserve">These program guidelines and requirements </w:t>
      </w:r>
      <w:r w:rsidR="00A3292F" w:rsidRPr="008D77D8">
        <w:t>were</w:t>
      </w:r>
      <w:r w:rsidRPr="008D77D8">
        <w:t xml:space="preserve"> developed by a </w:t>
      </w:r>
      <w:r w:rsidR="008E06CD" w:rsidRPr="008D77D8">
        <w:t>stakeholder’s</w:t>
      </w:r>
      <w:r w:rsidRPr="008D77D8">
        <w:t xml:space="preserve"> group, reviewed by the Waterworks Advisory Committee, </w:t>
      </w:r>
      <w:r w:rsidR="00C62F6C" w:rsidRPr="008D77D8">
        <w:t xml:space="preserve">and </w:t>
      </w:r>
      <w:r w:rsidRPr="008D77D8">
        <w:t xml:space="preserve">underwent a </w:t>
      </w:r>
      <w:r w:rsidR="008E06CD" w:rsidRPr="008D77D8">
        <w:t>60-day</w:t>
      </w:r>
      <w:r w:rsidRPr="008D77D8">
        <w:t xml:space="preserve"> public comment period, followed by a </w:t>
      </w:r>
      <w:r w:rsidR="00840A83" w:rsidRPr="008D77D8">
        <w:t>public</w:t>
      </w:r>
      <w:r w:rsidR="00DA22AA" w:rsidRPr="008D77D8">
        <w:t xml:space="preserve"> hearing</w:t>
      </w:r>
      <w:r w:rsidRPr="008D77D8">
        <w:t>.</w:t>
      </w:r>
    </w:p>
    <w:p w14:paraId="776AB841" w14:textId="77777777" w:rsidR="006902C6" w:rsidRPr="008D77D8" w:rsidRDefault="00840A83" w:rsidP="00D727FF">
      <w:pPr>
        <w:pStyle w:val="Heading4"/>
      </w:pPr>
      <w:r w:rsidRPr="008D77D8">
        <w:t>Bipartisan Infrastructure Law – Lead Service Line (BIL-LSL) Funding</w:t>
      </w:r>
    </w:p>
    <w:p w14:paraId="246D63B6" w14:textId="77777777" w:rsidR="006902C6" w:rsidRPr="008D77D8" w:rsidRDefault="00840A83" w:rsidP="00CB740B">
      <w:pPr>
        <w:tabs>
          <w:tab w:val="left" w:pos="1440"/>
        </w:tabs>
        <w:spacing w:before="39" w:after="240"/>
        <w:jc w:val="both"/>
      </w:pPr>
      <w:r w:rsidRPr="008D77D8">
        <w:t>From FY</w:t>
      </w:r>
      <w:r w:rsidR="004033C8" w:rsidRPr="008D77D8">
        <w:t xml:space="preserve">2022 through FY2026, the Lead Elimination Assistance Program (LEAP) will be supplemented by additional funding through the Bipartisan Infrastructure Law – Lead Service Line (BIL-LSL) funds, </w:t>
      </w:r>
      <w:r w:rsidR="00A25A55" w:rsidRPr="008D77D8">
        <w:t>also known as the Infrastructure Investment and Jobs Act (IIJA)</w:t>
      </w:r>
      <w:r w:rsidR="004033C8" w:rsidRPr="008D77D8">
        <w:t xml:space="preserve">. The BIL </w:t>
      </w:r>
      <w:r w:rsidR="00A25A55" w:rsidRPr="008D77D8">
        <w:t>was signed into law by President Biden on Novem</w:t>
      </w:r>
      <w:r w:rsidR="00AB501C" w:rsidRPr="008D77D8">
        <w:t xml:space="preserve">ber 15, 2021. It </w:t>
      </w:r>
      <w:r w:rsidR="004033C8" w:rsidRPr="008D77D8">
        <w:t>has delivered more than $50 billion through EPA towards water infrastructure investments. Of this amount, $</w:t>
      </w:r>
      <w:r w:rsidR="00C62F6C" w:rsidRPr="008D77D8">
        <w:t xml:space="preserve">15 </w:t>
      </w:r>
      <w:r w:rsidR="004033C8" w:rsidRPr="008D77D8">
        <w:t xml:space="preserve">billion has been designated </w:t>
      </w:r>
      <w:r w:rsidR="00C62F6C" w:rsidRPr="008D77D8">
        <w:t xml:space="preserve">nationwide </w:t>
      </w:r>
      <w:r w:rsidR="004033C8" w:rsidRPr="008D77D8">
        <w:t xml:space="preserve">to the Drinking Water State Revolving Fund (DWSRF) for </w:t>
      </w:r>
      <w:r w:rsidR="00A25A55" w:rsidRPr="008D77D8">
        <w:t>LSL projects</w:t>
      </w:r>
      <w:r w:rsidR="004033C8" w:rsidRPr="008D77D8">
        <w:t>.</w:t>
      </w:r>
      <w:r w:rsidR="00A25A55" w:rsidRPr="008D77D8">
        <w:t xml:space="preserve"> </w:t>
      </w:r>
    </w:p>
    <w:p w14:paraId="2610A9E9" w14:textId="77777777" w:rsidR="006902C6" w:rsidRPr="008D77D8" w:rsidRDefault="00DA22AA" w:rsidP="00D727FF">
      <w:pPr>
        <w:pStyle w:val="Heading4"/>
      </w:pPr>
      <w:r w:rsidRPr="008D77D8">
        <w:t>Scoring Criteria and Methodology</w:t>
      </w:r>
      <w:r w:rsidR="00C0251F" w:rsidRPr="008D77D8">
        <w:t>:</w:t>
      </w:r>
    </w:p>
    <w:p w14:paraId="3ABE3929" w14:textId="2D75C33A" w:rsidR="008C7D7A" w:rsidRPr="008D77D8" w:rsidRDefault="00C0251F" w:rsidP="0085653E">
      <w:pPr>
        <w:tabs>
          <w:tab w:val="left" w:pos="1440"/>
        </w:tabs>
        <w:spacing w:before="39" w:after="240"/>
        <w:jc w:val="both"/>
      </w:pPr>
      <w:r w:rsidRPr="008D77D8">
        <w:t xml:space="preserve">LEAP projects (LSL Replacement) are scored and evaluated independently of Construction Projects. </w:t>
      </w:r>
      <w:r w:rsidR="00C25CC6" w:rsidRPr="008D77D8">
        <w:t>Each item has a total of 10 points available</w:t>
      </w:r>
      <w:r w:rsidRPr="008D77D8">
        <w:t>.</w:t>
      </w:r>
      <w:r w:rsidR="00902C28" w:rsidRPr="008D77D8">
        <w:t xml:space="preserve"> Refer to the table below for </w:t>
      </w:r>
      <w:r w:rsidR="003724E6" w:rsidRPr="008D77D8">
        <w:t xml:space="preserve">an </w:t>
      </w:r>
      <w:r w:rsidR="00902C28" w:rsidRPr="008D77D8">
        <w:t>explanation of the LEAP Project scoring criteria.</w:t>
      </w:r>
      <w:r w:rsidR="009C5014" w:rsidRPr="008D77D8">
        <w:t xml:space="preserve"> Highlighted sections are either new or have been updated since the last application solicitation cycle.</w:t>
      </w:r>
      <w:r w:rsidR="00DA22AA" w:rsidRPr="008D77D8">
        <w:t xml:space="preserve"> </w:t>
      </w:r>
      <w:r w:rsidR="005D0D6D" w:rsidRPr="008D77D8">
        <w:t xml:space="preserve">The LEAP Scorecard has four weighted categories: General Information (25%), History of Lead (15%), Vulnerable Populations (50%), and Readiness to Proceed (10%). The weighted totals are </w:t>
      </w:r>
      <w:r w:rsidR="002C3080" w:rsidRPr="008D77D8">
        <w:t>summed</w:t>
      </w:r>
      <w:r w:rsidR="005D0D6D" w:rsidRPr="008D77D8">
        <w:t xml:space="preserve"> to produce a base score. If the proposed project includes LSL replacement work, they may receive up to an additional 20 bonus points. </w:t>
      </w:r>
      <w:r w:rsidR="002C3080" w:rsidRPr="008D77D8">
        <w:t xml:space="preserve">LSL Replacement projects are awarded bonus points because removing LSLs decreases the chance of exposure to lead and improves overall public health. </w:t>
      </w:r>
      <w:r w:rsidR="005D0D6D" w:rsidRPr="008D77D8">
        <w:t xml:space="preserve">If the proposed project is accompanied by </w:t>
      </w:r>
      <w:r w:rsidR="002C3080" w:rsidRPr="008D77D8">
        <w:t>a Construction Funding Application</w:t>
      </w:r>
      <w:r w:rsidR="005D0D6D" w:rsidRPr="008D77D8">
        <w:t>, the</w:t>
      </w:r>
      <w:r w:rsidR="002C3080" w:rsidRPr="008D77D8">
        <w:t>n</w:t>
      </w:r>
      <w:r w:rsidR="005D0D6D" w:rsidRPr="008D77D8">
        <w:t xml:space="preserve"> </w:t>
      </w:r>
      <w:r w:rsidR="002C3080" w:rsidRPr="008D77D8">
        <w:t>5 points are deducted because the applicant will have two opportunities to receive funding. The final score is calculated by combining the base score, the LSLR bonus, and the Independent LSL Project categories.</w:t>
      </w:r>
    </w:p>
    <w:p w14:paraId="2D258D23" w14:textId="77777777" w:rsidR="00912141" w:rsidRPr="008D77D8" w:rsidRDefault="00912141" w:rsidP="0085653E">
      <w:pPr>
        <w:tabs>
          <w:tab w:val="left" w:pos="1440"/>
        </w:tabs>
        <w:spacing w:before="39" w:after="240"/>
        <w:jc w:val="both"/>
      </w:pPr>
    </w:p>
    <w:p w14:paraId="6D08FE02" w14:textId="5D0B29E3" w:rsidR="00AE1426" w:rsidRDefault="00AE1426">
      <w:pPr>
        <w:rPr>
          <w:rFonts w:asciiTheme="minorHAnsi" w:eastAsiaTheme="minorHAnsi" w:hAnsiTheme="minorHAnsi" w:cstheme="minorBidi"/>
        </w:rPr>
      </w:pPr>
      <w:r>
        <w:lastRenderedPageBreak/>
        <w:fldChar w:fldCharType="begin"/>
      </w:r>
      <w:r>
        <w:instrText xml:space="preserve"> LINK Excel.Sheet.12 "\\\\odwsrv1\\apps\\fodwsrf\\02-Application Review Info\\FY 2027 DWSRF Application Review Materials\\Solicitation Information for Website\\LEAP Application, Instructions, and Scoresheet\\FY27-LEAP-Scorecard_2026-03-19.xlsx" "Explanation of Criteria!R1C1:R36C2" \a \f 4 \h  \* MERGEFORMAT </w:instrText>
      </w:r>
      <w:r>
        <w:fldChar w:fldCharType="separate"/>
      </w:r>
    </w:p>
    <w:tbl>
      <w:tblPr>
        <w:tblW w:w="0" w:type="auto"/>
        <w:tblLook w:val="04A0" w:firstRow="1" w:lastRow="0" w:firstColumn="1" w:lastColumn="0" w:noHBand="0" w:noVBand="1"/>
      </w:tblPr>
      <w:tblGrid>
        <w:gridCol w:w="2160"/>
        <w:gridCol w:w="8400"/>
      </w:tblGrid>
      <w:tr w:rsidR="00AE1426" w:rsidRPr="00AE1426" w14:paraId="4513A5D7" w14:textId="77777777" w:rsidTr="00307236">
        <w:trPr>
          <w:trHeight w:val="788"/>
          <w:tblHeader/>
        </w:trPr>
        <w:tc>
          <w:tcPr>
            <w:tcW w:w="2160" w:type="dxa"/>
            <w:tcBorders>
              <w:top w:val="nil"/>
              <w:left w:val="nil"/>
              <w:bottom w:val="single" w:sz="12" w:space="0" w:color="4472C4"/>
              <w:right w:val="nil"/>
            </w:tcBorders>
            <w:vAlign w:val="center"/>
            <w:hideMark/>
          </w:tcPr>
          <w:p w14:paraId="192565D3" w14:textId="4C68D6E5" w:rsidR="00AE1426" w:rsidRPr="00AE1426" w:rsidRDefault="00AE1426" w:rsidP="00307236">
            <w:pPr>
              <w:pStyle w:val="Heading5"/>
            </w:pPr>
            <w:r w:rsidRPr="00AE1426">
              <w:t>Explanation of Scoring Criteria</w:t>
            </w:r>
          </w:p>
        </w:tc>
        <w:tc>
          <w:tcPr>
            <w:tcW w:w="8400" w:type="dxa"/>
            <w:tcBorders>
              <w:top w:val="nil"/>
              <w:left w:val="nil"/>
              <w:bottom w:val="single" w:sz="12" w:space="0" w:color="4472C4"/>
              <w:right w:val="nil"/>
            </w:tcBorders>
            <w:vAlign w:val="center"/>
            <w:hideMark/>
          </w:tcPr>
          <w:p w14:paraId="4AC00F31" w14:textId="77777777" w:rsidR="00AE1426" w:rsidRPr="00AE1426" w:rsidRDefault="00AE1426" w:rsidP="00AE1426">
            <w:pPr>
              <w:widowControl/>
              <w:autoSpaceDE/>
              <w:autoSpaceDN/>
              <w:rPr>
                <w:rFonts w:ascii="Calibri" w:hAnsi="Calibri" w:cs="Calibri"/>
                <w:b/>
                <w:bCs/>
                <w:color w:val="44546A"/>
                <w:sz w:val="30"/>
                <w:szCs w:val="30"/>
              </w:rPr>
            </w:pPr>
            <w:r w:rsidRPr="00AE1426">
              <w:rPr>
                <w:rFonts w:ascii="Calibri" w:hAnsi="Calibri" w:cs="Calibri"/>
                <w:b/>
                <w:bCs/>
                <w:color w:val="44546A"/>
                <w:sz w:val="30"/>
                <w:szCs w:val="30"/>
              </w:rPr>
              <w:t>Category</w:t>
            </w:r>
          </w:p>
        </w:tc>
      </w:tr>
      <w:tr w:rsidR="00AE1426" w:rsidRPr="00AE1426" w14:paraId="2020960D" w14:textId="77777777" w:rsidTr="00307236">
        <w:trPr>
          <w:trHeight w:val="300"/>
        </w:trPr>
        <w:tc>
          <w:tcPr>
            <w:tcW w:w="2160" w:type="dxa"/>
            <w:tcBorders>
              <w:top w:val="nil"/>
              <w:left w:val="single" w:sz="4" w:space="0" w:color="auto"/>
              <w:bottom w:val="nil"/>
              <w:right w:val="single" w:sz="4" w:space="0" w:color="auto"/>
            </w:tcBorders>
            <w:vAlign w:val="center"/>
            <w:hideMark/>
          </w:tcPr>
          <w:p w14:paraId="1DCDF72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tcBorders>
              <w:top w:val="single" w:sz="4" w:space="0" w:color="auto"/>
              <w:left w:val="nil"/>
              <w:bottom w:val="single" w:sz="4" w:space="0" w:color="auto"/>
              <w:right w:val="single" w:sz="4" w:space="0" w:color="auto"/>
            </w:tcBorders>
            <w:shd w:val="clear" w:color="000000" w:fill="E7E6E6"/>
            <w:vAlign w:val="center"/>
            <w:hideMark/>
          </w:tcPr>
          <w:p w14:paraId="019083E5"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Age of Service Lines</w:t>
            </w:r>
          </w:p>
        </w:tc>
      </w:tr>
      <w:tr w:rsidR="00AE1426" w:rsidRPr="00AE1426" w14:paraId="4CBC9AE1" w14:textId="77777777" w:rsidTr="00307236">
        <w:trPr>
          <w:trHeight w:val="1800"/>
        </w:trPr>
        <w:tc>
          <w:tcPr>
            <w:tcW w:w="2160" w:type="dxa"/>
            <w:tcBorders>
              <w:top w:val="nil"/>
              <w:left w:val="single" w:sz="4" w:space="0" w:color="auto"/>
              <w:bottom w:val="single" w:sz="4" w:space="0" w:color="auto"/>
              <w:right w:val="single" w:sz="4" w:space="0" w:color="auto"/>
            </w:tcBorders>
            <w:vAlign w:val="center"/>
            <w:hideMark/>
          </w:tcPr>
          <w:p w14:paraId="1D292A7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General Information = 25%</w:t>
            </w:r>
          </w:p>
        </w:tc>
        <w:tc>
          <w:tcPr>
            <w:tcW w:w="8400" w:type="dxa"/>
            <w:tcBorders>
              <w:top w:val="nil"/>
              <w:left w:val="nil"/>
              <w:bottom w:val="single" w:sz="4" w:space="0" w:color="auto"/>
              <w:right w:val="single" w:sz="4" w:space="0" w:color="auto"/>
            </w:tcBorders>
            <w:vAlign w:val="center"/>
            <w:hideMark/>
          </w:tcPr>
          <w:p w14:paraId="4F500AD6"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Congress banned the use of lead pipes and </w:t>
            </w:r>
            <w:proofErr w:type="gramStart"/>
            <w:r w:rsidRPr="00AE1426">
              <w:rPr>
                <w:rFonts w:ascii="Calibri" w:hAnsi="Calibri" w:cs="Calibri"/>
                <w:color w:val="000000"/>
                <w:sz w:val="23"/>
                <w:szCs w:val="23"/>
              </w:rPr>
              <w:t>leaded</w:t>
            </w:r>
            <w:proofErr w:type="gramEnd"/>
            <w:r w:rsidRPr="00AE1426">
              <w:rPr>
                <w:rFonts w:ascii="Calibri" w:hAnsi="Calibri" w:cs="Calibri"/>
                <w:color w:val="000000"/>
                <w:sz w:val="23"/>
                <w:szCs w:val="23"/>
              </w:rPr>
              <w:t xml:space="preserve"> solder in 1986. Therefore, homes built before 1986 have a higher likelihood of containing lead service lines. The greater the estimated number of service lines installed prior to 1986, the higher the applicant should score. </w:t>
            </w:r>
            <w:r w:rsidRPr="00AE1426">
              <w:rPr>
                <w:rFonts w:ascii="Calibri" w:hAnsi="Calibri" w:cs="Calibri"/>
                <w:color w:val="000000"/>
                <w:sz w:val="23"/>
                <w:szCs w:val="23"/>
              </w:rPr>
              <w:br/>
            </w:r>
            <w:r w:rsidRPr="00AE1426">
              <w:rPr>
                <w:rFonts w:ascii="Calibri" w:hAnsi="Calibri" w:cs="Calibri"/>
                <w:i/>
                <w:iCs/>
                <w:color w:val="2F75B5"/>
                <w:sz w:val="23"/>
                <w:szCs w:val="23"/>
              </w:rPr>
              <w:t xml:space="preserve">Note: For applications that do not specify the age of service lines, search for the locality on Zillow.com, then look at the total number of homes. Click on "More" and use 1986 for the Max Year. Use this </w:t>
            </w:r>
            <w:proofErr w:type="gramStart"/>
            <w:r w:rsidRPr="00AE1426">
              <w:rPr>
                <w:rFonts w:ascii="Calibri" w:hAnsi="Calibri" w:cs="Calibri"/>
                <w:i/>
                <w:iCs/>
                <w:color w:val="2F75B5"/>
                <w:sz w:val="23"/>
                <w:szCs w:val="23"/>
              </w:rPr>
              <w:t>new [(</w:t>
            </w:r>
            <w:proofErr w:type="gramEnd"/>
            <w:r w:rsidRPr="00AE1426">
              <w:rPr>
                <w:rFonts w:ascii="Calibri" w:hAnsi="Calibri" w:cs="Calibri"/>
                <w:i/>
                <w:iCs/>
                <w:color w:val="2F75B5"/>
                <w:sz w:val="23"/>
                <w:szCs w:val="23"/>
              </w:rPr>
              <w:t>number of homes / total) * 100%] to get an estimate of the % of homes older than 1986.</w:t>
            </w:r>
          </w:p>
        </w:tc>
      </w:tr>
      <w:tr w:rsidR="00AE1426" w:rsidRPr="00AE1426" w14:paraId="12D43886" w14:textId="77777777" w:rsidTr="00307236">
        <w:trPr>
          <w:trHeight w:val="300"/>
        </w:trPr>
        <w:tc>
          <w:tcPr>
            <w:tcW w:w="2160" w:type="dxa"/>
            <w:tcBorders>
              <w:top w:val="nil"/>
              <w:left w:val="single" w:sz="4" w:space="0" w:color="auto"/>
              <w:bottom w:val="nil"/>
              <w:right w:val="single" w:sz="4" w:space="0" w:color="auto"/>
            </w:tcBorders>
            <w:vAlign w:val="center"/>
            <w:hideMark/>
          </w:tcPr>
          <w:p w14:paraId="7A8E97E1"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tcBorders>
              <w:top w:val="nil"/>
              <w:left w:val="nil"/>
              <w:bottom w:val="single" w:sz="4" w:space="0" w:color="auto"/>
              <w:right w:val="single" w:sz="4" w:space="0" w:color="auto"/>
            </w:tcBorders>
            <w:shd w:val="clear" w:color="000000" w:fill="E7E6E6"/>
            <w:vAlign w:val="center"/>
            <w:hideMark/>
          </w:tcPr>
          <w:p w14:paraId="4B659364"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Material of Pipes and Connections - Locality Side</w:t>
            </w:r>
          </w:p>
        </w:tc>
      </w:tr>
      <w:tr w:rsidR="00AE1426" w:rsidRPr="00AE1426" w14:paraId="261198F2" w14:textId="77777777" w:rsidTr="00307236">
        <w:trPr>
          <w:trHeight w:val="1500"/>
        </w:trPr>
        <w:tc>
          <w:tcPr>
            <w:tcW w:w="2160" w:type="dxa"/>
            <w:tcBorders>
              <w:top w:val="nil"/>
              <w:left w:val="single" w:sz="4" w:space="0" w:color="auto"/>
              <w:bottom w:val="single" w:sz="4" w:space="0" w:color="auto"/>
              <w:right w:val="single" w:sz="4" w:space="0" w:color="auto"/>
            </w:tcBorders>
            <w:vAlign w:val="center"/>
            <w:hideMark/>
          </w:tcPr>
          <w:p w14:paraId="7289344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General Information = 25%</w:t>
            </w:r>
          </w:p>
        </w:tc>
        <w:tc>
          <w:tcPr>
            <w:tcW w:w="8400" w:type="dxa"/>
            <w:tcBorders>
              <w:top w:val="nil"/>
              <w:left w:val="nil"/>
              <w:bottom w:val="single" w:sz="4" w:space="0" w:color="auto"/>
              <w:right w:val="single" w:sz="4" w:space="0" w:color="auto"/>
            </w:tcBorders>
            <w:vAlign w:val="center"/>
            <w:hideMark/>
          </w:tcPr>
          <w:p w14:paraId="14A8AD6B"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The locality side is more commonly referred to as the "public" side of the service line. The locality and homeowner sides may have been installed/replaced at different times. The greater the estimate of pipe material to be lead, the higher the applicant should score.</w:t>
            </w:r>
            <w:r w:rsidRPr="00AE1426">
              <w:rPr>
                <w:rFonts w:ascii="Calibri" w:hAnsi="Calibri" w:cs="Calibri"/>
                <w:color w:val="000000"/>
                <w:sz w:val="23"/>
                <w:szCs w:val="23"/>
              </w:rPr>
              <w:br/>
            </w:r>
            <w:r w:rsidRPr="00AE1426">
              <w:rPr>
                <w:rFonts w:ascii="Calibri" w:hAnsi="Calibri" w:cs="Calibri"/>
                <w:i/>
                <w:iCs/>
                <w:color w:val="2F75B5"/>
                <w:sz w:val="23"/>
                <w:szCs w:val="23"/>
              </w:rPr>
              <w:t>Note: For applications that do not specify the material of pipes and connections on the locality side, choose "unknown material."</w:t>
            </w:r>
          </w:p>
        </w:tc>
      </w:tr>
      <w:tr w:rsidR="00AE1426" w:rsidRPr="00AE1426" w14:paraId="33DCB813" w14:textId="77777777" w:rsidTr="00307236">
        <w:trPr>
          <w:trHeight w:val="300"/>
        </w:trPr>
        <w:tc>
          <w:tcPr>
            <w:tcW w:w="2160" w:type="dxa"/>
            <w:tcBorders>
              <w:top w:val="nil"/>
              <w:left w:val="single" w:sz="4" w:space="0" w:color="auto"/>
              <w:bottom w:val="nil"/>
              <w:right w:val="single" w:sz="4" w:space="0" w:color="auto"/>
            </w:tcBorders>
            <w:vAlign w:val="center"/>
            <w:hideMark/>
          </w:tcPr>
          <w:p w14:paraId="0C2542CD"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tcBorders>
              <w:top w:val="nil"/>
              <w:left w:val="nil"/>
              <w:bottom w:val="single" w:sz="4" w:space="0" w:color="auto"/>
              <w:right w:val="single" w:sz="4" w:space="0" w:color="auto"/>
            </w:tcBorders>
            <w:shd w:val="clear" w:color="000000" w:fill="E7E6E6"/>
            <w:vAlign w:val="center"/>
            <w:hideMark/>
          </w:tcPr>
          <w:p w14:paraId="0C805F82"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Material of Pipes and Connections - Homeowner Side</w:t>
            </w:r>
          </w:p>
        </w:tc>
      </w:tr>
      <w:tr w:rsidR="00AE1426" w:rsidRPr="00AE1426" w14:paraId="4403F55A" w14:textId="77777777" w:rsidTr="00307236">
        <w:trPr>
          <w:trHeight w:val="1500"/>
        </w:trPr>
        <w:tc>
          <w:tcPr>
            <w:tcW w:w="2160" w:type="dxa"/>
            <w:tcBorders>
              <w:top w:val="nil"/>
              <w:left w:val="single" w:sz="4" w:space="0" w:color="auto"/>
              <w:bottom w:val="single" w:sz="4" w:space="0" w:color="auto"/>
              <w:right w:val="single" w:sz="4" w:space="0" w:color="auto"/>
            </w:tcBorders>
            <w:vAlign w:val="center"/>
            <w:hideMark/>
          </w:tcPr>
          <w:p w14:paraId="358E6D12"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General Information = 25%</w:t>
            </w:r>
          </w:p>
        </w:tc>
        <w:tc>
          <w:tcPr>
            <w:tcW w:w="8400" w:type="dxa"/>
            <w:tcBorders>
              <w:top w:val="nil"/>
              <w:left w:val="nil"/>
              <w:bottom w:val="single" w:sz="4" w:space="0" w:color="auto"/>
              <w:right w:val="single" w:sz="4" w:space="0" w:color="auto"/>
            </w:tcBorders>
            <w:vAlign w:val="center"/>
            <w:hideMark/>
          </w:tcPr>
          <w:p w14:paraId="33FB1FE9"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The homeowner side is more commonly referred to as the "private" side of the service line. The locality and homeowner sides may have been installed/replaced at different times. Under the LCCR, "unknown" materials would be considered lead. The greater the estimate of pipe material to be lead, the higher the applicant should score.</w:t>
            </w:r>
            <w:r w:rsidRPr="00AE1426">
              <w:rPr>
                <w:rFonts w:ascii="Calibri" w:hAnsi="Calibri" w:cs="Calibri"/>
                <w:color w:val="000000"/>
                <w:sz w:val="23"/>
                <w:szCs w:val="23"/>
              </w:rPr>
              <w:br/>
            </w:r>
            <w:r w:rsidRPr="00AE1426">
              <w:rPr>
                <w:rFonts w:ascii="Calibri" w:hAnsi="Calibri" w:cs="Calibri"/>
                <w:i/>
                <w:iCs/>
                <w:color w:val="2F75B5"/>
                <w:sz w:val="23"/>
                <w:szCs w:val="23"/>
              </w:rPr>
              <w:t>Note: For applications that do not specify the material of pipes and connections on the homeowner side, choose "unknown material."</w:t>
            </w:r>
          </w:p>
        </w:tc>
      </w:tr>
      <w:tr w:rsidR="00AE1426" w:rsidRPr="00AE1426" w14:paraId="2D2A6FF4" w14:textId="77777777" w:rsidTr="00307236">
        <w:trPr>
          <w:trHeight w:val="300"/>
        </w:trPr>
        <w:tc>
          <w:tcPr>
            <w:tcW w:w="2160" w:type="dxa"/>
            <w:tcBorders>
              <w:top w:val="nil"/>
              <w:left w:val="single" w:sz="4" w:space="0" w:color="auto"/>
              <w:bottom w:val="nil"/>
              <w:right w:val="single" w:sz="4" w:space="0" w:color="auto"/>
            </w:tcBorders>
            <w:vAlign w:val="center"/>
            <w:hideMark/>
          </w:tcPr>
          <w:p w14:paraId="66E85103"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tcBorders>
              <w:top w:val="nil"/>
              <w:left w:val="nil"/>
              <w:bottom w:val="single" w:sz="4" w:space="0" w:color="auto"/>
              <w:right w:val="single" w:sz="4" w:space="0" w:color="auto"/>
            </w:tcBorders>
            <w:shd w:val="clear" w:color="000000" w:fill="E7E6E6"/>
            <w:vAlign w:val="center"/>
            <w:hideMark/>
          </w:tcPr>
          <w:p w14:paraId="7978DFB1" w14:textId="27DA3DB1" w:rsidR="00AE1426" w:rsidRPr="00AE1426" w:rsidRDefault="00AE1426" w:rsidP="00AE1426">
            <w:pPr>
              <w:widowControl/>
              <w:autoSpaceDE/>
              <w:autoSpaceDN/>
              <w:rPr>
                <w:rFonts w:ascii="Calibri" w:hAnsi="Calibri" w:cs="Calibri"/>
                <w:b/>
                <w:bCs/>
                <w:u w:val="single"/>
              </w:rPr>
            </w:pPr>
            <w:hyperlink r:id="rId54" w:history="1">
              <w:r w:rsidRPr="00AE1426">
                <w:rPr>
                  <w:rFonts w:ascii="Calibri" w:hAnsi="Calibri" w:cs="Calibri"/>
                  <w:b/>
                  <w:bCs/>
                  <w:u w:val="single"/>
                </w:rPr>
                <w:t>Housing Indicator - https://apps.vdh.virginia.gov/omhhe/hoi/youth-well-being-index</w:t>
              </w:r>
            </w:hyperlink>
          </w:p>
        </w:tc>
      </w:tr>
      <w:tr w:rsidR="00AE1426" w:rsidRPr="00AE1426" w14:paraId="4CA7B1C2" w14:textId="77777777" w:rsidTr="00307236">
        <w:trPr>
          <w:trHeight w:val="3000"/>
        </w:trPr>
        <w:tc>
          <w:tcPr>
            <w:tcW w:w="2160" w:type="dxa"/>
            <w:tcBorders>
              <w:top w:val="nil"/>
              <w:left w:val="single" w:sz="4" w:space="0" w:color="auto"/>
              <w:bottom w:val="single" w:sz="4" w:space="0" w:color="auto"/>
              <w:right w:val="single" w:sz="4" w:space="0" w:color="auto"/>
            </w:tcBorders>
            <w:vAlign w:val="center"/>
            <w:hideMark/>
          </w:tcPr>
          <w:p w14:paraId="5015B7C9"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General Information = 25%</w:t>
            </w:r>
          </w:p>
        </w:tc>
        <w:tc>
          <w:tcPr>
            <w:tcW w:w="8400" w:type="dxa"/>
            <w:tcBorders>
              <w:top w:val="nil"/>
              <w:left w:val="nil"/>
              <w:bottom w:val="single" w:sz="4" w:space="0" w:color="auto"/>
              <w:right w:val="single" w:sz="4" w:space="0" w:color="auto"/>
            </w:tcBorders>
            <w:vAlign w:val="center"/>
            <w:hideMark/>
          </w:tcPr>
          <w:p w14:paraId="6C38732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The Housing Indicator is an indicator of housing quality that includes the proportion of housing units built before 1951 and without plumbing facilities, along with the proportion of overcrowded households defined as more than two occupants per room. It is one of the eight indicators comprising the Youth Well-Being Index from VDH. Use of the Housing Indicator is intended to target areas with older homes built prior to the 1986 Federal ban on lead in plumbing. The lower the Housing Indicator value, the more likely the area contains homes that have </w:t>
            </w:r>
            <w:proofErr w:type="gramStart"/>
            <w:r w:rsidRPr="00AE1426">
              <w:rPr>
                <w:rFonts w:ascii="Calibri" w:hAnsi="Calibri" w:cs="Calibri"/>
                <w:color w:val="000000"/>
                <w:sz w:val="23"/>
                <w:szCs w:val="23"/>
              </w:rPr>
              <w:t>lead</w:t>
            </w:r>
            <w:proofErr w:type="gramEnd"/>
            <w:r w:rsidRPr="00AE1426">
              <w:rPr>
                <w:rFonts w:ascii="Calibri" w:hAnsi="Calibri" w:cs="Calibri"/>
                <w:color w:val="000000"/>
                <w:sz w:val="23"/>
                <w:szCs w:val="23"/>
              </w:rPr>
              <w:t xml:space="preserve"> or lead components. Furthermore, the lower the housing occupancy, the greater the number of individuals exposed to lead. Therefore, applicants with a lower Housing Indicator value should score higher. </w:t>
            </w:r>
            <w:r w:rsidRPr="00AE1426">
              <w:rPr>
                <w:rFonts w:ascii="Calibri" w:hAnsi="Calibri" w:cs="Calibri"/>
                <w:color w:val="000000"/>
                <w:sz w:val="23"/>
                <w:szCs w:val="23"/>
              </w:rPr>
              <w:br/>
            </w:r>
            <w:r w:rsidRPr="00AE1426">
              <w:rPr>
                <w:rFonts w:ascii="Calibri" w:hAnsi="Calibri" w:cs="Calibri"/>
                <w:i/>
                <w:iCs/>
                <w:color w:val="2F75B5"/>
                <w:sz w:val="23"/>
                <w:szCs w:val="23"/>
              </w:rPr>
              <w:t>Note: If the project area will be the entire county, use the top map and select the Opportunity Level value containing the greatest population. If the project area has been targeted to specific neighborhoods, use the bottom map and select the highlighted area that overlaps with the project area.</w:t>
            </w:r>
          </w:p>
        </w:tc>
      </w:tr>
      <w:tr w:rsidR="00AE1426" w:rsidRPr="00AE1426" w14:paraId="6D2740E0" w14:textId="77777777" w:rsidTr="00307236">
        <w:trPr>
          <w:trHeight w:val="300"/>
        </w:trPr>
        <w:tc>
          <w:tcPr>
            <w:tcW w:w="2160" w:type="dxa"/>
            <w:tcBorders>
              <w:top w:val="nil"/>
              <w:left w:val="single" w:sz="4" w:space="0" w:color="auto"/>
              <w:bottom w:val="nil"/>
              <w:right w:val="single" w:sz="4" w:space="0" w:color="auto"/>
            </w:tcBorders>
            <w:vAlign w:val="center"/>
            <w:hideMark/>
          </w:tcPr>
          <w:p w14:paraId="585B37AA"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tcBorders>
              <w:top w:val="nil"/>
              <w:left w:val="nil"/>
              <w:bottom w:val="single" w:sz="4" w:space="0" w:color="auto"/>
              <w:right w:val="single" w:sz="4" w:space="0" w:color="auto"/>
            </w:tcBorders>
            <w:shd w:val="clear" w:color="000000" w:fill="E7E6E6"/>
            <w:vAlign w:val="center"/>
            <w:hideMark/>
          </w:tcPr>
          <w:p w14:paraId="3E736CF1"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Existing LSLs in System</w:t>
            </w:r>
          </w:p>
        </w:tc>
      </w:tr>
      <w:tr w:rsidR="00AE1426" w:rsidRPr="00AE1426" w14:paraId="753180CA" w14:textId="77777777" w:rsidTr="00307236">
        <w:trPr>
          <w:trHeight w:val="600"/>
        </w:trPr>
        <w:tc>
          <w:tcPr>
            <w:tcW w:w="2160" w:type="dxa"/>
            <w:tcBorders>
              <w:top w:val="nil"/>
              <w:left w:val="single" w:sz="4" w:space="0" w:color="auto"/>
              <w:bottom w:val="single" w:sz="4" w:space="0" w:color="auto"/>
              <w:right w:val="single" w:sz="4" w:space="0" w:color="auto"/>
            </w:tcBorders>
            <w:vAlign w:val="center"/>
            <w:hideMark/>
          </w:tcPr>
          <w:p w14:paraId="15F0BDB9"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History of Lead = 15%</w:t>
            </w:r>
          </w:p>
        </w:tc>
        <w:tc>
          <w:tcPr>
            <w:tcW w:w="8400" w:type="dxa"/>
            <w:tcBorders>
              <w:top w:val="nil"/>
              <w:left w:val="nil"/>
              <w:bottom w:val="single" w:sz="4" w:space="0" w:color="auto"/>
              <w:right w:val="single" w:sz="4" w:space="0" w:color="auto"/>
            </w:tcBorders>
            <w:vAlign w:val="center"/>
            <w:hideMark/>
          </w:tcPr>
          <w:p w14:paraId="4FAB2EDC"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Any applicants that have previously encountered lead or lead components in their system (with supporting documentation) should score higher than applicants who have not encountered lead in their system.</w:t>
            </w:r>
          </w:p>
        </w:tc>
      </w:tr>
    </w:tbl>
    <w:p w14:paraId="55C7792F" w14:textId="68C0677B" w:rsidR="00AE1426" w:rsidRDefault="00AE1426"/>
    <w:p w14:paraId="7A2B0296" w14:textId="77777777" w:rsidR="00307236" w:rsidRDefault="00307236"/>
    <w:tbl>
      <w:tblPr>
        <w:tblW w:w="0" w:type="auto"/>
        <w:tblLook w:val="04A0" w:firstRow="1" w:lastRow="0" w:firstColumn="1" w:lastColumn="0" w:noHBand="0" w:noVBand="1"/>
      </w:tblPr>
      <w:tblGrid>
        <w:gridCol w:w="2160"/>
        <w:gridCol w:w="7200"/>
        <w:gridCol w:w="1200"/>
      </w:tblGrid>
      <w:tr w:rsidR="00307236" w:rsidRPr="00AE1426" w14:paraId="1BAA1553" w14:textId="77777777" w:rsidTr="00E95798">
        <w:trPr>
          <w:gridAfter w:val="1"/>
          <w:wAfter w:w="1200" w:type="dxa"/>
          <w:trHeight w:val="788"/>
        </w:trPr>
        <w:tc>
          <w:tcPr>
            <w:tcW w:w="2160" w:type="dxa"/>
            <w:tcBorders>
              <w:top w:val="nil"/>
              <w:left w:val="nil"/>
              <w:bottom w:val="single" w:sz="12" w:space="0" w:color="4472C4"/>
              <w:right w:val="nil"/>
            </w:tcBorders>
            <w:vAlign w:val="center"/>
            <w:hideMark/>
          </w:tcPr>
          <w:p w14:paraId="4D2C9D47" w14:textId="77777777" w:rsidR="00307236" w:rsidRPr="00AE1426" w:rsidRDefault="00307236" w:rsidP="00C80261">
            <w:pPr>
              <w:pStyle w:val="Heading5"/>
            </w:pPr>
            <w:r w:rsidRPr="00AE1426">
              <w:lastRenderedPageBreak/>
              <w:t>Explanation of Scoring Criteria</w:t>
            </w:r>
          </w:p>
        </w:tc>
        <w:tc>
          <w:tcPr>
            <w:tcW w:w="7200" w:type="dxa"/>
            <w:tcBorders>
              <w:top w:val="nil"/>
              <w:left w:val="nil"/>
              <w:bottom w:val="single" w:sz="12" w:space="0" w:color="4472C4"/>
              <w:right w:val="nil"/>
            </w:tcBorders>
            <w:vAlign w:val="center"/>
            <w:hideMark/>
          </w:tcPr>
          <w:p w14:paraId="439A9099" w14:textId="77777777" w:rsidR="00307236" w:rsidRPr="00AE1426" w:rsidRDefault="00307236" w:rsidP="00C80261">
            <w:pPr>
              <w:widowControl/>
              <w:autoSpaceDE/>
              <w:autoSpaceDN/>
              <w:rPr>
                <w:rFonts w:ascii="Calibri" w:hAnsi="Calibri" w:cs="Calibri"/>
                <w:b/>
                <w:bCs/>
                <w:color w:val="44546A"/>
                <w:sz w:val="30"/>
                <w:szCs w:val="30"/>
              </w:rPr>
            </w:pPr>
            <w:r w:rsidRPr="00AE1426">
              <w:rPr>
                <w:rFonts w:ascii="Calibri" w:hAnsi="Calibri" w:cs="Calibri"/>
                <w:b/>
                <w:bCs/>
                <w:color w:val="44546A"/>
                <w:sz w:val="30"/>
                <w:szCs w:val="30"/>
              </w:rPr>
              <w:t>Category</w:t>
            </w:r>
          </w:p>
        </w:tc>
      </w:tr>
      <w:tr w:rsidR="00AE1426" w:rsidRPr="00AE1426" w14:paraId="2937F76D"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0726C18B" w14:textId="429B2AD8"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single" w:sz="4" w:space="0" w:color="auto"/>
              <w:left w:val="nil"/>
              <w:bottom w:val="single" w:sz="4" w:space="0" w:color="auto"/>
              <w:right w:val="single" w:sz="4" w:space="0" w:color="auto"/>
            </w:tcBorders>
            <w:shd w:val="clear" w:color="000000" w:fill="E7E6E6"/>
            <w:vAlign w:val="center"/>
            <w:hideMark/>
          </w:tcPr>
          <w:p w14:paraId="74DBA438"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Action Level</w:t>
            </w:r>
          </w:p>
        </w:tc>
      </w:tr>
      <w:tr w:rsidR="00AE1426" w:rsidRPr="00AE1426" w14:paraId="185DC34C" w14:textId="77777777" w:rsidTr="00E95798">
        <w:trPr>
          <w:trHeight w:val="1500"/>
        </w:trPr>
        <w:tc>
          <w:tcPr>
            <w:tcW w:w="2160" w:type="dxa"/>
            <w:tcBorders>
              <w:top w:val="nil"/>
              <w:left w:val="single" w:sz="4" w:space="0" w:color="auto"/>
              <w:bottom w:val="single" w:sz="4" w:space="0" w:color="auto"/>
              <w:right w:val="single" w:sz="4" w:space="0" w:color="auto"/>
            </w:tcBorders>
            <w:vAlign w:val="center"/>
            <w:hideMark/>
          </w:tcPr>
          <w:p w14:paraId="631BC678"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History of Lead = 15%</w:t>
            </w:r>
          </w:p>
        </w:tc>
        <w:tc>
          <w:tcPr>
            <w:tcW w:w="8400" w:type="dxa"/>
            <w:gridSpan w:val="2"/>
            <w:tcBorders>
              <w:top w:val="nil"/>
              <w:left w:val="nil"/>
              <w:bottom w:val="single" w:sz="4" w:space="0" w:color="auto"/>
              <w:right w:val="single" w:sz="4" w:space="0" w:color="auto"/>
            </w:tcBorders>
            <w:vAlign w:val="center"/>
            <w:hideMark/>
          </w:tcPr>
          <w:p w14:paraId="3B99DA70"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Under the Lead and Copper Rule (LCR), water systems must control the corrosivity of the water to prevent lead and also collect tap samples from sites that are more likely to contain lead. According to the LCR, if more than 10% of tap water samples exceed the lead action level of 15 parts per billion, then the water system is required to take action in the form of optimizing their corrosion control treatment, educating the public, and LSLR. Applicants with a higher action level should score higher. </w:t>
            </w:r>
            <w:r w:rsidRPr="00AE1426">
              <w:rPr>
                <w:rFonts w:ascii="Calibri" w:hAnsi="Calibri" w:cs="Calibri"/>
                <w:color w:val="FF0000"/>
                <w:sz w:val="23"/>
                <w:szCs w:val="23"/>
              </w:rPr>
              <w:t>Search by PWS ID number.</w:t>
            </w:r>
          </w:p>
        </w:tc>
      </w:tr>
      <w:tr w:rsidR="00AE1426" w:rsidRPr="00AE1426" w14:paraId="26C0CB9A" w14:textId="77777777" w:rsidTr="00E95798">
        <w:trPr>
          <w:trHeight w:val="300"/>
        </w:trPr>
        <w:tc>
          <w:tcPr>
            <w:tcW w:w="2160" w:type="dxa"/>
            <w:tcBorders>
              <w:top w:val="nil"/>
              <w:left w:val="single" w:sz="4" w:space="0" w:color="auto"/>
              <w:bottom w:val="nil"/>
              <w:right w:val="single" w:sz="4" w:space="0" w:color="auto"/>
            </w:tcBorders>
            <w:vAlign w:val="center"/>
            <w:hideMark/>
          </w:tcPr>
          <w:p w14:paraId="6019EE75"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5DDDF304"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MHI (Median Household Income)</w:t>
            </w:r>
          </w:p>
        </w:tc>
      </w:tr>
      <w:tr w:rsidR="00AE1426" w:rsidRPr="00AE1426" w14:paraId="3328D5E8" w14:textId="77777777" w:rsidTr="00E95798">
        <w:trPr>
          <w:trHeight w:val="1800"/>
        </w:trPr>
        <w:tc>
          <w:tcPr>
            <w:tcW w:w="2160" w:type="dxa"/>
            <w:tcBorders>
              <w:top w:val="nil"/>
              <w:left w:val="single" w:sz="4" w:space="0" w:color="auto"/>
              <w:bottom w:val="single" w:sz="4" w:space="0" w:color="auto"/>
              <w:right w:val="single" w:sz="4" w:space="0" w:color="auto"/>
            </w:tcBorders>
            <w:vAlign w:val="center"/>
            <w:hideMark/>
          </w:tcPr>
          <w:p w14:paraId="4D4FA30B"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Vulnerable Populations = 50%</w:t>
            </w:r>
          </w:p>
        </w:tc>
        <w:tc>
          <w:tcPr>
            <w:tcW w:w="8400" w:type="dxa"/>
            <w:gridSpan w:val="2"/>
            <w:tcBorders>
              <w:top w:val="nil"/>
              <w:left w:val="nil"/>
              <w:bottom w:val="single" w:sz="4" w:space="0" w:color="auto"/>
              <w:right w:val="single" w:sz="4" w:space="0" w:color="auto"/>
            </w:tcBorders>
            <w:vAlign w:val="center"/>
            <w:hideMark/>
          </w:tcPr>
          <w:p w14:paraId="032EBD82" w14:textId="2FB0B81D"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The lower the Median Household Income (MHI), the greater the need for funding. Washington DC recently published a study that found that in areas with lower MHI values, there were also lower rates of voluntary customer-</w:t>
            </w:r>
            <w:r w:rsidR="00E95798" w:rsidRPr="00AE1426">
              <w:rPr>
                <w:rFonts w:ascii="Calibri" w:hAnsi="Calibri" w:cs="Calibri"/>
                <w:color w:val="000000"/>
                <w:sz w:val="23"/>
                <w:szCs w:val="23"/>
              </w:rPr>
              <w:t>initiated</w:t>
            </w:r>
            <w:r w:rsidRPr="00AE1426">
              <w:rPr>
                <w:rFonts w:ascii="Calibri" w:hAnsi="Calibri" w:cs="Calibri"/>
                <w:color w:val="000000"/>
                <w:sz w:val="23"/>
                <w:szCs w:val="23"/>
              </w:rPr>
              <w:t xml:space="preserve"> LSLRs because the upfront costs were too high to afford. They also found that lower MHI areas represented a higher percentage of African American/Black residents, meaning that this population faced greater environmental injustice compared to the non-African American/Black residents in Washington DC. Applicants reporting a lower MHI value should be scored higher.</w:t>
            </w:r>
          </w:p>
        </w:tc>
      </w:tr>
      <w:tr w:rsidR="00AE1426" w:rsidRPr="00AE1426" w14:paraId="2C25058C" w14:textId="77777777" w:rsidTr="00E95798">
        <w:trPr>
          <w:trHeight w:val="300"/>
        </w:trPr>
        <w:tc>
          <w:tcPr>
            <w:tcW w:w="2160" w:type="dxa"/>
            <w:tcBorders>
              <w:top w:val="nil"/>
              <w:left w:val="single" w:sz="4" w:space="0" w:color="auto"/>
              <w:bottom w:val="nil"/>
              <w:right w:val="single" w:sz="4" w:space="0" w:color="auto"/>
            </w:tcBorders>
            <w:vAlign w:val="center"/>
            <w:hideMark/>
          </w:tcPr>
          <w:p w14:paraId="40A2E92B"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44D7F6D4"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Average Blood Lead Levels in Children (&lt; 6 yr)</w:t>
            </w:r>
          </w:p>
        </w:tc>
      </w:tr>
      <w:tr w:rsidR="00AE1426" w:rsidRPr="00AE1426" w14:paraId="43869B66" w14:textId="77777777" w:rsidTr="00E95798">
        <w:trPr>
          <w:trHeight w:val="1800"/>
        </w:trPr>
        <w:tc>
          <w:tcPr>
            <w:tcW w:w="2160" w:type="dxa"/>
            <w:tcBorders>
              <w:top w:val="nil"/>
              <w:left w:val="single" w:sz="4" w:space="0" w:color="auto"/>
              <w:bottom w:val="single" w:sz="4" w:space="0" w:color="auto"/>
              <w:right w:val="single" w:sz="4" w:space="0" w:color="auto"/>
            </w:tcBorders>
            <w:vAlign w:val="center"/>
            <w:hideMark/>
          </w:tcPr>
          <w:p w14:paraId="2352A03B"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Vulnerable Populations = 50%</w:t>
            </w:r>
          </w:p>
        </w:tc>
        <w:tc>
          <w:tcPr>
            <w:tcW w:w="8400" w:type="dxa"/>
            <w:gridSpan w:val="2"/>
            <w:tcBorders>
              <w:top w:val="nil"/>
              <w:left w:val="nil"/>
              <w:bottom w:val="single" w:sz="4" w:space="0" w:color="auto"/>
              <w:right w:val="single" w:sz="4" w:space="0" w:color="auto"/>
            </w:tcBorders>
            <w:vAlign w:val="center"/>
            <w:hideMark/>
          </w:tcPr>
          <w:p w14:paraId="33D9BF24"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There is no safe level of lead (MCLG = 0). Young children, infants, and fetuses are highly vulnerable to lead and can suffer various physical and behavioral side effects. The CDC recommends that public actions be taken when the level of lead in a child's blood is 5 micrograms/deciliter or more. VDH reports blood lead levels in children under the age of 6 annually. Applicants that are in a county/city with a greater number of higher reported blood lead levels in children should score higher. </w:t>
            </w:r>
            <w:r w:rsidRPr="00AE1426">
              <w:rPr>
                <w:rFonts w:ascii="Calibri" w:hAnsi="Calibri" w:cs="Calibri"/>
                <w:color w:val="FF0000"/>
                <w:sz w:val="23"/>
                <w:szCs w:val="23"/>
              </w:rPr>
              <w:t>Refer to tab BLL for BLL levels.</w:t>
            </w:r>
            <w:r w:rsidRPr="00AE1426">
              <w:rPr>
                <w:rFonts w:ascii="Calibri" w:hAnsi="Calibri" w:cs="Calibri"/>
                <w:color w:val="FF0000"/>
                <w:sz w:val="23"/>
                <w:szCs w:val="23"/>
              </w:rPr>
              <w:br/>
            </w:r>
            <w:r w:rsidRPr="00AE1426">
              <w:rPr>
                <w:rFonts w:ascii="Calibri" w:hAnsi="Calibri" w:cs="Calibri"/>
                <w:i/>
                <w:iCs/>
                <w:color w:val="2F75B5"/>
                <w:sz w:val="23"/>
                <w:szCs w:val="23"/>
              </w:rPr>
              <w:t>Note: If a tie breaker is needed, the applicant with the higher total number of cases should rank higher.</w:t>
            </w:r>
          </w:p>
        </w:tc>
      </w:tr>
      <w:tr w:rsidR="00AE1426" w:rsidRPr="00AE1426" w14:paraId="300FBB8D" w14:textId="77777777" w:rsidTr="00E95798">
        <w:trPr>
          <w:trHeight w:val="300"/>
        </w:trPr>
        <w:tc>
          <w:tcPr>
            <w:tcW w:w="2160" w:type="dxa"/>
            <w:tcBorders>
              <w:top w:val="nil"/>
              <w:left w:val="single" w:sz="4" w:space="0" w:color="auto"/>
              <w:bottom w:val="nil"/>
              <w:right w:val="single" w:sz="4" w:space="0" w:color="auto"/>
            </w:tcBorders>
            <w:vAlign w:val="center"/>
            <w:hideMark/>
          </w:tcPr>
          <w:p w14:paraId="1E04714C"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2B7B30E6" w14:textId="3BD52954" w:rsidR="00AE1426" w:rsidRPr="00AE1426" w:rsidRDefault="00AE1426" w:rsidP="00AE1426">
            <w:pPr>
              <w:widowControl/>
              <w:autoSpaceDE/>
              <w:autoSpaceDN/>
              <w:rPr>
                <w:rFonts w:ascii="Calibri" w:hAnsi="Calibri" w:cs="Calibri"/>
                <w:b/>
                <w:bCs/>
                <w:u w:val="single"/>
              </w:rPr>
            </w:pPr>
            <w:hyperlink r:id="rId55" w:history="1">
              <w:r w:rsidRPr="00AE1426">
                <w:rPr>
                  <w:rFonts w:ascii="Calibri" w:hAnsi="Calibri" w:cs="Calibri"/>
                  <w:b/>
                  <w:bCs/>
                  <w:u w:val="single"/>
                </w:rPr>
                <w:t>Poverty Indicator - https://apps.vdh.virginia.gov/omhhe/hoi/youth-well-being-index</w:t>
              </w:r>
            </w:hyperlink>
          </w:p>
        </w:tc>
      </w:tr>
      <w:tr w:rsidR="00AE1426" w:rsidRPr="00AE1426" w14:paraId="36917AC2" w14:textId="77777777" w:rsidTr="00E95798">
        <w:trPr>
          <w:trHeight w:val="3300"/>
        </w:trPr>
        <w:tc>
          <w:tcPr>
            <w:tcW w:w="2160" w:type="dxa"/>
            <w:tcBorders>
              <w:top w:val="nil"/>
              <w:left w:val="single" w:sz="4" w:space="0" w:color="auto"/>
              <w:bottom w:val="single" w:sz="4" w:space="0" w:color="auto"/>
              <w:right w:val="single" w:sz="4" w:space="0" w:color="auto"/>
            </w:tcBorders>
            <w:vAlign w:val="center"/>
            <w:hideMark/>
          </w:tcPr>
          <w:p w14:paraId="669ADB73"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Vulnerable Populations = 50%</w:t>
            </w:r>
          </w:p>
        </w:tc>
        <w:tc>
          <w:tcPr>
            <w:tcW w:w="8400" w:type="dxa"/>
            <w:gridSpan w:val="2"/>
            <w:tcBorders>
              <w:top w:val="nil"/>
              <w:left w:val="nil"/>
              <w:bottom w:val="single" w:sz="4" w:space="0" w:color="auto"/>
              <w:right w:val="single" w:sz="4" w:space="0" w:color="auto"/>
            </w:tcBorders>
            <w:vAlign w:val="center"/>
            <w:hideMark/>
          </w:tcPr>
          <w:p w14:paraId="5DE1B2B4" w14:textId="755F1CBF"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The Poverty Indicator is an indicator of stress caused by econo</w:t>
            </w:r>
            <w:r w:rsidR="008732F9">
              <w:rPr>
                <w:rFonts w:ascii="Calibri" w:hAnsi="Calibri" w:cs="Calibri"/>
                <w:color w:val="000000"/>
                <w:sz w:val="23"/>
                <w:szCs w:val="23"/>
              </w:rPr>
              <w:t>m</w:t>
            </w:r>
            <w:r w:rsidRPr="00AE1426">
              <w:rPr>
                <w:rFonts w:ascii="Calibri" w:hAnsi="Calibri" w:cs="Calibri"/>
                <w:color w:val="000000"/>
                <w:sz w:val="23"/>
                <w:szCs w:val="23"/>
              </w:rPr>
              <w:t>ic conditions, including measures of the proportion of children living in poverty, living in households receiving Supplemental Security Income and the proportion of households receiving public assistance. It is one of the eight indicators comprising the Youth Well-Being Index from VDH. Use of the Poverty Indicator is intended to target households in disadvantaged areas that may not be able to afford the costs associated with LSL replacement. Furthermore, families living in disadvantaged communities tend to live in older buildings, which are more likely to contain lead or lead components. The lower the Poverty Indicator value, the more likely the area qualifies as disadvantaged. Therefore, applicants with a lower Poverty Indicator value should score higher.</w:t>
            </w:r>
            <w:r w:rsidRPr="00AE1426">
              <w:rPr>
                <w:rFonts w:ascii="Calibri" w:hAnsi="Calibri" w:cs="Calibri"/>
                <w:color w:val="000000"/>
                <w:sz w:val="23"/>
                <w:szCs w:val="23"/>
              </w:rPr>
              <w:br/>
            </w:r>
            <w:r w:rsidRPr="00AE1426">
              <w:rPr>
                <w:rFonts w:ascii="Calibri" w:hAnsi="Calibri" w:cs="Calibri"/>
                <w:i/>
                <w:iCs/>
                <w:color w:val="2F75B5"/>
                <w:sz w:val="23"/>
                <w:szCs w:val="23"/>
              </w:rPr>
              <w:t xml:space="preserve">Note: If the project area will be the entire county, use the top map and select the Opportunity Level value containing the greatest population. If the project area has been targeted to specific neighborhoods, use the bottom map and select the highlighted area that overlaps with the project area. </w:t>
            </w:r>
          </w:p>
        </w:tc>
      </w:tr>
    </w:tbl>
    <w:p w14:paraId="34CCF581" w14:textId="77777777" w:rsidR="00E95798" w:rsidRDefault="00E95798">
      <w:r>
        <w:br w:type="page"/>
      </w:r>
    </w:p>
    <w:tbl>
      <w:tblPr>
        <w:tblW w:w="0" w:type="auto"/>
        <w:tblLook w:val="04A0" w:firstRow="1" w:lastRow="0" w:firstColumn="1" w:lastColumn="0" w:noHBand="0" w:noVBand="1"/>
      </w:tblPr>
      <w:tblGrid>
        <w:gridCol w:w="2160"/>
        <w:gridCol w:w="7200"/>
        <w:gridCol w:w="1200"/>
      </w:tblGrid>
      <w:tr w:rsidR="00E95798" w:rsidRPr="00AE1426" w14:paraId="55A03B5A" w14:textId="77777777" w:rsidTr="00E95798">
        <w:trPr>
          <w:gridAfter w:val="1"/>
          <w:wAfter w:w="1200" w:type="dxa"/>
          <w:trHeight w:val="788"/>
        </w:trPr>
        <w:tc>
          <w:tcPr>
            <w:tcW w:w="2160" w:type="dxa"/>
            <w:tcBorders>
              <w:top w:val="nil"/>
              <w:left w:val="nil"/>
              <w:bottom w:val="single" w:sz="12" w:space="0" w:color="4472C4"/>
              <w:right w:val="nil"/>
            </w:tcBorders>
            <w:vAlign w:val="center"/>
            <w:hideMark/>
          </w:tcPr>
          <w:p w14:paraId="35F32344" w14:textId="77777777" w:rsidR="00E95798" w:rsidRPr="00AE1426" w:rsidRDefault="00E95798" w:rsidP="00C80261">
            <w:pPr>
              <w:pStyle w:val="Heading5"/>
            </w:pPr>
            <w:r w:rsidRPr="00AE1426">
              <w:lastRenderedPageBreak/>
              <w:t>Explanation of Scoring Criteria</w:t>
            </w:r>
          </w:p>
        </w:tc>
        <w:tc>
          <w:tcPr>
            <w:tcW w:w="7200" w:type="dxa"/>
            <w:tcBorders>
              <w:top w:val="nil"/>
              <w:left w:val="nil"/>
              <w:bottom w:val="single" w:sz="12" w:space="0" w:color="4472C4"/>
              <w:right w:val="nil"/>
            </w:tcBorders>
            <w:vAlign w:val="center"/>
            <w:hideMark/>
          </w:tcPr>
          <w:p w14:paraId="4B9CB388" w14:textId="77777777" w:rsidR="00E95798" w:rsidRPr="00AE1426" w:rsidRDefault="00E95798" w:rsidP="00C80261">
            <w:pPr>
              <w:widowControl/>
              <w:autoSpaceDE/>
              <w:autoSpaceDN/>
              <w:rPr>
                <w:rFonts w:ascii="Calibri" w:hAnsi="Calibri" w:cs="Calibri"/>
                <w:b/>
                <w:bCs/>
                <w:color w:val="44546A"/>
                <w:sz w:val="30"/>
                <w:szCs w:val="30"/>
              </w:rPr>
            </w:pPr>
            <w:r w:rsidRPr="00AE1426">
              <w:rPr>
                <w:rFonts w:ascii="Calibri" w:hAnsi="Calibri" w:cs="Calibri"/>
                <w:b/>
                <w:bCs/>
                <w:color w:val="44546A"/>
                <w:sz w:val="30"/>
                <w:szCs w:val="30"/>
              </w:rPr>
              <w:t>Category</w:t>
            </w:r>
          </w:p>
        </w:tc>
      </w:tr>
      <w:tr w:rsidR="00AE1426" w:rsidRPr="00AE1426" w14:paraId="1FA56F10"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061F3661" w14:textId="37B10650"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single" w:sz="4" w:space="0" w:color="auto"/>
              <w:left w:val="nil"/>
              <w:bottom w:val="single" w:sz="4" w:space="0" w:color="auto"/>
              <w:right w:val="single" w:sz="4" w:space="0" w:color="auto"/>
            </w:tcBorders>
            <w:shd w:val="clear" w:color="000000" w:fill="E7E6E6"/>
            <w:vAlign w:val="center"/>
            <w:hideMark/>
          </w:tcPr>
          <w:p w14:paraId="7675C8CE" w14:textId="2C2703E3" w:rsidR="00AE1426" w:rsidRPr="00AE1426" w:rsidRDefault="00AE1426" w:rsidP="00AE1426">
            <w:pPr>
              <w:widowControl/>
              <w:autoSpaceDE/>
              <w:autoSpaceDN/>
              <w:rPr>
                <w:rFonts w:ascii="Calibri" w:hAnsi="Calibri" w:cs="Calibri"/>
                <w:b/>
                <w:bCs/>
                <w:u w:val="single"/>
              </w:rPr>
            </w:pPr>
            <w:hyperlink r:id="rId56" w:history="1">
              <w:r w:rsidRPr="00AE1426">
                <w:rPr>
                  <w:rFonts w:ascii="Calibri" w:hAnsi="Calibri" w:cs="Calibri"/>
                  <w:b/>
                  <w:bCs/>
                  <w:u w:val="single"/>
                </w:rPr>
                <w:t>Pre-K Enrollment Indicator - https://apps.vdh.virginia.gov/omhhe/hoi/youth-well-being-index</w:t>
              </w:r>
            </w:hyperlink>
          </w:p>
        </w:tc>
      </w:tr>
      <w:tr w:rsidR="00AE1426" w:rsidRPr="00AE1426" w14:paraId="5A08D7CD" w14:textId="77777777" w:rsidTr="00E95798">
        <w:trPr>
          <w:trHeight w:val="2700"/>
        </w:trPr>
        <w:tc>
          <w:tcPr>
            <w:tcW w:w="2160" w:type="dxa"/>
            <w:tcBorders>
              <w:top w:val="nil"/>
              <w:left w:val="single" w:sz="4" w:space="0" w:color="auto"/>
              <w:bottom w:val="single" w:sz="4" w:space="0" w:color="auto"/>
              <w:right w:val="single" w:sz="4" w:space="0" w:color="auto"/>
            </w:tcBorders>
            <w:vAlign w:val="center"/>
            <w:hideMark/>
          </w:tcPr>
          <w:p w14:paraId="28A285C4" w14:textId="2857CA04"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r w:rsidR="005605D7" w:rsidRPr="00AE1426">
              <w:rPr>
                <w:rFonts w:ascii="Calibri" w:hAnsi="Calibri" w:cs="Calibri"/>
                <w:color w:val="000000"/>
                <w:sz w:val="23"/>
                <w:szCs w:val="23"/>
              </w:rPr>
              <w:t>Vulnerable Populations = 50%</w:t>
            </w:r>
          </w:p>
        </w:tc>
        <w:tc>
          <w:tcPr>
            <w:tcW w:w="8400" w:type="dxa"/>
            <w:gridSpan w:val="2"/>
            <w:tcBorders>
              <w:top w:val="nil"/>
              <w:left w:val="nil"/>
              <w:bottom w:val="single" w:sz="4" w:space="0" w:color="auto"/>
              <w:right w:val="single" w:sz="4" w:space="0" w:color="auto"/>
            </w:tcBorders>
            <w:vAlign w:val="center"/>
            <w:hideMark/>
          </w:tcPr>
          <w:p w14:paraId="7DF27895" w14:textId="7276D185"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The Pre-K Enrollment Indicator is defined as the number of </w:t>
            </w:r>
            <w:r w:rsidR="008732F9" w:rsidRPr="00AE1426">
              <w:rPr>
                <w:rFonts w:ascii="Calibri" w:hAnsi="Calibri" w:cs="Calibri"/>
                <w:color w:val="000000"/>
                <w:sz w:val="23"/>
                <w:szCs w:val="23"/>
              </w:rPr>
              <w:t>3- and 4-year-old</w:t>
            </w:r>
            <w:r w:rsidRPr="00AE1426">
              <w:rPr>
                <w:rFonts w:ascii="Calibri" w:hAnsi="Calibri" w:cs="Calibri"/>
                <w:color w:val="000000"/>
                <w:sz w:val="23"/>
                <w:szCs w:val="23"/>
              </w:rPr>
              <w:t xml:space="preserve"> children enrolled in nursery or preschool programs. It is one of the eight indicators comprising the Youth Well-Being Index from VDH. Use of the Pre-K Enrollment Indicator is intended to target areas with a high proportion of young children. Infants, young children, and pregnant women are the most vulnerable to lead exposure. The higher the Pre-K Enrollment value, the more likely lead remediation efforts will have an effect on decreasing lead exposure to these specific populations. Therefore, applicants with a higher Pre-K Enrollment value should score higher. </w:t>
            </w:r>
            <w:r w:rsidRPr="00AE1426">
              <w:rPr>
                <w:rFonts w:ascii="Calibri" w:hAnsi="Calibri" w:cs="Calibri"/>
                <w:color w:val="000000"/>
                <w:sz w:val="23"/>
                <w:szCs w:val="23"/>
              </w:rPr>
              <w:br/>
            </w:r>
            <w:r w:rsidRPr="00AE1426">
              <w:rPr>
                <w:rFonts w:ascii="Calibri" w:hAnsi="Calibri" w:cs="Calibri"/>
                <w:i/>
                <w:iCs/>
                <w:color w:val="2F75B5"/>
                <w:sz w:val="23"/>
                <w:szCs w:val="23"/>
              </w:rPr>
              <w:t xml:space="preserve">Note: If the project area will be the entire county, use the top map and select the Opportunity Level value containing the greatest population. If the project area has been targeted to specific neighborhoods, use the bottom map and select the highlighted area that overlaps with the project area. </w:t>
            </w:r>
          </w:p>
        </w:tc>
      </w:tr>
      <w:tr w:rsidR="00AE1426" w:rsidRPr="00AE1426" w14:paraId="3DA3D398" w14:textId="77777777" w:rsidTr="00E95798">
        <w:trPr>
          <w:gridAfter w:val="2"/>
          <w:wAfter w:w="8400" w:type="dxa"/>
          <w:trHeight w:val="300"/>
        </w:trPr>
        <w:tc>
          <w:tcPr>
            <w:tcW w:w="2160" w:type="dxa"/>
            <w:tcBorders>
              <w:top w:val="nil"/>
              <w:left w:val="nil"/>
              <w:bottom w:val="nil"/>
              <w:right w:val="nil"/>
            </w:tcBorders>
            <w:vAlign w:val="center"/>
            <w:hideMark/>
          </w:tcPr>
          <w:p w14:paraId="204BAE10" w14:textId="77777777" w:rsidR="00AE1426" w:rsidRPr="00AE1426" w:rsidRDefault="00AE1426" w:rsidP="00AE1426">
            <w:pPr>
              <w:widowControl/>
              <w:autoSpaceDE/>
              <w:autoSpaceDN/>
              <w:rPr>
                <w:rFonts w:ascii="Calibri" w:hAnsi="Calibri" w:cs="Calibri"/>
                <w:color w:val="000000"/>
                <w:sz w:val="23"/>
                <w:szCs w:val="23"/>
              </w:rPr>
            </w:pPr>
          </w:p>
        </w:tc>
      </w:tr>
      <w:tr w:rsidR="00AE1426" w:rsidRPr="00AE1426" w14:paraId="4710C522"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50F94031"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single" w:sz="4" w:space="0" w:color="auto"/>
              <w:left w:val="nil"/>
              <w:bottom w:val="single" w:sz="4" w:space="0" w:color="auto"/>
              <w:right w:val="single" w:sz="4" w:space="0" w:color="auto"/>
            </w:tcBorders>
            <w:shd w:val="clear" w:color="000000" w:fill="E7E6E6"/>
            <w:vAlign w:val="center"/>
            <w:hideMark/>
          </w:tcPr>
          <w:p w14:paraId="052066B4"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LSL Inventory Present</w:t>
            </w:r>
          </w:p>
        </w:tc>
      </w:tr>
      <w:tr w:rsidR="00AE1426" w:rsidRPr="00AE1426" w14:paraId="7C4F3DB6" w14:textId="77777777" w:rsidTr="00E95798">
        <w:trPr>
          <w:trHeight w:val="1200"/>
        </w:trPr>
        <w:tc>
          <w:tcPr>
            <w:tcW w:w="2160" w:type="dxa"/>
            <w:tcBorders>
              <w:top w:val="nil"/>
              <w:left w:val="single" w:sz="4" w:space="0" w:color="auto"/>
              <w:bottom w:val="single" w:sz="4" w:space="0" w:color="auto"/>
              <w:right w:val="single" w:sz="4" w:space="0" w:color="auto"/>
            </w:tcBorders>
            <w:vAlign w:val="center"/>
            <w:hideMark/>
          </w:tcPr>
          <w:p w14:paraId="6967769A"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Readiness to Proceed = 10%</w:t>
            </w:r>
          </w:p>
        </w:tc>
        <w:tc>
          <w:tcPr>
            <w:tcW w:w="8400" w:type="dxa"/>
            <w:gridSpan w:val="2"/>
            <w:tcBorders>
              <w:top w:val="nil"/>
              <w:left w:val="nil"/>
              <w:bottom w:val="single" w:sz="4" w:space="0" w:color="auto"/>
              <w:right w:val="single" w:sz="4" w:space="0" w:color="auto"/>
            </w:tcBorders>
            <w:vAlign w:val="center"/>
            <w:hideMark/>
          </w:tcPr>
          <w:p w14:paraId="413DD633" w14:textId="5350DA2B"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Applicants with a completed LSL Inventory will score the highest, followed by applicants who have started work on recording their inventory. This helps VDH to address the Lead and Copper Rule </w:t>
            </w:r>
            <w:r w:rsidR="00E95798" w:rsidRPr="00AE1426">
              <w:rPr>
                <w:rFonts w:ascii="Calibri" w:hAnsi="Calibri" w:cs="Calibri"/>
                <w:color w:val="000000"/>
                <w:sz w:val="23"/>
                <w:szCs w:val="23"/>
              </w:rPr>
              <w:t>Revisions</w:t>
            </w:r>
            <w:r w:rsidRPr="00AE1426">
              <w:rPr>
                <w:rFonts w:ascii="Calibri" w:hAnsi="Calibri" w:cs="Calibri"/>
                <w:color w:val="000000"/>
                <w:sz w:val="23"/>
                <w:szCs w:val="23"/>
              </w:rPr>
              <w:t xml:space="preserve"> that require Virginia to keep an inventory. LSL inventories should contain the service line material on both the public and private sides as well as the date of service if replacement has occurred.</w:t>
            </w:r>
          </w:p>
        </w:tc>
      </w:tr>
      <w:tr w:rsidR="00AE1426" w:rsidRPr="00AE1426" w14:paraId="0FBA7D17" w14:textId="77777777" w:rsidTr="00E95798">
        <w:trPr>
          <w:trHeight w:val="300"/>
        </w:trPr>
        <w:tc>
          <w:tcPr>
            <w:tcW w:w="2160" w:type="dxa"/>
            <w:tcBorders>
              <w:top w:val="nil"/>
              <w:left w:val="single" w:sz="4" w:space="0" w:color="auto"/>
              <w:bottom w:val="nil"/>
              <w:right w:val="single" w:sz="4" w:space="0" w:color="auto"/>
            </w:tcBorders>
            <w:vAlign w:val="center"/>
            <w:hideMark/>
          </w:tcPr>
          <w:p w14:paraId="06FF717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10B1CAB7"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Service Line Inspection Methods</w:t>
            </w:r>
          </w:p>
        </w:tc>
      </w:tr>
      <w:tr w:rsidR="00AE1426" w:rsidRPr="00AE1426" w14:paraId="1CE7D036" w14:textId="77777777" w:rsidTr="00E95798">
        <w:trPr>
          <w:trHeight w:val="1500"/>
        </w:trPr>
        <w:tc>
          <w:tcPr>
            <w:tcW w:w="2160" w:type="dxa"/>
            <w:tcBorders>
              <w:top w:val="nil"/>
              <w:left w:val="single" w:sz="4" w:space="0" w:color="auto"/>
              <w:bottom w:val="single" w:sz="4" w:space="0" w:color="auto"/>
              <w:right w:val="single" w:sz="4" w:space="0" w:color="auto"/>
            </w:tcBorders>
            <w:vAlign w:val="center"/>
            <w:hideMark/>
          </w:tcPr>
          <w:p w14:paraId="005D8E16"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Readiness to Proceed = 10%</w:t>
            </w:r>
          </w:p>
        </w:tc>
        <w:tc>
          <w:tcPr>
            <w:tcW w:w="8400" w:type="dxa"/>
            <w:gridSpan w:val="2"/>
            <w:tcBorders>
              <w:top w:val="nil"/>
              <w:left w:val="nil"/>
              <w:bottom w:val="single" w:sz="4" w:space="0" w:color="auto"/>
              <w:right w:val="single" w:sz="4" w:space="0" w:color="auto"/>
            </w:tcBorders>
            <w:vAlign w:val="center"/>
            <w:hideMark/>
          </w:tcPr>
          <w:p w14:paraId="20209459"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Applicants with a completed LSL Inventory will score the highest as no further work needs to be done, followed by applicants who have started to inspect their service line materials since these projects are much further along in their progress. Those who have not selected a service line inspection method yet will score lower.</w:t>
            </w:r>
            <w:r w:rsidRPr="00AE1426">
              <w:rPr>
                <w:rFonts w:ascii="Calibri" w:hAnsi="Calibri" w:cs="Calibri"/>
                <w:color w:val="000000"/>
                <w:sz w:val="23"/>
                <w:szCs w:val="23"/>
              </w:rPr>
              <w:br/>
            </w:r>
            <w:r w:rsidRPr="00AE1426">
              <w:rPr>
                <w:rFonts w:ascii="Calibri" w:hAnsi="Calibri" w:cs="Calibri"/>
                <w:i/>
                <w:iCs/>
                <w:color w:val="2F75B5"/>
                <w:sz w:val="23"/>
                <w:szCs w:val="23"/>
              </w:rPr>
              <w:t>Note: The selected service line inspection method(s) must be approved by the ODW Field Office staff prior to proceeding forward with the project.</w:t>
            </w:r>
          </w:p>
        </w:tc>
      </w:tr>
      <w:tr w:rsidR="00AE1426" w:rsidRPr="00AE1426" w14:paraId="73746A23" w14:textId="77777777" w:rsidTr="00E95798">
        <w:trPr>
          <w:trHeight w:val="300"/>
        </w:trPr>
        <w:tc>
          <w:tcPr>
            <w:tcW w:w="2160" w:type="dxa"/>
            <w:tcBorders>
              <w:top w:val="nil"/>
              <w:left w:val="single" w:sz="4" w:space="0" w:color="auto"/>
              <w:bottom w:val="nil"/>
              <w:right w:val="single" w:sz="4" w:space="0" w:color="auto"/>
            </w:tcBorders>
            <w:vAlign w:val="center"/>
            <w:hideMark/>
          </w:tcPr>
          <w:p w14:paraId="042B5A1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0E2D1B13"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Project Schedule</w:t>
            </w:r>
          </w:p>
        </w:tc>
      </w:tr>
      <w:tr w:rsidR="00AE1426" w:rsidRPr="00AE1426" w14:paraId="6586644F" w14:textId="77777777" w:rsidTr="00E95798">
        <w:trPr>
          <w:trHeight w:val="600"/>
        </w:trPr>
        <w:tc>
          <w:tcPr>
            <w:tcW w:w="2160" w:type="dxa"/>
            <w:tcBorders>
              <w:top w:val="nil"/>
              <w:left w:val="single" w:sz="4" w:space="0" w:color="auto"/>
              <w:bottom w:val="single" w:sz="4" w:space="0" w:color="auto"/>
              <w:right w:val="single" w:sz="4" w:space="0" w:color="auto"/>
            </w:tcBorders>
            <w:vAlign w:val="center"/>
            <w:hideMark/>
          </w:tcPr>
          <w:p w14:paraId="5418B06F"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Readiness to Proceed = 10%</w:t>
            </w:r>
          </w:p>
        </w:tc>
        <w:tc>
          <w:tcPr>
            <w:tcW w:w="8400" w:type="dxa"/>
            <w:gridSpan w:val="2"/>
            <w:tcBorders>
              <w:top w:val="nil"/>
              <w:left w:val="nil"/>
              <w:bottom w:val="single" w:sz="4" w:space="0" w:color="auto"/>
              <w:right w:val="single" w:sz="4" w:space="0" w:color="auto"/>
            </w:tcBorders>
            <w:vAlign w:val="center"/>
            <w:hideMark/>
          </w:tcPr>
          <w:p w14:paraId="52356592"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Applicants with detailed project schedules reflect the most project readiness and planning and will score the highest.</w:t>
            </w:r>
          </w:p>
        </w:tc>
      </w:tr>
      <w:tr w:rsidR="00AE1426" w:rsidRPr="00AE1426" w14:paraId="7F6C7A83" w14:textId="77777777" w:rsidTr="00E95798">
        <w:trPr>
          <w:trHeight w:val="300"/>
        </w:trPr>
        <w:tc>
          <w:tcPr>
            <w:tcW w:w="2160" w:type="dxa"/>
            <w:tcBorders>
              <w:top w:val="nil"/>
              <w:left w:val="single" w:sz="4" w:space="0" w:color="auto"/>
              <w:bottom w:val="nil"/>
              <w:right w:val="single" w:sz="4" w:space="0" w:color="auto"/>
            </w:tcBorders>
            <w:vAlign w:val="center"/>
            <w:hideMark/>
          </w:tcPr>
          <w:p w14:paraId="6FC31578"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2A1B9694" w14:textId="77777777" w:rsidR="00AE1426" w:rsidRPr="00AE1426" w:rsidRDefault="00AE1426" w:rsidP="00AE1426">
            <w:pPr>
              <w:widowControl/>
              <w:autoSpaceDE/>
              <w:autoSpaceDN/>
              <w:rPr>
                <w:rFonts w:ascii="Calibri" w:hAnsi="Calibri" w:cs="Calibri"/>
                <w:b/>
                <w:bCs/>
                <w:color w:val="000000"/>
                <w:sz w:val="23"/>
                <w:szCs w:val="23"/>
              </w:rPr>
            </w:pPr>
            <w:r w:rsidRPr="00AE1426">
              <w:rPr>
                <w:rFonts w:ascii="Calibri" w:hAnsi="Calibri" w:cs="Calibri"/>
                <w:b/>
                <w:bCs/>
                <w:color w:val="000000"/>
                <w:sz w:val="23"/>
                <w:szCs w:val="23"/>
              </w:rPr>
              <w:t>LSL Replacement Plan</w:t>
            </w:r>
          </w:p>
        </w:tc>
      </w:tr>
      <w:tr w:rsidR="00AE1426" w:rsidRPr="00AE1426" w14:paraId="16555170" w14:textId="77777777" w:rsidTr="00E95798">
        <w:trPr>
          <w:trHeight w:val="900"/>
        </w:trPr>
        <w:tc>
          <w:tcPr>
            <w:tcW w:w="2160" w:type="dxa"/>
            <w:tcBorders>
              <w:top w:val="nil"/>
              <w:left w:val="single" w:sz="4" w:space="0" w:color="auto"/>
              <w:bottom w:val="nil"/>
              <w:right w:val="single" w:sz="4" w:space="0" w:color="auto"/>
            </w:tcBorders>
            <w:vAlign w:val="center"/>
            <w:hideMark/>
          </w:tcPr>
          <w:p w14:paraId="7FA4F01E"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Readiness to Proceed = 10%</w:t>
            </w:r>
          </w:p>
        </w:tc>
        <w:tc>
          <w:tcPr>
            <w:tcW w:w="8400" w:type="dxa"/>
            <w:gridSpan w:val="2"/>
            <w:tcBorders>
              <w:top w:val="nil"/>
              <w:left w:val="nil"/>
              <w:bottom w:val="single" w:sz="4" w:space="0" w:color="auto"/>
              <w:right w:val="single" w:sz="4" w:space="0" w:color="auto"/>
            </w:tcBorders>
            <w:vAlign w:val="center"/>
            <w:hideMark/>
          </w:tcPr>
          <w:p w14:paraId="759CAAE7" w14:textId="77777777" w:rsidR="00AE1426" w:rsidRPr="00AE1426" w:rsidRDefault="00AE1426" w:rsidP="00AE1426">
            <w:pPr>
              <w:widowControl/>
              <w:autoSpaceDE/>
              <w:autoSpaceDN/>
              <w:rPr>
                <w:rFonts w:ascii="Calibri" w:hAnsi="Calibri" w:cs="Calibri"/>
                <w:color w:val="000000"/>
                <w:sz w:val="23"/>
                <w:szCs w:val="23"/>
              </w:rPr>
            </w:pPr>
            <w:r w:rsidRPr="00AE1426">
              <w:rPr>
                <w:rFonts w:ascii="Calibri" w:hAnsi="Calibri" w:cs="Calibri"/>
                <w:color w:val="000000"/>
                <w:sz w:val="23"/>
                <w:szCs w:val="23"/>
              </w:rPr>
              <w:t xml:space="preserve">Applicants with detailed LSL Replacement Plans tend to be further along in progress. They reflect the most project readiness and planning and will score the highest. LSL Replacement Plans are required by the LCRR and must be submitted to the ODW Field Offices by the October 16, </w:t>
            </w:r>
            <w:proofErr w:type="gramStart"/>
            <w:r w:rsidRPr="00AE1426">
              <w:rPr>
                <w:rFonts w:ascii="Calibri" w:hAnsi="Calibri" w:cs="Calibri"/>
                <w:color w:val="000000"/>
                <w:sz w:val="23"/>
                <w:szCs w:val="23"/>
              </w:rPr>
              <w:t>2024</w:t>
            </w:r>
            <w:proofErr w:type="gramEnd"/>
            <w:r w:rsidRPr="00AE1426">
              <w:rPr>
                <w:rFonts w:ascii="Calibri" w:hAnsi="Calibri" w:cs="Calibri"/>
                <w:color w:val="000000"/>
                <w:sz w:val="23"/>
                <w:szCs w:val="23"/>
              </w:rPr>
              <w:t xml:space="preserve"> deadline.</w:t>
            </w:r>
          </w:p>
        </w:tc>
      </w:tr>
      <w:tr w:rsidR="00AE1426" w:rsidRPr="00AE1426" w14:paraId="0E56565B"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6221F05B" w14:textId="77777777"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4B0EB584" w14:textId="77777777" w:rsidR="00AE1426" w:rsidRPr="00AE1426" w:rsidRDefault="00AE1426" w:rsidP="00AE1426">
            <w:pPr>
              <w:widowControl/>
              <w:autoSpaceDE/>
              <w:autoSpaceDN/>
              <w:rPr>
                <w:rFonts w:ascii="Calibri" w:hAnsi="Calibri" w:cs="Calibri"/>
                <w:b/>
                <w:bCs/>
                <w:color w:val="005AB5"/>
                <w:sz w:val="23"/>
                <w:szCs w:val="23"/>
              </w:rPr>
            </w:pPr>
            <w:r w:rsidRPr="00AE1426">
              <w:rPr>
                <w:rFonts w:ascii="Calibri" w:hAnsi="Calibri" w:cs="Calibri"/>
                <w:b/>
                <w:bCs/>
                <w:color w:val="005AB5"/>
                <w:sz w:val="23"/>
                <w:szCs w:val="23"/>
              </w:rPr>
              <w:t>LSL Replacement Model</w:t>
            </w:r>
          </w:p>
        </w:tc>
      </w:tr>
      <w:tr w:rsidR="00AE1426" w:rsidRPr="00AE1426" w14:paraId="68E0BFE7" w14:textId="77777777" w:rsidTr="00E95798">
        <w:trPr>
          <w:trHeight w:val="600"/>
        </w:trPr>
        <w:tc>
          <w:tcPr>
            <w:tcW w:w="2160" w:type="dxa"/>
            <w:tcBorders>
              <w:top w:val="nil"/>
              <w:left w:val="single" w:sz="4" w:space="0" w:color="auto"/>
              <w:bottom w:val="single" w:sz="4" w:space="0" w:color="auto"/>
              <w:right w:val="single" w:sz="4" w:space="0" w:color="auto"/>
            </w:tcBorders>
            <w:vAlign w:val="center"/>
            <w:hideMark/>
          </w:tcPr>
          <w:p w14:paraId="213BACE3" w14:textId="77777777"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LSLR Only: 20 Bonus Points</w:t>
            </w:r>
          </w:p>
        </w:tc>
        <w:tc>
          <w:tcPr>
            <w:tcW w:w="8400" w:type="dxa"/>
            <w:gridSpan w:val="2"/>
            <w:tcBorders>
              <w:top w:val="nil"/>
              <w:left w:val="nil"/>
              <w:bottom w:val="single" w:sz="4" w:space="0" w:color="auto"/>
              <w:right w:val="single" w:sz="4" w:space="0" w:color="auto"/>
            </w:tcBorders>
            <w:vAlign w:val="center"/>
            <w:hideMark/>
          </w:tcPr>
          <w:p w14:paraId="0964536A" w14:textId="77777777"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 xml:space="preserve">Applicants with detailed descriptions of their LSL Replacement Model (Rebate, Contract, or Hybrid) tend to be further along in progress. They reflect the most </w:t>
            </w:r>
            <w:proofErr w:type="gramStart"/>
            <w:r w:rsidRPr="00AE1426">
              <w:rPr>
                <w:rFonts w:ascii="Calibri" w:hAnsi="Calibri" w:cs="Calibri"/>
                <w:color w:val="005AB5"/>
                <w:sz w:val="23"/>
                <w:szCs w:val="23"/>
              </w:rPr>
              <w:t>project readiness</w:t>
            </w:r>
            <w:proofErr w:type="gramEnd"/>
            <w:r w:rsidRPr="00AE1426">
              <w:rPr>
                <w:rFonts w:ascii="Calibri" w:hAnsi="Calibri" w:cs="Calibri"/>
                <w:color w:val="005AB5"/>
                <w:sz w:val="23"/>
                <w:szCs w:val="23"/>
              </w:rPr>
              <w:t xml:space="preserve"> and </w:t>
            </w:r>
            <w:proofErr w:type="gramStart"/>
            <w:r w:rsidRPr="00AE1426">
              <w:rPr>
                <w:rFonts w:ascii="Calibri" w:hAnsi="Calibri" w:cs="Calibri"/>
                <w:color w:val="005AB5"/>
                <w:sz w:val="23"/>
                <w:szCs w:val="23"/>
              </w:rPr>
              <w:t>planning</w:t>
            </w:r>
            <w:proofErr w:type="gramEnd"/>
            <w:r w:rsidRPr="00AE1426">
              <w:rPr>
                <w:rFonts w:ascii="Calibri" w:hAnsi="Calibri" w:cs="Calibri"/>
                <w:color w:val="005AB5"/>
                <w:sz w:val="23"/>
                <w:szCs w:val="23"/>
              </w:rPr>
              <w:t xml:space="preserve"> and will score the highest.</w:t>
            </w:r>
          </w:p>
        </w:tc>
      </w:tr>
    </w:tbl>
    <w:p w14:paraId="6012C5CF" w14:textId="77777777" w:rsidR="00E95798" w:rsidRDefault="00E95798">
      <w:r>
        <w:rPr>
          <w:b/>
          <w:bCs/>
        </w:rPr>
        <w:br w:type="page"/>
      </w:r>
    </w:p>
    <w:tbl>
      <w:tblPr>
        <w:tblW w:w="0" w:type="auto"/>
        <w:tblLook w:val="04A0" w:firstRow="1" w:lastRow="0" w:firstColumn="1" w:lastColumn="0" w:noHBand="0" w:noVBand="1"/>
      </w:tblPr>
      <w:tblGrid>
        <w:gridCol w:w="2160"/>
        <w:gridCol w:w="7200"/>
        <w:gridCol w:w="1200"/>
      </w:tblGrid>
      <w:tr w:rsidR="00E95798" w:rsidRPr="00AE1426" w14:paraId="5FDE3264" w14:textId="77777777" w:rsidTr="00E95798">
        <w:trPr>
          <w:gridAfter w:val="1"/>
          <w:wAfter w:w="1200" w:type="dxa"/>
          <w:trHeight w:val="788"/>
        </w:trPr>
        <w:tc>
          <w:tcPr>
            <w:tcW w:w="2160" w:type="dxa"/>
            <w:tcBorders>
              <w:top w:val="nil"/>
              <w:left w:val="nil"/>
              <w:bottom w:val="single" w:sz="12" w:space="0" w:color="4472C4"/>
              <w:right w:val="nil"/>
            </w:tcBorders>
            <w:vAlign w:val="center"/>
            <w:hideMark/>
          </w:tcPr>
          <w:p w14:paraId="4FC435DF" w14:textId="6713077A" w:rsidR="00E95798" w:rsidRPr="00AE1426" w:rsidRDefault="00E95798" w:rsidP="00C80261">
            <w:pPr>
              <w:pStyle w:val="Heading5"/>
            </w:pPr>
            <w:r w:rsidRPr="00AE1426">
              <w:lastRenderedPageBreak/>
              <w:t>Explanation of Scoring Criteria</w:t>
            </w:r>
          </w:p>
        </w:tc>
        <w:tc>
          <w:tcPr>
            <w:tcW w:w="7200" w:type="dxa"/>
            <w:tcBorders>
              <w:top w:val="nil"/>
              <w:left w:val="nil"/>
              <w:bottom w:val="single" w:sz="12" w:space="0" w:color="4472C4"/>
              <w:right w:val="nil"/>
            </w:tcBorders>
            <w:vAlign w:val="center"/>
            <w:hideMark/>
          </w:tcPr>
          <w:p w14:paraId="3553833B" w14:textId="77777777" w:rsidR="00E95798" w:rsidRPr="00AE1426" w:rsidRDefault="00E95798" w:rsidP="00C80261">
            <w:pPr>
              <w:widowControl/>
              <w:autoSpaceDE/>
              <w:autoSpaceDN/>
              <w:rPr>
                <w:rFonts w:ascii="Calibri" w:hAnsi="Calibri" w:cs="Calibri"/>
                <w:b/>
                <w:bCs/>
                <w:color w:val="44546A"/>
                <w:sz w:val="30"/>
                <w:szCs w:val="30"/>
              </w:rPr>
            </w:pPr>
            <w:r w:rsidRPr="00AE1426">
              <w:rPr>
                <w:rFonts w:ascii="Calibri" w:hAnsi="Calibri" w:cs="Calibri"/>
                <w:b/>
                <w:bCs/>
                <w:color w:val="44546A"/>
                <w:sz w:val="30"/>
                <w:szCs w:val="30"/>
              </w:rPr>
              <w:t>Category</w:t>
            </w:r>
          </w:p>
        </w:tc>
      </w:tr>
      <w:tr w:rsidR="00AE1426" w:rsidRPr="00AE1426" w14:paraId="0A8A046F"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112EFC2E" w14:textId="2C44A41A"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 </w:t>
            </w:r>
          </w:p>
        </w:tc>
        <w:tc>
          <w:tcPr>
            <w:tcW w:w="8400" w:type="dxa"/>
            <w:gridSpan w:val="2"/>
            <w:tcBorders>
              <w:top w:val="single" w:sz="4" w:space="0" w:color="auto"/>
              <w:left w:val="nil"/>
              <w:bottom w:val="single" w:sz="4" w:space="0" w:color="auto"/>
              <w:right w:val="single" w:sz="4" w:space="0" w:color="auto"/>
            </w:tcBorders>
            <w:shd w:val="clear" w:color="000000" w:fill="E7E6E6"/>
            <w:vAlign w:val="center"/>
            <w:hideMark/>
          </w:tcPr>
          <w:p w14:paraId="528D1C78" w14:textId="201D3A5D" w:rsidR="00AE1426" w:rsidRPr="00AE1426" w:rsidRDefault="00AE1426" w:rsidP="00AE1426">
            <w:pPr>
              <w:widowControl/>
              <w:autoSpaceDE/>
              <w:autoSpaceDN/>
              <w:rPr>
                <w:rFonts w:ascii="Calibri" w:hAnsi="Calibri" w:cs="Calibri"/>
                <w:b/>
                <w:bCs/>
                <w:color w:val="005AB5"/>
                <w:u w:val="single"/>
              </w:rPr>
            </w:pPr>
            <w:hyperlink r:id="rId57" w:history="1">
              <w:r w:rsidRPr="00AE1426">
                <w:rPr>
                  <w:rFonts w:ascii="Calibri" w:hAnsi="Calibri" w:cs="Calibri"/>
                  <w:b/>
                  <w:bCs/>
                  <w:color w:val="005AB5"/>
                  <w:u w:val="single"/>
                </w:rPr>
                <w:t>Population Density Indicator - https://apps.vdh.virginia.gov/omhhe/hoi/youth-well-being-index</w:t>
              </w:r>
            </w:hyperlink>
          </w:p>
        </w:tc>
      </w:tr>
      <w:tr w:rsidR="00AE1426" w:rsidRPr="00AE1426" w14:paraId="426782F4" w14:textId="77777777" w:rsidTr="00E95798">
        <w:trPr>
          <w:trHeight w:val="1800"/>
        </w:trPr>
        <w:tc>
          <w:tcPr>
            <w:tcW w:w="2160" w:type="dxa"/>
            <w:tcBorders>
              <w:top w:val="nil"/>
              <w:left w:val="single" w:sz="4" w:space="0" w:color="auto"/>
              <w:bottom w:val="nil"/>
              <w:right w:val="single" w:sz="4" w:space="0" w:color="auto"/>
            </w:tcBorders>
            <w:vAlign w:val="center"/>
            <w:hideMark/>
          </w:tcPr>
          <w:p w14:paraId="6BD8CBD2" w14:textId="77777777"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LSLR Only: 20 Bonus Points</w:t>
            </w:r>
          </w:p>
        </w:tc>
        <w:tc>
          <w:tcPr>
            <w:tcW w:w="8400" w:type="dxa"/>
            <w:gridSpan w:val="2"/>
            <w:tcBorders>
              <w:top w:val="nil"/>
              <w:left w:val="nil"/>
              <w:bottom w:val="single" w:sz="4" w:space="0" w:color="auto"/>
              <w:right w:val="single" w:sz="4" w:space="0" w:color="auto"/>
            </w:tcBorders>
            <w:vAlign w:val="center"/>
            <w:hideMark/>
          </w:tcPr>
          <w:p w14:paraId="77102BA6" w14:textId="77777777" w:rsidR="00AE1426" w:rsidRPr="00AE1426" w:rsidRDefault="00AE1426" w:rsidP="00AE1426">
            <w:pPr>
              <w:widowControl/>
              <w:autoSpaceDE/>
              <w:autoSpaceDN/>
              <w:rPr>
                <w:rFonts w:ascii="Calibri" w:hAnsi="Calibri" w:cs="Calibri"/>
                <w:color w:val="005AB5"/>
                <w:sz w:val="23"/>
                <w:szCs w:val="23"/>
              </w:rPr>
            </w:pPr>
            <w:r w:rsidRPr="00AE1426">
              <w:rPr>
                <w:rFonts w:ascii="Calibri" w:hAnsi="Calibri" w:cs="Calibri"/>
                <w:color w:val="005AB5"/>
                <w:sz w:val="23"/>
                <w:szCs w:val="23"/>
              </w:rPr>
              <w:t xml:space="preserve">The Population Density Indicator is defined as the number of persons per square mile in the census tract. It is one of the eight indicators comprising the Youth Well-Being Index from VDH. Use of the Population Density Indicator is intended to estimate the number of people to benefit from LSL replacement and act as a tie breaker. Multi-unit family homes are more likely to have a greater number of individuals per household/LSL and can contribute to higher Population Density values. The higher the Population Density value, the more individuals will benefit from LSLR. Therefore, applicants with a higher Population Density value should score higher. </w:t>
            </w:r>
          </w:p>
        </w:tc>
      </w:tr>
      <w:tr w:rsidR="00AE1426" w:rsidRPr="00AE1426" w14:paraId="33F31C5C" w14:textId="77777777" w:rsidTr="00E95798">
        <w:trPr>
          <w:trHeight w:val="300"/>
        </w:trPr>
        <w:tc>
          <w:tcPr>
            <w:tcW w:w="2160" w:type="dxa"/>
            <w:tcBorders>
              <w:top w:val="single" w:sz="4" w:space="0" w:color="auto"/>
              <w:left w:val="single" w:sz="4" w:space="0" w:color="auto"/>
              <w:bottom w:val="nil"/>
              <w:right w:val="single" w:sz="4" w:space="0" w:color="auto"/>
            </w:tcBorders>
            <w:vAlign w:val="center"/>
            <w:hideMark/>
          </w:tcPr>
          <w:p w14:paraId="1817AA07" w14:textId="77777777" w:rsidR="00AE1426" w:rsidRPr="00AE1426" w:rsidRDefault="00AE1426" w:rsidP="00AE1426">
            <w:pPr>
              <w:widowControl/>
              <w:autoSpaceDE/>
              <w:autoSpaceDN/>
              <w:rPr>
                <w:rFonts w:ascii="Calibri" w:hAnsi="Calibri" w:cs="Calibri"/>
                <w:color w:val="DC3220"/>
                <w:sz w:val="23"/>
                <w:szCs w:val="23"/>
              </w:rPr>
            </w:pPr>
            <w:r w:rsidRPr="00AE1426">
              <w:rPr>
                <w:rFonts w:ascii="Calibri" w:hAnsi="Calibri" w:cs="Calibri"/>
                <w:color w:val="DC3220"/>
                <w:sz w:val="23"/>
                <w:szCs w:val="23"/>
              </w:rPr>
              <w:t> </w:t>
            </w:r>
          </w:p>
        </w:tc>
        <w:tc>
          <w:tcPr>
            <w:tcW w:w="8400" w:type="dxa"/>
            <w:gridSpan w:val="2"/>
            <w:tcBorders>
              <w:top w:val="nil"/>
              <w:left w:val="nil"/>
              <w:bottom w:val="single" w:sz="4" w:space="0" w:color="auto"/>
              <w:right w:val="single" w:sz="4" w:space="0" w:color="auto"/>
            </w:tcBorders>
            <w:shd w:val="clear" w:color="000000" w:fill="E7E6E6"/>
            <w:vAlign w:val="center"/>
            <w:hideMark/>
          </w:tcPr>
          <w:p w14:paraId="5EE28AC9" w14:textId="77777777" w:rsidR="00AE1426" w:rsidRPr="00AE1426" w:rsidRDefault="00AE1426" w:rsidP="00AE1426">
            <w:pPr>
              <w:widowControl/>
              <w:autoSpaceDE/>
              <w:autoSpaceDN/>
              <w:rPr>
                <w:rFonts w:ascii="Calibri" w:hAnsi="Calibri" w:cs="Calibri"/>
                <w:b/>
                <w:bCs/>
                <w:color w:val="C90F00"/>
                <w:sz w:val="23"/>
                <w:szCs w:val="23"/>
              </w:rPr>
            </w:pPr>
            <w:r w:rsidRPr="00AE1426">
              <w:rPr>
                <w:rFonts w:ascii="Calibri" w:hAnsi="Calibri" w:cs="Calibri"/>
                <w:b/>
                <w:bCs/>
                <w:color w:val="C90F00"/>
                <w:sz w:val="23"/>
                <w:szCs w:val="23"/>
              </w:rPr>
              <w:t>Independent LSL Project</w:t>
            </w:r>
          </w:p>
        </w:tc>
      </w:tr>
      <w:tr w:rsidR="00AE1426" w:rsidRPr="00AE1426" w14:paraId="7C32E5F3" w14:textId="77777777" w:rsidTr="00E95798">
        <w:trPr>
          <w:trHeight w:val="900"/>
        </w:trPr>
        <w:tc>
          <w:tcPr>
            <w:tcW w:w="2160" w:type="dxa"/>
            <w:tcBorders>
              <w:top w:val="nil"/>
              <w:left w:val="single" w:sz="4" w:space="0" w:color="auto"/>
              <w:bottom w:val="single" w:sz="4" w:space="0" w:color="auto"/>
              <w:right w:val="single" w:sz="4" w:space="0" w:color="auto"/>
            </w:tcBorders>
            <w:vAlign w:val="center"/>
            <w:hideMark/>
          </w:tcPr>
          <w:p w14:paraId="1093B903" w14:textId="77777777" w:rsidR="00AE1426" w:rsidRPr="00AE1426" w:rsidRDefault="00AE1426" w:rsidP="00AE1426">
            <w:pPr>
              <w:widowControl/>
              <w:autoSpaceDE/>
              <w:autoSpaceDN/>
              <w:rPr>
                <w:rFonts w:ascii="Calibri" w:hAnsi="Calibri" w:cs="Calibri"/>
                <w:color w:val="DC3220"/>
                <w:sz w:val="23"/>
                <w:szCs w:val="23"/>
              </w:rPr>
            </w:pPr>
            <w:r w:rsidRPr="00AE1426">
              <w:rPr>
                <w:rFonts w:ascii="Calibri" w:hAnsi="Calibri" w:cs="Calibri"/>
                <w:color w:val="DC3220"/>
                <w:sz w:val="23"/>
                <w:szCs w:val="23"/>
              </w:rPr>
              <w:t>-5 Points</w:t>
            </w:r>
          </w:p>
        </w:tc>
        <w:tc>
          <w:tcPr>
            <w:tcW w:w="8400" w:type="dxa"/>
            <w:gridSpan w:val="2"/>
            <w:tcBorders>
              <w:top w:val="nil"/>
              <w:left w:val="nil"/>
              <w:bottom w:val="single" w:sz="4" w:space="0" w:color="auto"/>
              <w:right w:val="single" w:sz="4" w:space="0" w:color="auto"/>
            </w:tcBorders>
            <w:vAlign w:val="center"/>
            <w:hideMark/>
          </w:tcPr>
          <w:p w14:paraId="0E2D556D" w14:textId="77777777" w:rsidR="00AE1426" w:rsidRPr="00AE1426" w:rsidRDefault="00AE1426" w:rsidP="00AE1426">
            <w:pPr>
              <w:widowControl/>
              <w:autoSpaceDE/>
              <w:autoSpaceDN/>
              <w:rPr>
                <w:rFonts w:ascii="Calibri" w:hAnsi="Calibri" w:cs="Calibri"/>
                <w:color w:val="DC3220"/>
                <w:sz w:val="23"/>
                <w:szCs w:val="23"/>
              </w:rPr>
            </w:pPr>
            <w:r w:rsidRPr="00AE1426">
              <w:rPr>
                <w:rFonts w:ascii="Calibri" w:hAnsi="Calibri" w:cs="Calibri"/>
                <w:color w:val="DC3220"/>
                <w:sz w:val="23"/>
                <w:szCs w:val="23"/>
              </w:rPr>
              <w:t>If the LSL application is part of another construction project, it should be given lower priority since the applicant will have 2 chances to be approved for funding (one chance when applying for Construction funding and another chance when applying for LSL funding).</w:t>
            </w:r>
          </w:p>
        </w:tc>
      </w:tr>
    </w:tbl>
    <w:p w14:paraId="1455977F" w14:textId="5CF71DFA" w:rsidR="006902C6" w:rsidRPr="008D77D8" w:rsidRDefault="00AE1426">
      <w:r>
        <w:fldChar w:fldCharType="end"/>
      </w:r>
    </w:p>
    <w:p w14:paraId="7C7D924E" w14:textId="77777777" w:rsidR="006902C6" w:rsidRPr="008D77D8" w:rsidRDefault="0066681D" w:rsidP="00D727FF">
      <w:pPr>
        <w:pStyle w:val="Heading4"/>
      </w:pPr>
      <w:r w:rsidRPr="008D77D8">
        <w:t xml:space="preserve">General </w:t>
      </w:r>
      <w:r w:rsidR="003724E6" w:rsidRPr="008D77D8">
        <w:t>Process</w:t>
      </w:r>
      <w:r w:rsidR="002C3843" w:rsidRPr="008D77D8">
        <w:t xml:space="preserve"> and Documentation</w:t>
      </w:r>
      <w:r w:rsidR="003724E6" w:rsidRPr="008D77D8">
        <w:t>:</w:t>
      </w:r>
    </w:p>
    <w:p w14:paraId="69A51C6E" w14:textId="03DB30E1" w:rsidR="00E33113" w:rsidRPr="008D77D8" w:rsidRDefault="002C3843" w:rsidP="00CB740B">
      <w:pPr>
        <w:tabs>
          <w:tab w:val="left" w:pos="1441"/>
        </w:tabs>
        <w:spacing w:before="39" w:after="240"/>
        <w:jc w:val="both"/>
      </w:pPr>
      <w:r w:rsidRPr="008D77D8">
        <w:t>Overall, LSL projects will proceed through the same process, regardless of whether the project is funded through LEAP or BIL-LSL funding sources.</w:t>
      </w:r>
      <w:r w:rsidR="00E33113" w:rsidRPr="008D77D8">
        <w:t xml:space="preserve"> </w:t>
      </w:r>
      <w:r w:rsidRPr="008D77D8">
        <w:t>All LSL Replacement projects will need to complete the same Project Milestones that are required for other Construction Projects, unless stated otherwise. Certain Project Milestones may be deemed not applicable to LEAP projects depending on whether or not the potential LEAP project is structured as a rebate program or if it will utilize a contractor. These non-applicable items will be determined after all potential LEAP projects have been evaluated and will be announced during the Initial Meeting.</w:t>
      </w:r>
      <w:r w:rsidR="00E33113" w:rsidRPr="008D77D8">
        <w:t xml:space="preserve"> The DWSRF Program will require a Funding Implementation Plan for all LSL Replacement and LSL Inventory projects, if applicable. It will also note the party responsible for the activity, as well as the budget and schedule for each activity.</w:t>
      </w:r>
    </w:p>
    <w:p w14:paraId="214D349F" w14:textId="0AEED1C7" w:rsidR="006902C6" w:rsidRPr="008D77D8" w:rsidRDefault="0066681D" w:rsidP="00CB740B">
      <w:pPr>
        <w:tabs>
          <w:tab w:val="left" w:pos="1441"/>
        </w:tabs>
        <w:spacing w:before="39" w:after="240"/>
        <w:jc w:val="both"/>
      </w:pPr>
      <w:r w:rsidRPr="008D77D8">
        <w:t>Compared to regular Construction Projects</w:t>
      </w:r>
      <w:r w:rsidR="002B3E30" w:rsidRPr="008D77D8">
        <w:t>, LSL Replacement projects will require extra documentation that is to be submitted with disbursement requests.</w:t>
      </w:r>
      <w:r w:rsidRPr="008D77D8">
        <w:t xml:space="preserve"> Depending on the project model used (rebate, contract, or hybrid), the required documentation may vary. The following list is not exhaustive, but provides examples of LSL Replacement project documentation:</w:t>
      </w:r>
    </w:p>
    <w:p w14:paraId="15B1C271" w14:textId="7D758A72" w:rsidR="00896044" w:rsidRPr="008D77D8" w:rsidRDefault="00730F67" w:rsidP="00CB740B">
      <w:pPr>
        <w:pStyle w:val="ListParagraph"/>
        <w:numPr>
          <w:ilvl w:val="0"/>
          <w:numId w:val="38"/>
        </w:numPr>
        <w:tabs>
          <w:tab w:val="left" w:pos="721"/>
        </w:tabs>
        <w:spacing w:line="276" w:lineRule="auto"/>
        <w:ind w:right="796"/>
        <w:jc w:val="both"/>
      </w:pPr>
      <w:r w:rsidRPr="008D77D8">
        <w:t>Completion of the lead service replacement (</w:t>
      </w:r>
      <w:r w:rsidR="008E06CD" w:rsidRPr="008D77D8">
        <w:t>e.g.,</w:t>
      </w:r>
      <w:r w:rsidRPr="008D77D8">
        <w:t xml:space="preserve"> plumbing invoice to property owner </w:t>
      </w:r>
      <w:r w:rsidR="008E06CD" w:rsidRPr="008D77D8">
        <w:t>or to</w:t>
      </w:r>
      <w:r w:rsidRPr="008D77D8">
        <w:t xml:space="preserve"> the waterworks showing the address of the work and total cost of work)</w:t>
      </w:r>
    </w:p>
    <w:p w14:paraId="5F7D1495" w14:textId="3C5D1A86" w:rsidR="00896044" w:rsidRPr="008D77D8" w:rsidRDefault="00730F67" w:rsidP="00CB740B">
      <w:pPr>
        <w:pStyle w:val="ListParagraph"/>
        <w:numPr>
          <w:ilvl w:val="0"/>
          <w:numId w:val="38"/>
        </w:numPr>
        <w:tabs>
          <w:tab w:val="left" w:pos="721"/>
        </w:tabs>
        <w:spacing w:line="276" w:lineRule="auto"/>
        <w:ind w:right="796"/>
        <w:jc w:val="both"/>
      </w:pPr>
      <w:r w:rsidRPr="008D77D8">
        <w:t>Waterworks confirmation completion (</w:t>
      </w:r>
      <w:r w:rsidR="008E06CD" w:rsidRPr="008D77D8">
        <w:t>e.g.,</w:t>
      </w:r>
      <w:r w:rsidRPr="008D77D8">
        <w:t xml:space="preserve"> copy of waterworks or final </w:t>
      </w:r>
      <w:r w:rsidR="008E06CD" w:rsidRPr="008D77D8">
        <w:t>building inspectors</w:t>
      </w:r>
      <w:r w:rsidRPr="008D77D8">
        <w:t xml:space="preserve"> report</w:t>
      </w:r>
      <w:r w:rsidR="002B3E30" w:rsidRPr="008D77D8">
        <w:t>, plumbing permit</w:t>
      </w:r>
      <w:r w:rsidRPr="008D77D8">
        <w:t>)</w:t>
      </w:r>
    </w:p>
    <w:p w14:paraId="5C8B866C" w14:textId="5ACF4FA9" w:rsidR="00896044" w:rsidRPr="008D77D8" w:rsidRDefault="00730F67" w:rsidP="00CB740B">
      <w:pPr>
        <w:pStyle w:val="ListParagraph"/>
        <w:numPr>
          <w:ilvl w:val="0"/>
          <w:numId w:val="38"/>
        </w:numPr>
        <w:tabs>
          <w:tab w:val="left" w:pos="721"/>
        </w:tabs>
        <w:spacing w:line="276" w:lineRule="auto"/>
        <w:ind w:right="796"/>
        <w:jc w:val="both"/>
      </w:pPr>
      <w:r w:rsidRPr="008D77D8">
        <w:t xml:space="preserve">Waterworks payment confirmation of past rebates provided to the </w:t>
      </w:r>
      <w:r w:rsidR="008E06CD" w:rsidRPr="008D77D8">
        <w:t>homeowners</w:t>
      </w:r>
      <w:r w:rsidRPr="008D77D8">
        <w:t xml:space="preserve"> or authorized third party to avoid any duplicate payments. Property addresses must </w:t>
      </w:r>
      <w:r w:rsidR="002B3E30" w:rsidRPr="008D77D8">
        <w:t>be shown.</w:t>
      </w:r>
    </w:p>
    <w:p w14:paraId="29B9BCF3" w14:textId="42E147FF" w:rsidR="00896044" w:rsidRPr="008D77D8" w:rsidRDefault="00730F67" w:rsidP="00CB740B">
      <w:pPr>
        <w:pStyle w:val="ListParagraph"/>
        <w:numPr>
          <w:ilvl w:val="0"/>
          <w:numId w:val="38"/>
        </w:numPr>
        <w:tabs>
          <w:tab w:val="left" w:pos="721"/>
        </w:tabs>
        <w:spacing w:line="276" w:lineRule="auto"/>
        <w:ind w:right="796"/>
        <w:jc w:val="both"/>
      </w:pPr>
      <w:r w:rsidRPr="008D77D8">
        <w:t xml:space="preserve">A running tally of all residences/addresses that had service line replacements done </w:t>
      </w:r>
      <w:r w:rsidR="002B3E30" w:rsidRPr="008D77D8">
        <w:t>under this</w:t>
      </w:r>
      <w:r w:rsidRPr="008D77D8">
        <w:t xml:space="preserve"> program to avoid any duplicate payments.</w:t>
      </w:r>
      <w:r w:rsidR="00D727FF" w:rsidRPr="008D77D8">
        <w:t xml:space="preserve"> </w:t>
      </w:r>
      <w:r w:rsidRPr="008D77D8">
        <w:t>Property addresses must be shown.</w:t>
      </w:r>
    </w:p>
    <w:p w14:paraId="35EAD6F4" w14:textId="5E2FDD16" w:rsidR="00086400" w:rsidRPr="008D77D8" w:rsidRDefault="00086400" w:rsidP="00CB740B">
      <w:pPr>
        <w:pStyle w:val="ListParagraph"/>
        <w:numPr>
          <w:ilvl w:val="0"/>
          <w:numId w:val="38"/>
        </w:numPr>
        <w:tabs>
          <w:tab w:val="left" w:pos="721"/>
        </w:tabs>
        <w:spacing w:line="276" w:lineRule="auto"/>
        <w:ind w:right="796"/>
        <w:jc w:val="both"/>
      </w:pPr>
      <w:r w:rsidRPr="008D77D8">
        <w:t xml:space="preserve">Contractor Compliance Certification Statement to address AIS </w:t>
      </w:r>
      <w:r w:rsidR="00287AA3" w:rsidRPr="008D77D8">
        <w:t xml:space="preserve">and/or BABA </w:t>
      </w:r>
      <w:r w:rsidRPr="008D77D8">
        <w:t xml:space="preserve">requirements – provided by VDH </w:t>
      </w:r>
    </w:p>
    <w:p w14:paraId="60DF05ED" w14:textId="77777777" w:rsidR="00086400" w:rsidRPr="008D77D8" w:rsidRDefault="00086400" w:rsidP="00CB740B">
      <w:pPr>
        <w:pStyle w:val="ListParagraph"/>
        <w:numPr>
          <w:ilvl w:val="0"/>
          <w:numId w:val="38"/>
        </w:numPr>
        <w:tabs>
          <w:tab w:val="left" w:pos="721"/>
        </w:tabs>
        <w:spacing w:line="276" w:lineRule="auto"/>
        <w:ind w:right="796"/>
        <w:jc w:val="both"/>
      </w:pPr>
      <w:r w:rsidRPr="008D77D8">
        <w:t>Photo documentation at minimum should include:</w:t>
      </w:r>
    </w:p>
    <w:p w14:paraId="5B6C4207" w14:textId="73DD9004" w:rsidR="00086400" w:rsidRPr="008D77D8" w:rsidRDefault="00086400" w:rsidP="00CB740B">
      <w:pPr>
        <w:pStyle w:val="ListParagraph"/>
        <w:numPr>
          <w:ilvl w:val="1"/>
          <w:numId w:val="22"/>
        </w:numPr>
        <w:tabs>
          <w:tab w:val="left" w:pos="1081"/>
        </w:tabs>
        <w:spacing w:line="276" w:lineRule="auto"/>
        <w:ind w:right="561"/>
        <w:jc w:val="both"/>
      </w:pPr>
      <w:r w:rsidRPr="008D77D8">
        <w:t>Before/after photos of the interior connection on the private property (usually in basement or crawlspace)</w:t>
      </w:r>
    </w:p>
    <w:p w14:paraId="6B7E2C9F" w14:textId="514CB7C2" w:rsidR="00086400" w:rsidRPr="008D77D8" w:rsidRDefault="00086400" w:rsidP="00CB740B">
      <w:pPr>
        <w:pStyle w:val="ListParagraph"/>
        <w:numPr>
          <w:ilvl w:val="1"/>
          <w:numId w:val="22"/>
        </w:numPr>
        <w:tabs>
          <w:tab w:val="left" w:pos="1081"/>
        </w:tabs>
        <w:spacing w:line="276" w:lineRule="auto"/>
        <w:ind w:right="561"/>
        <w:jc w:val="both"/>
      </w:pPr>
      <w:r w:rsidRPr="008D77D8">
        <w:t xml:space="preserve">Before/after photos of the service line exterior to the property. New service line should be visible. Old </w:t>
      </w:r>
      <w:r w:rsidRPr="008D77D8">
        <w:lastRenderedPageBreak/>
        <w:t>service line should be removed/disconnected.</w:t>
      </w:r>
    </w:p>
    <w:p w14:paraId="5769322C" w14:textId="77777777" w:rsidR="006902C6" w:rsidRPr="008D77D8" w:rsidRDefault="00086400" w:rsidP="00CB740B">
      <w:pPr>
        <w:pStyle w:val="ListParagraph"/>
        <w:numPr>
          <w:ilvl w:val="1"/>
          <w:numId w:val="22"/>
        </w:numPr>
        <w:tabs>
          <w:tab w:val="left" w:pos="1081"/>
        </w:tabs>
        <w:spacing w:after="240" w:line="276" w:lineRule="auto"/>
        <w:ind w:right="561"/>
        <w:jc w:val="both"/>
      </w:pPr>
      <w:r w:rsidRPr="008D77D8">
        <w:t>Photo of property at LSL address to determine that LSL work was performed at the correct address.</w:t>
      </w:r>
    </w:p>
    <w:p w14:paraId="6865C55F" w14:textId="29E87F52" w:rsidR="00F36C21" w:rsidRPr="008D77D8" w:rsidRDefault="00F36C21" w:rsidP="00476E0A">
      <w:pPr>
        <w:pBdr>
          <w:top w:val="single" w:sz="4" w:space="1" w:color="auto"/>
          <w:left w:val="single" w:sz="4" w:space="4" w:color="auto"/>
          <w:bottom w:val="single" w:sz="4" w:space="1" w:color="auto"/>
          <w:right w:val="single" w:sz="4" w:space="4" w:color="auto"/>
        </w:pBdr>
        <w:tabs>
          <w:tab w:val="left" w:pos="2161"/>
        </w:tabs>
        <w:spacing w:before="10" w:line="259" w:lineRule="auto"/>
        <w:ind w:right="591"/>
        <w:jc w:val="center"/>
      </w:pPr>
      <w:r w:rsidRPr="008D77D8">
        <w:t>For the latest information, please visit:</w:t>
      </w:r>
      <w:r w:rsidRPr="008D77D8">
        <w:br/>
      </w:r>
      <w:hyperlink r:id="rId58" w:history="1">
        <w:r w:rsidRPr="008D77D8">
          <w:rPr>
            <w:rStyle w:val="Hyperlink"/>
          </w:rPr>
          <w:t>https://www.vdh.virginia.gov/drinking-water/fcap/leap/localities-waterworks/</w:t>
        </w:r>
      </w:hyperlink>
    </w:p>
    <w:sectPr w:rsidR="00F36C21" w:rsidRPr="008D77D8">
      <w:pgSz w:w="12240" w:h="15840"/>
      <w:pgMar w:top="1200" w:right="600" w:bottom="1000" w:left="1080" w:header="723"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53A3" w14:textId="77777777" w:rsidR="00885DE3" w:rsidRDefault="00885DE3">
      <w:r>
        <w:separator/>
      </w:r>
    </w:p>
  </w:endnote>
  <w:endnote w:type="continuationSeparator" w:id="0">
    <w:p w14:paraId="00DCB100" w14:textId="77777777" w:rsidR="00885DE3" w:rsidRDefault="0088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40C1" w14:textId="2914847C" w:rsidR="00362682" w:rsidRDefault="00046EA9">
    <w:pPr>
      <w:pStyle w:val="BodyText"/>
      <w:spacing w:line="14" w:lineRule="auto"/>
      <w:rPr>
        <w:sz w:val="20"/>
      </w:rPr>
    </w:pPr>
    <w:r>
      <w:rPr>
        <w:noProof/>
      </w:rPr>
      <mc:AlternateContent>
        <mc:Choice Requires="wps">
          <w:drawing>
            <wp:anchor distT="0" distB="0" distL="114300" distR="114300" simplePos="0" relativeHeight="486898688" behindDoc="1" locked="0" layoutInCell="1" allowOverlap="1" wp14:anchorId="41C18E8D" wp14:editId="1F39D0C0">
              <wp:simplePos x="0" y="0"/>
              <wp:positionH relativeFrom="page">
                <wp:posOffset>5824497</wp:posOffset>
              </wp:positionH>
              <wp:positionV relativeFrom="page">
                <wp:posOffset>9412941</wp:posOffset>
              </wp:positionV>
              <wp:extent cx="1014186" cy="253365"/>
              <wp:effectExtent l="0" t="0" r="14605" b="13335"/>
              <wp:wrapNone/>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186"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B8B9" w14:textId="77777777" w:rsidR="00F56B08" w:rsidRDefault="00F56B08" w:rsidP="00F56B08">
                          <w:pPr>
                            <w:spacing w:before="14"/>
                            <w:ind w:left="20"/>
                            <w:rPr>
                              <w:sz w:val="16"/>
                            </w:rPr>
                          </w:pPr>
                          <w:r>
                            <w:rPr>
                              <w:spacing w:val="-1"/>
                              <w:sz w:val="16"/>
                            </w:rPr>
                            <w:t>March 2026</w:t>
                          </w:r>
                        </w:p>
                        <w:p w14:paraId="3CDDEAEF" w14:textId="31E449E6" w:rsidR="00362682" w:rsidRDefault="00362682" w:rsidP="00476E0A">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8E8D" id="_x0000_t202" coordsize="21600,21600" o:spt="202" path="m,l,21600r21600,l21600,xe">
              <v:stroke joinstyle="miter"/>
              <v:path gradientshapeok="t" o:connecttype="rect"/>
            </v:shapetype>
            <v:shape id="docshape2" o:spid="_x0000_s1026" type="#_x0000_t202" style="position:absolute;margin-left:458.6pt;margin-top:741.2pt;width:79.85pt;height:19.95pt;z-index:-164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" filled="f" stroked="f">
              <v:textbox inset="0,0,0,0">
                <w:txbxContent>
                  <w:p w14:paraId="1DF3B8B9" w14:textId="77777777" w:rsidR="00F56B08" w:rsidRDefault="00F56B08" w:rsidP="00F56B08">
                    <w:pPr>
                      <w:spacing w:before="14"/>
                      <w:ind w:left="20"/>
                      <w:rPr>
                        <w:sz w:val="16"/>
                      </w:rPr>
                    </w:pPr>
                    <w:r>
                      <w:rPr>
                        <w:spacing w:val="-1"/>
                        <w:sz w:val="16"/>
                      </w:rPr>
                      <w:t>March 2026</w:t>
                    </w:r>
                  </w:p>
                  <w:p w14:paraId="3CDDEAEF" w14:textId="31E449E6" w:rsidR="00362682" w:rsidRDefault="00362682" w:rsidP="00476E0A">
                    <w:pPr>
                      <w:spacing w:before="14"/>
                      <w:rPr>
                        <w:sz w:val="16"/>
                      </w:rPr>
                    </w:pPr>
                  </w:p>
                </w:txbxContent>
              </v:textbox>
              <w10:wrap anchorx="page" anchory="page"/>
            </v:shape>
          </w:pict>
        </mc:Fallback>
      </mc:AlternateContent>
    </w:r>
    <w:r w:rsidR="00362682">
      <w:rPr>
        <w:noProof/>
      </w:rPr>
      <mc:AlternateContent>
        <mc:Choice Requires="wps">
          <w:drawing>
            <wp:anchor distT="0" distB="0" distL="114300" distR="114300" simplePos="0" relativeHeight="486898176" behindDoc="1" locked="0" layoutInCell="1" allowOverlap="1" wp14:anchorId="2189E276" wp14:editId="5BC5E709">
              <wp:simplePos x="0" y="0"/>
              <wp:positionH relativeFrom="page">
                <wp:posOffset>810260</wp:posOffset>
              </wp:positionH>
              <wp:positionV relativeFrom="page">
                <wp:posOffset>9391650</wp:posOffset>
              </wp:positionV>
              <wp:extent cx="2886710" cy="16573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7818" w14:textId="77777777" w:rsidR="00362682" w:rsidRDefault="00362682">
                          <w:pPr>
                            <w:spacing w:before="10"/>
                            <w:ind w:left="20"/>
                            <w:rPr>
                              <w:sz w:val="20"/>
                            </w:rPr>
                          </w:pPr>
                          <w:r>
                            <w:rPr>
                              <w:sz w:val="20"/>
                            </w:rPr>
                            <w:t>Virginia</w:t>
                          </w:r>
                          <w:r>
                            <w:rPr>
                              <w:spacing w:val="-4"/>
                              <w:sz w:val="20"/>
                            </w:rPr>
                            <w:t xml:space="preserve"> </w:t>
                          </w:r>
                          <w:r>
                            <w:rPr>
                              <w:sz w:val="20"/>
                            </w:rPr>
                            <w:t>Drinking</w:t>
                          </w:r>
                          <w:r>
                            <w:rPr>
                              <w:spacing w:val="-4"/>
                              <w:sz w:val="20"/>
                            </w:rPr>
                            <w:t xml:space="preserve"> </w:t>
                          </w:r>
                          <w:r>
                            <w:rPr>
                              <w:sz w:val="20"/>
                            </w:rPr>
                            <w:t>Water</w:t>
                          </w:r>
                          <w:r>
                            <w:rPr>
                              <w:spacing w:val="-2"/>
                              <w:sz w:val="20"/>
                            </w:rPr>
                            <w:t xml:space="preserve"> </w:t>
                          </w:r>
                          <w:r>
                            <w:rPr>
                              <w:sz w:val="20"/>
                            </w:rPr>
                            <w:t>State</w:t>
                          </w:r>
                          <w:r>
                            <w:rPr>
                              <w:spacing w:val="-1"/>
                              <w:sz w:val="20"/>
                            </w:rPr>
                            <w:t xml:space="preserve"> </w:t>
                          </w:r>
                          <w:r>
                            <w:rPr>
                              <w:sz w:val="20"/>
                            </w:rPr>
                            <w:t>Revolving</w:t>
                          </w:r>
                          <w:r>
                            <w:rPr>
                              <w:spacing w:val="-4"/>
                              <w:sz w:val="20"/>
                            </w:rPr>
                            <w:t xml:space="preserve"> </w:t>
                          </w:r>
                          <w:r>
                            <w:rPr>
                              <w:sz w:val="20"/>
                            </w:rPr>
                            <w:t>Fund</w:t>
                          </w:r>
                          <w:r>
                            <w:rPr>
                              <w:spacing w:val="-2"/>
                              <w:sz w:val="20"/>
                            </w:rPr>
                            <w:t xml:space="preserve"> </w:t>
                          </w:r>
                          <w:r>
                            <w:rPr>
                              <w:sz w:val="20"/>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9E276" id="docshape1" o:spid="_x0000_s1027" type="#_x0000_t202" style="position:absolute;margin-left:63.8pt;margin-top:739.5pt;width:227.3pt;height:13.05pt;z-index:-164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" filled="f" stroked="f">
              <v:textbox inset="0,0,0,0">
                <w:txbxContent>
                  <w:p w14:paraId="49B77818" w14:textId="77777777" w:rsidR="00362682" w:rsidRDefault="00362682">
                    <w:pPr>
                      <w:spacing w:before="10"/>
                      <w:ind w:left="20"/>
                      <w:rPr>
                        <w:sz w:val="20"/>
                      </w:rPr>
                    </w:pPr>
                    <w:r>
                      <w:rPr>
                        <w:sz w:val="20"/>
                      </w:rPr>
                      <w:t>Virginia</w:t>
                    </w:r>
                    <w:r>
                      <w:rPr>
                        <w:spacing w:val="-4"/>
                        <w:sz w:val="20"/>
                      </w:rPr>
                      <w:t xml:space="preserve"> </w:t>
                    </w:r>
                    <w:r>
                      <w:rPr>
                        <w:sz w:val="20"/>
                      </w:rPr>
                      <w:t>Drinking</w:t>
                    </w:r>
                    <w:r>
                      <w:rPr>
                        <w:spacing w:val="-4"/>
                        <w:sz w:val="20"/>
                      </w:rPr>
                      <w:t xml:space="preserve"> </w:t>
                    </w:r>
                    <w:r>
                      <w:rPr>
                        <w:sz w:val="20"/>
                      </w:rPr>
                      <w:t>Water</w:t>
                    </w:r>
                    <w:r>
                      <w:rPr>
                        <w:spacing w:val="-2"/>
                        <w:sz w:val="20"/>
                      </w:rPr>
                      <w:t xml:space="preserve"> </w:t>
                    </w:r>
                    <w:r>
                      <w:rPr>
                        <w:sz w:val="20"/>
                      </w:rPr>
                      <w:t>State</w:t>
                    </w:r>
                    <w:r>
                      <w:rPr>
                        <w:spacing w:val="-1"/>
                        <w:sz w:val="20"/>
                      </w:rPr>
                      <w:t xml:space="preserve"> </w:t>
                    </w:r>
                    <w:r>
                      <w:rPr>
                        <w:sz w:val="20"/>
                      </w:rPr>
                      <w:t>Revolving</w:t>
                    </w:r>
                    <w:r>
                      <w:rPr>
                        <w:spacing w:val="-4"/>
                        <w:sz w:val="20"/>
                      </w:rPr>
                      <w:t xml:space="preserve"> </w:t>
                    </w:r>
                    <w:r>
                      <w:rPr>
                        <w:sz w:val="20"/>
                      </w:rPr>
                      <w:t>Fund</w:t>
                    </w:r>
                    <w:r>
                      <w:rPr>
                        <w:spacing w:val="-2"/>
                        <w:sz w:val="20"/>
                      </w:rPr>
                      <w:t xml:space="preserve"> </w:t>
                    </w:r>
                    <w:r>
                      <w:rPr>
                        <w:sz w:val="20"/>
                      </w:rPr>
                      <w:t>Program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F54B" w14:textId="4E3156BB" w:rsidR="00362682" w:rsidRDefault="00046EA9">
    <w:pPr>
      <w:pStyle w:val="BodyText"/>
      <w:spacing w:line="14" w:lineRule="auto"/>
      <w:rPr>
        <w:sz w:val="20"/>
      </w:rPr>
    </w:pPr>
    <w:r>
      <w:rPr>
        <w:noProof/>
      </w:rPr>
      <mc:AlternateContent>
        <mc:Choice Requires="wps">
          <w:drawing>
            <wp:anchor distT="0" distB="0" distL="114300" distR="114300" simplePos="0" relativeHeight="486900736" behindDoc="1" locked="0" layoutInCell="1" allowOverlap="1" wp14:anchorId="69FEA948" wp14:editId="62548CEC">
              <wp:simplePos x="0" y="0"/>
              <wp:positionH relativeFrom="page">
                <wp:posOffset>5820655</wp:posOffset>
              </wp:positionH>
              <wp:positionV relativeFrom="page">
                <wp:posOffset>9435993</wp:posOffset>
              </wp:positionV>
              <wp:extent cx="1063535" cy="238205"/>
              <wp:effectExtent l="0" t="0" r="3810" b="9525"/>
              <wp:wrapNone/>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535" cy="23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4C29" w14:textId="71F54001" w:rsidR="00362682" w:rsidRDefault="00870F3B">
                          <w:pPr>
                            <w:spacing w:before="14"/>
                            <w:ind w:left="20"/>
                            <w:rPr>
                              <w:sz w:val="16"/>
                            </w:rPr>
                          </w:pPr>
                          <w:r>
                            <w:rPr>
                              <w:spacing w:val="-1"/>
                              <w:sz w:val="16"/>
                            </w:rPr>
                            <w:t>March</w:t>
                          </w:r>
                          <w:r w:rsidR="008D23C6">
                            <w:rPr>
                              <w:spacing w:val="-1"/>
                              <w:sz w:val="16"/>
                            </w:rPr>
                            <w:t xml:space="preserve"> 202</w:t>
                          </w:r>
                          <w:r>
                            <w:rPr>
                              <w:spacing w:val="-1"/>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EA948" id="_x0000_t202" coordsize="21600,21600" o:spt="202" path="m,l,21600r21600,l21600,xe">
              <v:stroke joinstyle="miter"/>
              <v:path gradientshapeok="t" o:connecttype="rect"/>
            </v:shapetype>
            <v:shape id="docshape6" o:spid="_x0000_s1030" type="#_x0000_t202" style="position:absolute;margin-left:458.3pt;margin-top:743pt;width:83.75pt;height:18.75pt;z-index:-164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" filled="f" stroked="f">
              <v:textbox inset="0,0,0,0">
                <w:txbxContent>
                  <w:p w14:paraId="532D4C29" w14:textId="71F54001" w:rsidR="00362682" w:rsidRDefault="00870F3B">
                    <w:pPr>
                      <w:spacing w:before="14"/>
                      <w:ind w:left="20"/>
                      <w:rPr>
                        <w:sz w:val="16"/>
                      </w:rPr>
                    </w:pPr>
                    <w:r>
                      <w:rPr>
                        <w:spacing w:val="-1"/>
                        <w:sz w:val="16"/>
                      </w:rPr>
                      <w:t>March</w:t>
                    </w:r>
                    <w:r w:rsidR="008D23C6">
                      <w:rPr>
                        <w:spacing w:val="-1"/>
                        <w:sz w:val="16"/>
                      </w:rPr>
                      <w:t xml:space="preserve"> 202</w:t>
                    </w:r>
                    <w:r>
                      <w:rPr>
                        <w:spacing w:val="-1"/>
                        <w:sz w:val="16"/>
                      </w:rPr>
                      <w:t>6</w:t>
                    </w:r>
                  </w:p>
                </w:txbxContent>
              </v:textbox>
              <w10:wrap anchorx="page" anchory="page"/>
            </v:shape>
          </w:pict>
        </mc:Fallback>
      </mc:AlternateContent>
    </w:r>
    <w:r w:rsidR="00362682">
      <w:rPr>
        <w:noProof/>
      </w:rPr>
      <mc:AlternateContent>
        <mc:Choice Requires="wps">
          <w:drawing>
            <wp:anchor distT="0" distB="0" distL="114300" distR="114300" simplePos="0" relativeHeight="486900224" behindDoc="1" locked="0" layoutInCell="1" allowOverlap="1" wp14:anchorId="06118A98" wp14:editId="71FAE5C2">
              <wp:simplePos x="0" y="0"/>
              <wp:positionH relativeFrom="page">
                <wp:posOffset>821055</wp:posOffset>
              </wp:positionH>
              <wp:positionV relativeFrom="page">
                <wp:posOffset>9424670</wp:posOffset>
              </wp:positionV>
              <wp:extent cx="2886710" cy="165735"/>
              <wp:effectExtent l="0" t="0" r="0" b="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D89C0" w14:textId="77777777" w:rsidR="00362682" w:rsidRDefault="00362682">
                          <w:pPr>
                            <w:spacing w:before="10"/>
                            <w:ind w:left="20"/>
                            <w:rPr>
                              <w:sz w:val="20"/>
                            </w:rPr>
                          </w:pPr>
                          <w:r>
                            <w:rPr>
                              <w:sz w:val="20"/>
                            </w:rPr>
                            <w:t>Virginia</w:t>
                          </w:r>
                          <w:r>
                            <w:rPr>
                              <w:spacing w:val="-4"/>
                              <w:sz w:val="20"/>
                            </w:rPr>
                            <w:t xml:space="preserve"> </w:t>
                          </w:r>
                          <w:r>
                            <w:rPr>
                              <w:sz w:val="20"/>
                            </w:rPr>
                            <w:t>Drinking</w:t>
                          </w:r>
                          <w:r>
                            <w:rPr>
                              <w:spacing w:val="-4"/>
                              <w:sz w:val="20"/>
                            </w:rPr>
                            <w:t xml:space="preserve"> </w:t>
                          </w:r>
                          <w:r>
                            <w:rPr>
                              <w:sz w:val="20"/>
                            </w:rPr>
                            <w:t>Water</w:t>
                          </w:r>
                          <w:r>
                            <w:rPr>
                              <w:spacing w:val="-2"/>
                              <w:sz w:val="20"/>
                            </w:rPr>
                            <w:t xml:space="preserve"> </w:t>
                          </w:r>
                          <w:r>
                            <w:rPr>
                              <w:sz w:val="20"/>
                            </w:rPr>
                            <w:t>State</w:t>
                          </w:r>
                          <w:r>
                            <w:rPr>
                              <w:spacing w:val="-1"/>
                              <w:sz w:val="20"/>
                            </w:rPr>
                            <w:t xml:space="preserve"> </w:t>
                          </w:r>
                          <w:r>
                            <w:rPr>
                              <w:sz w:val="20"/>
                            </w:rPr>
                            <w:t>Revolving</w:t>
                          </w:r>
                          <w:r>
                            <w:rPr>
                              <w:spacing w:val="-4"/>
                              <w:sz w:val="20"/>
                            </w:rPr>
                            <w:t xml:space="preserve"> </w:t>
                          </w:r>
                          <w:r>
                            <w:rPr>
                              <w:sz w:val="20"/>
                            </w:rPr>
                            <w:t>Fund</w:t>
                          </w:r>
                          <w:r>
                            <w:rPr>
                              <w:spacing w:val="-2"/>
                              <w:sz w:val="20"/>
                            </w:rPr>
                            <w:t xml:space="preserve"> </w:t>
                          </w:r>
                          <w:r>
                            <w:rPr>
                              <w:sz w:val="20"/>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18A98" id="docshape5" o:spid="_x0000_s1031" type="#_x0000_t202" style="position:absolute;margin-left:64.65pt;margin-top:742.1pt;width:227.3pt;height:13.05pt;z-index:-164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" filled="f" stroked="f">
              <v:textbox inset="0,0,0,0">
                <w:txbxContent>
                  <w:p w14:paraId="195D89C0" w14:textId="77777777" w:rsidR="00362682" w:rsidRDefault="00362682">
                    <w:pPr>
                      <w:spacing w:before="10"/>
                      <w:ind w:left="20"/>
                      <w:rPr>
                        <w:sz w:val="20"/>
                      </w:rPr>
                    </w:pPr>
                    <w:r>
                      <w:rPr>
                        <w:sz w:val="20"/>
                      </w:rPr>
                      <w:t>Virginia</w:t>
                    </w:r>
                    <w:r>
                      <w:rPr>
                        <w:spacing w:val="-4"/>
                        <w:sz w:val="20"/>
                      </w:rPr>
                      <w:t xml:space="preserve"> </w:t>
                    </w:r>
                    <w:r>
                      <w:rPr>
                        <w:sz w:val="20"/>
                      </w:rPr>
                      <w:t>Drinking</w:t>
                    </w:r>
                    <w:r>
                      <w:rPr>
                        <w:spacing w:val="-4"/>
                        <w:sz w:val="20"/>
                      </w:rPr>
                      <w:t xml:space="preserve"> </w:t>
                    </w:r>
                    <w:r>
                      <w:rPr>
                        <w:sz w:val="20"/>
                      </w:rPr>
                      <w:t>Water</w:t>
                    </w:r>
                    <w:r>
                      <w:rPr>
                        <w:spacing w:val="-2"/>
                        <w:sz w:val="20"/>
                      </w:rPr>
                      <w:t xml:space="preserve"> </w:t>
                    </w:r>
                    <w:r>
                      <w:rPr>
                        <w:sz w:val="20"/>
                      </w:rPr>
                      <w:t>State</w:t>
                    </w:r>
                    <w:r>
                      <w:rPr>
                        <w:spacing w:val="-1"/>
                        <w:sz w:val="20"/>
                      </w:rPr>
                      <w:t xml:space="preserve"> </w:t>
                    </w:r>
                    <w:r>
                      <w:rPr>
                        <w:sz w:val="20"/>
                      </w:rPr>
                      <w:t>Revolving</w:t>
                    </w:r>
                    <w:r>
                      <w:rPr>
                        <w:spacing w:val="-4"/>
                        <w:sz w:val="20"/>
                      </w:rPr>
                      <w:t xml:space="preserve"> </w:t>
                    </w:r>
                    <w:r>
                      <w:rPr>
                        <w:sz w:val="20"/>
                      </w:rPr>
                      <w:t>Fund</w:t>
                    </w:r>
                    <w:r>
                      <w:rPr>
                        <w:spacing w:val="-2"/>
                        <w:sz w:val="20"/>
                      </w:rPr>
                      <w:t xml:space="preserve"> </w:t>
                    </w:r>
                    <w:r>
                      <w:rPr>
                        <w:sz w:val="20"/>
                      </w:rPr>
                      <w:t>Program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673D" w14:textId="1C506854" w:rsidR="00362682" w:rsidRDefault="00960922">
    <w:pPr>
      <w:pStyle w:val="BodyText"/>
      <w:spacing w:line="14" w:lineRule="auto"/>
      <w:rPr>
        <w:sz w:val="20"/>
      </w:rPr>
    </w:pPr>
    <w:r>
      <w:rPr>
        <w:noProof/>
      </w:rPr>
      <mc:AlternateContent>
        <mc:Choice Requires="wps">
          <w:drawing>
            <wp:anchor distT="0" distB="0" distL="114300" distR="114300" simplePos="0" relativeHeight="486902784" behindDoc="1" locked="0" layoutInCell="1" allowOverlap="1" wp14:anchorId="130B3003" wp14:editId="3068B339">
              <wp:simplePos x="0" y="0"/>
              <wp:positionH relativeFrom="page">
                <wp:posOffset>6012815</wp:posOffset>
              </wp:positionH>
              <wp:positionV relativeFrom="page">
                <wp:posOffset>9406890</wp:posOffset>
              </wp:positionV>
              <wp:extent cx="917575" cy="152400"/>
              <wp:effectExtent l="0" t="0" r="15875" b="0"/>
              <wp:wrapNone/>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4EFD" w14:textId="77777777" w:rsidR="00F56B08" w:rsidRDefault="00F56B08" w:rsidP="00F56B08">
                          <w:pPr>
                            <w:spacing w:before="14"/>
                            <w:ind w:left="20"/>
                            <w:rPr>
                              <w:sz w:val="16"/>
                            </w:rPr>
                          </w:pPr>
                          <w:r>
                            <w:rPr>
                              <w:spacing w:val="-1"/>
                              <w:sz w:val="16"/>
                            </w:rPr>
                            <w:t>March 2026</w:t>
                          </w:r>
                        </w:p>
                        <w:p w14:paraId="19818BEF" w14:textId="79B6A376" w:rsidR="00362682" w:rsidRDefault="00362682">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B3003" id="_x0000_t202" coordsize="21600,21600" o:spt="202" path="m,l,21600r21600,l21600,xe">
              <v:stroke joinstyle="miter"/>
              <v:path gradientshapeok="t" o:connecttype="rect"/>
            </v:shapetype>
            <v:shape id="docshape10" o:spid="_x0000_s1034" type="#_x0000_t202" style="position:absolute;margin-left:473.45pt;margin-top:740.7pt;width:72.25pt;height:12pt;z-index:-164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" filled="f" stroked="f">
              <v:textbox inset="0,0,0,0">
                <w:txbxContent>
                  <w:p w14:paraId="1C1E4EFD" w14:textId="77777777" w:rsidR="00F56B08" w:rsidRDefault="00F56B08" w:rsidP="00F56B08">
                    <w:pPr>
                      <w:spacing w:before="14"/>
                      <w:ind w:left="20"/>
                      <w:rPr>
                        <w:sz w:val="16"/>
                      </w:rPr>
                    </w:pPr>
                    <w:r>
                      <w:rPr>
                        <w:spacing w:val="-1"/>
                        <w:sz w:val="16"/>
                      </w:rPr>
                      <w:t>March 2026</w:t>
                    </w:r>
                  </w:p>
                  <w:p w14:paraId="19818BEF" w14:textId="79B6A376" w:rsidR="00362682" w:rsidRDefault="00362682">
                    <w:pPr>
                      <w:spacing w:before="12"/>
                      <w:ind w:left="20"/>
                      <w:rPr>
                        <w:sz w:val="18"/>
                      </w:rPr>
                    </w:pPr>
                  </w:p>
                </w:txbxContent>
              </v:textbox>
              <w10:wrap anchorx="page" anchory="page"/>
            </v:shape>
          </w:pict>
        </mc:Fallback>
      </mc:AlternateContent>
    </w:r>
    <w:r w:rsidR="00362682">
      <w:rPr>
        <w:noProof/>
      </w:rPr>
      <mc:AlternateContent>
        <mc:Choice Requires="wps">
          <w:drawing>
            <wp:anchor distT="0" distB="0" distL="114300" distR="114300" simplePos="0" relativeHeight="486902272" behindDoc="1" locked="0" layoutInCell="1" allowOverlap="1" wp14:anchorId="7B5BFD23" wp14:editId="53BF2AB8">
              <wp:simplePos x="0" y="0"/>
              <wp:positionH relativeFrom="page">
                <wp:posOffset>901700</wp:posOffset>
              </wp:positionH>
              <wp:positionV relativeFrom="page">
                <wp:posOffset>9405620</wp:posOffset>
              </wp:positionV>
              <wp:extent cx="2603500" cy="152400"/>
              <wp:effectExtent l="0" t="0" r="0" b="0"/>
              <wp:wrapNone/>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762C" w14:textId="77777777" w:rsidR="00362682" w:rsidRDefault="00362682">
                          <w:pPr>
                            <w:spacing w:before="12"/>
                            <w:ind w:left="20"/>
                            <w:rPr>
                              <w:sz w:val="18"/>
                            </w:rPr>
                          </w:pPr>
                          <w:r>
                            <w:rPr>
                              <w:sz w:val="18"/>
                            </w:rPr>
                            <w:t>Virginia</w:t>
                          </w:r>
                          <w:r>
                            <w:rPr>
                              <w:spacing w:val="-2"/>
                              <w:sz w:val="18"/>
                            </w:rPr>
                            <w:t xml:space="preserve"> </w:t>
                          </w:r>
                          <w:r>
                            <w:rPr>
                              <w:sz w:val="18"/>
                            </w:rPr>
                            <w:t>Drinking</w:t>
                          </w:r>
                          <w:r>
                            <w:rPr>
                              <w:spacing w:val="-3"/>
                              <w:sz w:val="18"/>
                            </w:rPr>
                            <w:t xml:space="preserve"> </w:t>
                          </w:r>
                          <w:r>
                            <w:rPr>
                              <w:sz w:val="18"/>
                            </w:rPr>
                            <w:t>Water</w:t>
                          </w:r>
                          <w:r>
                            <w:rPr>
                              <w:spacing w:val="-1"/>
                              <w:sz w:val="18"/>
                            </w:rPr>
                            <w:t xml:space="preserve"> </w:t>
                          </w:r>
                          <w:r>
                            <w:rPr>
                              <w:sz w:val="18"/>
                            </w:rPr>
                            <w:t>State</w:t>
                          </w:r>
                          <w:r>
                            <w:rPr>
                              <w:spacing w:val="-3"/>
                              <w:sz w:val="18"/>
                            </w:rPr>
                            <w:t xml:space="preserve"> </w:t>
                          </w:r>
                          <w:r>
                            <w:rPr>
                              <w:sz w:val="18"/>
                            </w:rPr>
                            <w:t>Revolving</w:t>
                          </w:r>
                          <w:r>
                            <w:rPr>
                              <w:spacing w:val="-3"/>
                              <w:sz w:val="18"/>
                            </w:rPr>
                            <w:t xml:space="preserve"> </w:t>
                          </w:r>
                          <w:r>
                            <w:rPr>
                              <w:sz w:val="18"/>
                            </w:rPr>
                            <w:t>Fund</w:t>
                          </w:r>
                          <w:r>
                            <w:rPr>
                              <w:spacing w:val="1"/>
                              <w:sz w:val="18"/>
                            </w:rPr>
                            <w:t xml:space="preserve"> </w:t>
                          </w:r>
                          <w:r>
                            <w:rPr>
                              <w:sz w:val="18"/>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FD23" id="docshape9" o:spid="_x0000_s1035" type="#_x0000_t202" style="position:absolute;margin-left:71pt;margin-top:740.6pt;width:205pt;height:12pt;z-index:-164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" filled="f" stroked="f">
              <v:textbox inset="0,0,0,0">
                <w:txbxContent>
                  <w:p w14:paraId="14B3762C" w14:textId="77777777" w:rsidR="00362682" w:rsidRDefault="00362682">
                    <w:pPr>
                      <w:spacing w:before="12"/>
                      <w:ind w:left="20"/>
                      <w:rPr>
                        <w:sz w:val="18"/>
                      </w:rPr>
                    </w:pPr>
                    <w:r>
                      <w:rPr>
                        <w:sz w:val="18"/>
                      </w:rPr>
                      <w:t>Virginia</w:t>
                    </w:r>
                    <w:r>
                      <w:rPr>
                        <w:spacing w:val="-2"/>
                        <w:sz w:val="18"/>
                      </w:rPr>
                      <w:t xml:space="preserve"> </w:t>
                    </w:r>
                    <w:r>
                      <w:rPr>
                        <w:sz w:val="18"/>
                      </w:rPr>
                      <w:t>Drinking</w:t>
                    </w:r>
                    <w:r>
                      <w:rPr>
                        <w:spacing w:val="-3"/>
                        <w:sz w:val="18"/>
                      </w:rPr>
                      <w:t xml:space="preserve"> </w:t>
                    </w:r>
                    <w:r>
                      <w:rPr>
                        <w:sz w:val="18"/>
                      </w:rPr>
                      <w:t>Water</w:t>
                    </w:r>
                    <w:r>
                      <w:rPr>
                        <w:spacing w:val="-1"/>
                        <w:sz w:val="18"/>
                      </w:rPr>
                      <w:t xml:space="preserve"> </w:t>
                    </w:r>
                    <w:r>
                      <w:rPr>
                        <w:sz w:val="18"/>
                      </w:rPr>
                      <w:t>State</w:t>
                    </w:r>
                    <w:r>
                      <w:rPr>
                        <w:spacing w:val="-3"/>
                        <w:sz w:val="18"/>
                      </w:rPr>
                      <w:t xml:space="preserve"> </w:t>
                    </w:r>
                    <w:r>
                      <w:rPr>
                        <w:sz w:val="18"/>
                      </w:rPr>
                      <w:t>Revolving</w:t>
                    </w:r>
                    <w:r>
                      <w:rPr>
                        <w:spacing w:val="-3"/>
                        <w:sz w:val="18"/>
                      </w:rPr>
                      <w:t xml:space="preserve"> </w:t>
                    </w:r>
                    <w:r>
                      <w:rPr>
                        <w:sz w:val="18"/>
                      </w:rPr>
                      <w:t>Fund</w:t>
                    </w:r>
                    <w:r>
                      <w:rPr>
                        <w:spacing w:val="1"/>
                        <w:sz w:val="18"/>
                      </w:rPr>
                      <w:t xml:space="preserve"> </w:t>
                    </w:r>
                    <w:r>
                      <w:rPr>
                        <w:sz w:val="18"/>
                      </w:rPr>
                      <w:t>Program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A689" w14:textId="4DCA3AA6" w:rsidR="00362682" w:rsidRDefault="00046EA9">
    <w:pPr>
      <w:pStyle w:val="BodyText"/>
      <w:spacing w:line="14" w:lineRule="auto"/>
      <w:rPr>
        <w:sz w:val="20"/>
      </w:rPr>
    </w:pPr>
    <w:r>
      <w:rPr>
        <w:noProof/>
      </w:rPr>
      <mc:AlternateContent>
        <mc:Choice Requires="wps">
          <w:drawing>
            <wp:anchor distT="0" distB="0" distL="114300" distR="114300" simplePos="0" relativeHeight="486904832" behindDoc="1" locked="0" layoutInCell="1" allowOverlap="1" wp14:anchorId="73869EAE" wp14:editId="70081A89">
              <wp:simplePos x="0" y="0"/>
              <wp:positionH relativeFrom="page">
                <wp:posOffset>5882128</wp:posOffset>
              </wp:positionH>
              <wp:positionV relativeFrom="page">
                <wp:posOffset>9405257</wp:posOffset>
              </wp:positionV>
              <wp:extent cx="1220224" cy="272783"/>
              <wp:effectExtent l="0" t="0" r="18415" b="13335"/>
              <wp:wrapNone/>
              <wp:docPr id="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224" cy="272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47B07" w14:textId="77777777" w:rsidR="00F56B08" w:rsidRDefault="00F56B08" w:rsidP="00F56B08">
                          <w:pPr>
                            <w:spacing w:before="14"/>
                            <w:ind w:left="20"/>
                            <w:rPr>
                              <w:sz w:val="16"/>
                            </w:rPr>
                          </w:pPr>
                          <w:r>
                            <w:rPr>
                              <w:spacing w:val="-1"/>
                              <w:sz w:val="16"/>
                            </w:rPr>
                            <w:t>March 2026</w:t>
                          </w:r>
                        </w:p>
                        <w:p w14:paraId="5F29F1FA" w14:textId="08BADD65" w:rsidR="00362682" w:rsidRDefault="00362682">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69EAE" id="_x0000_t202" coordsize="21600,21600" o:spt="202" path="m,l,21600r21600,l21600,xe">
              <v:stroke joinstyle="miter"/>
              <v:path gradientshapeok="t" o:connecttype="rect"/>
            </v:shapetype>
            <v:shape id="docshape86" o:spid="_x0000_s1038" type="#_x0000_t202" style="position:absolute;margin-left:463.15pt;margin-top:740.55pt;width:96.1pt;height:21.5pt;z-index:-164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" filled="f" stroked="f">
              <v:textbox inset="0,0,0,0">
                <w:txbxContent>
                  <w:p w14:paraId="7B447B07" w14:textId="77777777" w:rsidR="00F56B08" w:rsidRDefault="00F56B08" w:rsidP="00F56B08">
                    <w:pPr>
                      <w:spacing w:before="14"/>
                      <w:ind w:left="20"/>
                      <w:rPr>
                        <w:sz w:val="16"/>
                      </w:rPr>
                    </w:pPr>
                    <w:r>
                      <w:rPr>
                        <w:spacing w:val="-1"/>
                        <w:sz w:val="16"/>
                      </w:rPr>
                      <w:t>March 2026</w:t>
                    </w:r>
                  </w:p>
                  <w:p w14:paraId="5F29F1FA" w14:textId="08BADD65" w:rsidR="00362682" w:rsidRDefault="00362682">
                    <w:pPr>
                      <w:spacing w:before="12"/>
                      <w:ind w:left="20"/>
                      <w:rPr>
                        <w:sz w:val="18"/>
                      </w:rPr>
                    </w:pPr>
                  </w:p>
                </w:txbxContent>
              </v:textbox>
              <w10:wrap anchorx="page" anchory="page"/>
            </v:shape>
          </w:pict>
        </mc:Fallback>
      </mc:AlternateContent>
    </w:r>
    <w:r w:rsidR="00362682">
      <w:rPr>
        <w:noProof/>
      </w:rPr>
      <mc:AlternateContent>
        <mc:Choice Requires="wps">
          <w:drawing>
            <wp:anchor distT="0" distB="0" distL="114300" distR="114300" simplePos="0" relativeHeight="486904320" behindDoc="1" locked="0" layoutInCell="1" allowOverlap="1" wp14:anchorId="29BDDAFB" wp14:editId="0BCCEED3">
              <wp:simplePos x="0" y="0"/>
              <wp:positionH relativeFrom="page">
                <wp:posOffset>1130300</wp:posOffset>
              </wp:positionH>
              <wp:positionV relativeFrom="page">
                <wp:posOffset>9405620</wp:posOffset>
              </wp:positionV>
              <wp:extent cx="2603500" cy="152400"/>
              <wp:effectExtent l="0" t="0" r="0" b="0"/>
              <wp:wrapNone/>
              <wp:docPr id="4"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C87A" w14:textId="77777777" w:rsidR="00362682" w:rsidRDefault="00362682">
                          <w:pPr>
                            <w:spacing w:before="12"/>
                            <w:ind w:left="20"/>
                            <w:rPr>
                              <w:sz w:val="18"/>
                            </w:rPr>
                          </w:pPr>
                          <w:r>
                            <w:rPr>
                              <w:sz w:val="18"/>
                            </w:rPr>
                            <w:t>Virginia</w:t>
                          </w:r>
                          <w:r>
                            <w:rPr>
                              <w:spacing w:val="-2"/>
                              <w:sz w:val="18"/>
                            </w:rPr>
                            <w:t xml:space="preserve"> </w:t>
                          </w:r>
                          <w:r>
                            <w:rPr>
                              <w:sz w:val="18"/>
                            </w:rPr>
                            <w:t>Drinking</w:t>
                          </w:r>
                          <w:r>
                            <w:rPr>
                              <w:spacing w:val="-3"/>
                              <w:sz w:val="18"/>
                            </w:rPr>
                            <w:t xml:space="preserve"> </w:t>
                          </w:r>
                          <w:r>
                            <w:rPr>
                              <w:sz w:val="18"/>
                            </w:rPr>
                            <w:t>Water</w:t>
                          </w:r>
                          <w:r>
                            <w:rPr>
                              <w:spacing w:val="-1"/>
                              <w:sz w:val="18"/>
                            </w:rPr>
                            <w:t xml:space="preserve"> </w:t>
                          </w:r>
                          <w:r>
                            <w:rPr>
                              <w:sz w:val="18"/>
                            </w:rPr>
                            <w:t>State</w:t>
                          </w:r>
                          <w:r>
                            <w:rPr>
                              <w:spacing w:val="-3"/>
                              <w:sz w:val="18"/>
                            </w:rPr>
                            <w:t xml:space="preserve"> </w:t>
                          </w:r>
                          <w:r>
                            <w:rPr>
                              <w:sz w:val="18"/>
                            </w:rPr>
                            <w:t>Revolving</w:t>
                          </w:r>
                          <w:r>
                            <w:rPr>
                              <w:spacing w:val="-3"/>
                              <w:sz w:val="18"/>
                            </w:rPr>
                            <w:t xml:space="preserve"> </w:t>
                          </w:r>
                          <w:r>
                            <w:rPr>
                              <w:sz w:val="18"/>
                            </w:rPr>
                            <w:t>Fund</w:t>
                          </w:r>
                          <w:r>
                            <w:rPr>
                              <w:spacing w:val="1"/>
                              <w:sz w:val="18"/>
                            </w:rPr>
                            <w:t xml:space="preserve"> </w:t>
                          </w:r>
                          <w:r>
                            <w:rPr>
                              <w:sz w:val="18"/>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DAFB" id="docshape85" o:spid="_x0000_s1039" type="#_x0000_t202" style="position:absolute;margin-left:89pt;margin-top:740.6pt;width:205pt;height:12pt;z-index:-164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Oy2QEAAJkDAAAOAAAAZHJzL2Uyb0RvYy54bWysU9tu2zAMfR+wfxD0vthJ12Iw4hRdiw4D&#10;ugvQ9QNkWbaF2aJGKrGzrx8lx+nWvQ17EWhSOjznkN5eT0MvDgbJgivlepVLYZyG2rq2lE/f7t+8&#10;k4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" filled="f" stroked="f">
              <v:textbox inset="0,0,0,0">
                <w:txbxContent>
                  <w:p w14:paraId="2C5BC87A" w14:textId="77777777" w:rsidR="00362682" w:rsidRDefault="00362682">
                    <w:pPr>
                      <w:spacing w:before="12"/>
                      <w:ind w:left="20"/>
                      <w:rPr>
                        <w:sz w:val="18"/>
                      </w:rPr>
                    </w:pPr>
                    <w:r>
                      <w:rPr>
                        <w:sz w:val="18"/>
                      </w:rPr>
                      <w:t>Virginia</w:t>
                    </w:r>
                    <w:r>
                      <w:rPr>
                        <w:spacing w:val="-2"/>
                        <w:sz w:val="18"/>
                      </w:rPr>
                      <w:t xml:space="preserve"> </w:t>
                    </w:r>
                    <w:r>
                      <w:rPr>
                        <w:sz w:val="18"/>
                      </w:rPr>
                      <w:t>Drinking</w:t>
                    </w:r>
                    <w:r>
                      <w:rPr>
                        <w:spacing w:val="-3"/>
                        <w:sz w:val="18"/>
                      </w:rPr>
                      <w:t xml:space="preserve"> </w:t>
                    </w:r>
                    <w:r>
                      <w:rPr>
                        <w:sz w:val="18"/>
                      </w:rPr>
                      <w:t>Water</w:t>
                    </w:r>
                    <w:r>
                      <w:rPr>
                        <w:spacing w:val="-1"/>
                        <w:sz w:val="18"/>
                      </w:rPr>
                      <w:t xml:space="preserve"> </w:t>
                    </w:r>
                    <w:r>
                      <w:rPr>
                        <w:sz w:val="18"/>
                      </w:rPr>
                      <w:t>State</w:t>
                    </w:r>
                    <w:r>
                      <w:rPr>
                        <w:spacing w:val="-3"/>
                        <w:sz w:val="18"/>
                      </w:rPr>
                      <w:t xml:space="preserve"> </w:t>
                    </w:r>
                    <w:r>
                      <w:rPr>
                        <w:sz w:val="18"/>
                      </w:rPr>
                      <w:t>Revolving</w:t>
                    </w:r>
                    <w:r>
                      <w:rPr>
                        <w:spacing w:val="-3"/>
                        <w:sz w:val="18"/>
                      </w:rPr>
                      <w:t xml:space="preserve"> </w:t>
                    </w:r>
                    <w:r>
                      <w:rPr>
                        <w:sz w:val="18"/>
                      </w:rPr>
                      <w:t>Fund</w:t>
                    </w:r>
                    <w:r>
                      <w:rPr>
                        <w:spacing w:val="1"/>
                        <w:sz w:val="18"/>
                      </w:rPr>
                      <w:t xml:space="preserve"> </w:t>
                    </w:r>
                    <w:r>
                      <w:rPr>
                        <w:sz w:val="18"/>
                      </w:rPr>
                      <w:t>Program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AA21" w14:textId="77777777" w:rsidR="00885DE3" w:rsidRDefault="00885DE3">
      <w:r>
        <w:separator/>
      </w:r>
    </w:p>
  </w:footnote>
  <w:footnote w:type="continuationSeparator" w:id="0">
    <w:p w14:paraId="47853F7B" w14:textId="77777777" w:rsidR="00885DE3" w:rsidRDefault="0088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A01D" w14:textId="5354D721" w:rsidR="00362682" w:rsidRDefault="00362682">
    <w:pPr>
      <w:pStyle w:val="BodyText"/>
      <w:spacing w:line="14" w:lineRule="auto"/>
      <w:rPr>
        <w:sz w:val="20"/>
      </w:rPr>
    </w:pPr>
    <w:r>
      <w:rPr>
        <w:noProof/>
      </w:rPr>
      <mc:AlternateContent>
        <mc:Choice Requires="wps">
          <w:drawing>
            <wp:anchor distT="0" distB="0" distL="114300" distR="114300" simplePos="0" relativeHeight="486899200" behindDoc="1" locked="0" layoutInCell="1" allowOverlap="1" wp14:anchorId="39868E37" wp14:editId="2E74D67A">
              <wp:simplePos x="0" y="0"/>
              <wp:positionH relativeFrom="page">
                <wp:posOffset>810260</wp:posOffset>
              </wp:positionH>
              <wp:positionV relativeFrom="page">
                <wp:posOffset>447675</wp:posOffset>
              </wp:positionV>
              <wp:extent cx="3007360" cy="311785"/>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99CB" w14:textId="77777777" w:rsidR="00362682" w:rsidRDefault="00362682">
                          <w:pPr>
                            <w:spacing w:before="10"/>
                            <w:ind w:left="20" w:right="13"/>
                            <w:rPr>
                              <w:sz w:val="20"/>
                            </w:rPr>
                          </w:pPr>
                          <w:r>
                            <w:rPr>
                              <w:sz w:val="20"/>
                            </w:rPr>
                            <w:t>Virginia</w:t>
                          </w:r>
                          <w:r>
                            <w:rPr>
                              <w:spacing w:val="-2"/>
                              <w:sz w:val="20"/>
                            </w:rPr>
                            <w:t xml:space="preserve"> </w:t>
                          </w:r>
                          <w:r>
                            <w:rPr>
                              <w:sz w:val="20"/>
                            </w:rPr>
                            <w:t>Department</w:t>
                          </w:r>
                          <w:r>
                            <w:rPr>
                              <w:spacing w:val="-3"/>
                              <w:sz w:val="20"/>
                            </w:rPr>
                            <w:t xml:space="preserve"> </w:t>
                          </w:r>
                          <w:r>
                            <w:rPr>
                              <w:sz w:val="20"/>
                            </w:rPr>
                            <w:t>of</w:t>
                          </w:r>
                          <w:r>
                            <w:rPr>
                              <w:spacing w:val="-3"/>
                              <w:sz w:val="20"/>
                            </w:rPr>
                            <w:t xml:space="preserve"> </w:t>
                          </w:r>
                          <w:r>
                            <w:rPr>
                              <w:sz w:val="20"/>
                            </w:rPr>
                            <w:t>Health –</w:t>
                          </w:r>
                          <w:r>
                            <w:rPr>
                              <w:spacing w:val="-1"/>
                              <w:sz w:val="20"/>
                            </w:rPr>
                            <w:t xml:space="preserve"> </w:t>
                          </w:r>
                          <w:r>
                            <w:rPr>
                              <w:sz w:val="20"/>
                            </w:rPr>
                            <w:t>Office</w:t>
                          </w:r>
                          <w:r>
                            <w:rPr>
                              <w:spacing w:val="-1"/>
                              <w:sz w:val="20"/>
                            </w:rPr>
                            <w:t xml:space="preserve"> </w:t>
                          </w:r>
                          <w:r>
                            <w:rPr>
                              <w:sz w:val="20"/>
                            </w:rPr>
                            <w:t>of</w:t>
                          </w:r>
                          <w:r>
                            <w:rPr>
                              <w:spacing w:val="-4"/>
                              <w:sz w:val="20"/>
                            </w:rPr>
                            <w:t xml:space="preserve"> </w:t>
                          </w:r>
                          <w:r>
                            <w:rPr>
                              <w:sz w:val="20"/>
                            </w:rPr>
                            <w:t>Drinking</w:t>
                          </w:r>
                          <w:r>
                            <w:rPr>
                              <w:spacing w:val="-2"/>
                              <w:sz w:val="20"/>
                            </w:rPr>
                            <w:t xml:space="preserve"> </w:t>
                          </w:r>
                          <w:r>
                            <w:rPr>
                              <w:sz w:val="20"/>
                            </w:rPr>
                            <w:t>Water</w:t>
                          </w:r>
                          <w:r>
                            <w:rPr>
                              <w:spacing w:val="-47"/>
                              <w:sz w:val="20"/>
                            </w:rPr>
                            <w:t xml:space="preserve"> </w:t>
                          </w:r>
                          <w:r>
                            <w:rPr>
                              <w:sz w:val="20"/>
                            </w:rPr>
                            <w:t>Financial</w:t>
                          </w:r>
                          <w:r>
                            <w:rPr>
                              <w:spacing w:val="-2"/>
                              <w:sz w:val="20"/>
                            </w:rPr>
                            <w:t xml:space="preserve"> </w:t>
                          </w:r>
                          <w:r>
                            <w:rPr>
                              <w:sz w:val="20"/>
                            </w:rPr>
                            <w:t>and Construction Assistance</w:t>
                          </w:r>
                          <w:r>
                            <w:rPr>
                              <w:spacing w:val="-1"/>
                              <w:sz w:val="20"/>
                            </w:rPr>
                            <w:t xml:space="preserve"> </w:t>
                          </w:r>
                          <w:r>
                            <w:rPr>
                              <w:sz w:val="20"/>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8E37" id="_x0000_t202" coordsize="21600,21600" o:spt="202" path="m,l,21600r21600,l21600,xe">
              <v:stroke joinstyle="miter"/>
              <v:path gradientshapeok="t" o:connecttype="rect"/>
            </v:shapetype>
            <v:shape id="docshape3" o:spid="_x0000_s1028" type="#_x0000_t202" style="position:absolute;margin-left:63.8pt;margin-top:35.25pt;width:236.8pt;height:24.55pt;z-index:-164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" filled="f" stroked="f">
              <v:textbox inset="0,0,0,0">
                <w:txbxContent>
                  <w:p w14:paraId="697699CB" w14:textId="77777777" w:rsidR="00362682" w:rsidRDefault="00362682">
                    <w:pPr>
                      <w:spacing w:before="10"/>
                      <w:ind w:left="20" w:right="13"/>
                      <w:rPr>
                        <w:sz w:val="20"/>
                      </w:rPr>
                    </w:pPr>
                    <w:r>
                      <w:rPr>
                        <w:sz w:val="20"/>
                      </w:rPr>
                      <w:t>Virginia</w:t>
                    </w:r>
                    <w:r>
                      <w:rPr>
                        <w:spacing w:val="-2"/>
                        <w:sz w:val="20"/>
                      </w:rPr>
                      <w:t xml:space="preserve"> </w:t>
                    </w:r>
                    <w:r>
                      <w:rPr>
                        <w:sz w:val="20"/>
                      </w:rPr>
                      <w:t>Department</w:t>
                    </w:r>
                    <w:r>
                      <w:rPr>
                        <w:spacing w:val="-3"/>
                        <w:sz w:val="20"/>
                      </w:rPr>
                      <w:t xml:space="preserve"> </w:t>
                    </w:r>
                    <w:r>
                      <w:rPr>
                        <w:sz w:val="20"/>
                      </w:rPr>
                      <w:t>of</w:t>
                    </w:r>
                    <w:r>
                      <w:rPr>
                        <w:spacing w:val="-3"/>
                        <w:sz w:val="20"/>
                      </w:rPr>
                      <w:t xml:space="preserve"> </w:t>
                    </w:r>
                    <w:r>
                      <w:rPr>
                        <w:sz w:val="20"/>
                      </w:rPr>
                      <w:t>Health –</w:t>
                    </w:r>
                    <w:r>
                      <w:rPr>
                        <w:spacing w:val="-1"/>
                        <w:sz w:val="20"/>
                      </w:rPr>
                      <w:t xml:space="preserve"> </w:t>
                    </w:r>
                    <w:r>
                      <w:rPr>
                        <w:sz w:val="20"/>
                      </w:rPr>
                      <w:t>Office</w:t>
                    </w:r>
                    <w:r>
                      <w:rPr>
                        <w:spacing w:val="-1"/>
                        <w:sz w:val="20"/>
                      </w:rPr>
                      <w:t xml:space="preserve"> </w:t>
                    </w:r>
                    <w:r>
                      <w:rPr>
                        <w:sz w:val="20"/>
                      </w:rPr>
                      <w:t>of</w:t>
                    </w:r>
                    <w:r>
                      <w:rPr>
                        <w:spacing w:val="-4"/>
                        <w:sz w:val="20"/>
                      </w:rPr>
                      <w:t xml:space="preserve"> </w:t>
                    </w:r>
                    <w:r>
                      <w:rPr>
                        <w:sz w:val="20"/>
                      </w:rPr>
                      <w:t>Drinking</w:t>
                    </w:r>
                    <w:r>
                      <w:rPr>
                        <w:spacing w:val="-2"/>
                        <w:sz w:val="20"/>
                      </w:rPr>
                      <w:t xml:space="preserve"> </w:t>
                    </w:r>
                    <w:r>
                      <w:rPr>
                        <w:sz w:val="20"/>
                      </w:rPr>
                      <w:t>Water</w:t>
                    </w:r>
                    <w:r>
                      <w:rPr>
                        <w:spacing w:val="-47"/>
                        <w:sz w:val="20"/>
                      </w:rPr>
                      <w:t xml:space="preserve"> </w:t>
                    </w:r>
                    <w:r>
                      <w:rPr>
                        <w:sz w:val="20"/>
                      </w:rPr>
                      <w:t>Financial</w:t>
                    </w:r>
                    <w:r>
                      <w:rPr>
                        <w:spacing w:val="-2"/>
                        <w:sz w:val="20"/>
                      </w:rPr>
                      <w:t xml:space="preserve"> </w:t>
                    </w:r>
                    <w:r>
                      <w:rPr>
                        <w:sz w:val="20"/>
                      </w:rPr>
                      <w:t>and Construction Assistance</w:t>
                    </w:r>
                    <w:r>
                      <w:rPr>
                        <w:spacing w:val="-1"/>
                        <w:sz w:val="20"/>
                      </w:rPr>
                      <w:t xml:space="preserve"> </w:t>
                    </w:r>
                    <w:r>
                      <w:rPr>
                        <w:sz w:val="20"/>
                      </w:rPr>
                      <w:t>Programs</w:t>
                    </w:r>
                  </w:p>
                </w:txbxContent>
              </v:textbox>
              <w10:wrap anchorx="page" anchory="page"/>
            </v:shape>
          </w:pict>
        </mc:Fallback>
      </mc:AlternateContent>
    </w:r>
    <w:r>
      <w:rPr>
        <w:noProof/>
      </w:rPr>
      <mc:AlternateContent>
        <mc:Choice Requires="wps">
          <w:drawing>
            <wp:anchor distT="0" distB="0" distL="114300" distR="114300" simplePos="0" relativeHeight="486899712" behindDoc="1" locked="0" layoutInCell="1" allowOverlap="1" wp14:anchorId="7A0AA965" wp14:editId="15D19899">
              <wp:simplePos x="0" y="0"/>
              <wp:positionH relativeFrom="page">
                <wp:posOffset>6174740</wp:posOffset>
              </wp:positionH>
              <wp:positionV relativeFrom="page">
                <wp:posOffset>447675</wp:posOffset>
              </wp:positionV>
              <wp:extent cx="664845" cy="165735"/>
              <wp:effectExtent l="0" t="0" r="0" b="0"/>
              <wp:wrapNone/>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EE20" w14:textId="088F8B5D" w:rsidR="00362682" w:rsidRDefault="00362682">
                          <w:pPr>
                            <w:spacing w:before="10"/>
                            <w:ind w:left="20"/>
                            <w:rPr>
                              <w:sz w:val="20"/>
                            </w:rPr>
                          </w:pPr>
                          <w:r>
                            <w:rPr>
                              <w:sz w:val="20"/>
                            </w:rPr>
                            <w:t>Page</w:t>
                          </w:r>
                          <w:r>
                            <w:rPr>
                              <w:spacing w:val="-1"/>
                              <w:sz w:val="20"/>
                            </w:rPr>
                            <w:t xml:space="preserve"> </w:t>
                          </w:r>
                          <w:r>
                            <w:rPr>
                              <w:sz w:val="20"/>
                            </w:rPr>
                            <w:t>1</w:t>
                          </w:r>
                          <w:r>
                            <w:rPr>
                              <w:spacing w:val="1"/>
                              <w:sz w:val="20"/>
                            </w:rPr>
                            <w:t xml:space="preserve"> </w:t>
                          </w:r>
                          <w:r>
                            <w:rPr>
                              <w:sz w:val="20"/>
                            </w:rPr>
                            <w:t>of</w:t>
                          </w:r>
                          <w:r>
                            <w:rPr>
                              <w:spacing w:val="-3"/>
                              <w:sz w:val="20"/>
                            </w:rPr>
                            <w:t xml:space="preserve"> </w:t>
                          </w:r>
                          <w:r w:rsidR="0016771A">
                            <w:rPr>
                              <w:sz w:val="20"/>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AA965" id="docshape4" o:spid="_x0000_s1029" type="#_x0000_t202" style="position:absolute;margin-left:486.2pt;margin-top:35.25pt;width:52.35pt;height:13.05pt;z-index:-164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" filled="f" stroked="f">
              <v:textbox inset="0,0,0,0">
                <w:txbxContent>
                  <w:p w14:paraId="6B90EE20" w14:textId="088F8B5D" w:rsidR="00362682" w:rsidRDefault="00362682">
                    <w:pPr>
                      <w:spacing w:before="10"/>
                      <w:ind w:left="20"/>
                      <w:rPr>
                        <w:sz w:val="20"/>
                      </w:rPr>
                    </w:pPr>
                    <w:r>
                      <w:rPr>
                        <w:sz w:val="20"/>
                      </w:rPr>
                      <w:t>Page</w:t>
                    </w:r>
                    <w:r>
                      <w:rPr>
                        <w:spacing w:val="-1"/>
                        <w:sz w:val="20"/>
                      </w:rPr>
                      <w:t xml:space="preserve"> </w:t>
                    </w:r>
                    <w:r>
                      <w:rPr>
                        <w:sz w:val="20"/>
                      </w:rPr>
                      <w:t>1</w:t>
                    </w:r>
                    <w:r>
                      <w:rPr>
                        <w:spacing w:val="1"/>
                        <w:sz w:val="20"/>
                      </w:rPr>
                      <w:t xml:space="preserve"> </w:t>
                    </w:r>
                    <w:r>
                      <w:rPr>
                        <w:sz w:val="20"/>
                      </w:rPr>
                      <w:t>of</w:t>
                    </w:r>
                    <w:r>
                      <w:rPr>
                        <w:spacing w:val="-3"/>
                        <w:sz w:val="20"/>
                      </w:rPr>
                      <w:t xml:space="preserve"> </w:t>
                    </w:r>
                    <w:r w:rsidR="0016771A">
                      <w:rPr>
                        <w:sz w:val="20"/>
                      </w:rPr>
                      <w:t>31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A808" w14:textId="7F93292B" w:rsidR="00362682" w:rsidRDefault="00362682">
    <w:pPr>
      <w:pStyle w:val="BodyText"/>
      <w:spacing w:line="14" w:lineRule="auto"/>
      <w:rPr>
        <w:sz w:val="20"/>
      </w:rPr>
    </w:pPr>
    <w:r>
      <w:rPr>
        <w:noProof/>
      </w:rPr>
      <mc:AlternateContent>
        <mc:Choice Requires="wps">
          <w:drawing>
            <wp:anchor distT="0" distB="0" distL="114300" distR="114300" simplePos="0" relativeHeight="486901248" behindDoc="1" locked="0" layoutInCell="1" allowOverlap="1" wp14:anchorId="69B1149B" wp14:editId="332A79E6">
              <wp:simplePos x="0" y="0"/>
              <wp:positionH relativeFrom="page">
                <wp:posOffset>901700</wp:posOffset>
              </wp:positionH>
              <wp:positionV relativeFrom="page">
                <wp:posOffset>446405</wp:posOffset>
              </wp:positionV>
              <wp:extent cx="2411730" cy="254635"/>
              <wp:effectExtent l="0" t="0" r="0" b="0"/>
              <wp:wrapNone/>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CFF8C" w14:textId="77777777" w:rsidR="00362682" w:rsidRDefault="00362682">
                          <w:pPr>
                            <w:spacing w:before="14"/>
                            <w:ind w:left="20"/>
                            <w:rPr>
                              <w:sz w:val="16"/>
                            </w:rPr>
                          </w:pPr>
                          <w:r>
                            <w:rPr>
                              <w:sz w:val="16"/>
                            </w:rPr>
                            <w:t>Virginia</w:t>
                          </w:r>
                          <w:r>
                            <w:rPr>
                              <w:spacing w:val="-2"/>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2"/>
                              <w:sz w:val="16"/>
                            </w:rPr>
                            <w:t xml:space="preserve"> </w:t>
                          </w:r>
                          <w:r>
                            <w:rPr>
                              <w:sz w:val="16"/>
                            </w:rPr>
                            <w:t>–</w:t>
                          </w:r>
                          <w:r>
                            <w:rPr>
                              <w:spacing w:val="-1"/>
                              <w:sz w:val="16"/>
                            </w:rPr>
                            <w:t xml:space="preserve"> </w:t>
                          </w:r>
                          <w:r>
                            <w:rPr>
                              <w:sz w:val="16"/>
                            </w:rPr>
                            <w:t>Office</w:t>
                          </w:r>
                          <w:r>
                            <w:rPr>
                              <w:spacing w:val="-5"/>
                              <w:sz w:val="16"/>
                            </w:rPr>
                            <w:t xml:space="preserve"> </w:t>
                          </w:r>
                          <w:r>
                            <w:rPr>
                              <w:sz w:val="16"/>
                            </w:rPr>
                            <w:t>of</w:t>
                          </w:r>
                          <w:r>
                            <w:rPr>
                              <w:spacing w:val="-4"/>
                              <w:sz w:val="16"/>
                            </w:rPr>
                            <w:t xml:space="preserve"> </w:t>
                          </w:r>
                          <w:r>
                            <w:rPr>
                              <w:sz w:val="16"/>
                            </w:rPr>
                            <w:t>Drinking</w:t>
                          </w:r>
                          <w:r>
                            <w:rPr>
                              <w:spacing w:val="-3"/>
                              <w:sz w:val="16"/>
                            </w:rPr>
                            <w:t xml:space="preserve"> </w:t>
                          </w:r>
                          <w:r>
                            <w:rPr>
                              <w:sz w:val="16"/>
                            </w:rPr>
                            <w:t>Water</w:t>
                          </w:r>
                          <w:r>
                            <w:rPr>
                              <w:spacing w:val="-37"/>
                              <w:sz w:val="16"/>
                            </w:rPr>
                            <w:t xml:space="preserve"> </w:t>
                          </w:r>
                          <w:r>
                            <w:rPr>
                              <w:sz w:val="16"/>
                            </w:rPr>
                            <w:t>Financial</w:t>
                          </w:r>
                          <w:r>
                            <w:rPr>
                              <w:spacing w:val="-4"/>
                              <w:sz w:val="16"/>
                            </w:rPr>
                            <w:t xml:space="preserve"> </w:t>
                          </w:r>
                          <w:r>
                            <w:rPr>
                              <w:sz w:val="16"/>
                            </w:rPr>
                            <w:t>and</w:t>
                          </w:r>
                          <w:r>
                            <w:rPr>
                              <w:spacing w:val="-3"/>
                              <w:sz w:val="16"/>
                            </w:rPr>
                            <w:t xml:space="preserve"> </w:t>
                          </w:r>
                          <w:r>
                            <w:rPr>
                              <w:sz w:val="16"/>
                            </w:rPr>
                            <w:t>Construction Assistance</w:t>
                          </w:r>
                          <w:r>
                            <w:rPr>
                              <w:spacing w:val="-3"/>
                              <w:sz w:val="16"/>
                            </w:rPr>
                            <w:t xml:space="preserve"> </w:t>
                          </w:r>
                          <w:r>
                            <w:rPr>
                              <w:sz w:val="16"/>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1149B" id="_x0000_t202" coordsize="21600,21600" o:spt="202" path="m,l,21600r21600,l21600,xe">
              <v:stroke joinstyle="miter"/>
              <v:path gradientshapeok="t" o:connecttype="rect"/>
            </v:shapetype>
            <v:shape id="docshape7" o:spid="_x0000_s1032" type="#_x0000_t202" style="position:absolute;margin-left:71pt;margin-top:35.15pt;width:189.9pt;height:20.05pt;z-index:-164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" filled="f" stroked="f">
              <v:textbox inset="0,0,0,0">
                <w:txbxContent>
                  <w:p w14:paraId="37DCFF8C" w14:textId="77777777" w:rsidR="00362682" w:rsidRDefault="00362682">
                    <w:pPr>
                      <w:spacing w:before="14"/>
                      <w:ind w:left="20"/>
                      <w:rPr>
                        <w:sz w:val="16"/>
                      </w:rPr>
                    </w:pPr>
                    <w:r>
                      <w:rPr>
                        <w:sz w:val="16"/>
                      </w:rPr>
                      <w:t>Virginia</w:t>
                    </w:r>
                    <w:r>
                      <w:rPr>
                        <w:spacing w:val="-2"/>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2"/>
                        <w:sz w:val="16"/>
                      </w:rPr>
                      <w:t xml:space="preserve"> </w:t>
                    </w:r>
                    <w:r>
                      <w:rPr>
                        <w:sz w:val="16"/>
                      </w:rPr>
                      <w:t>–</w:t>
                    </w:r>
                    <w:r>
                      <w:rPr>
                        <w:spacing w:val="-1"/>
                        <w:sz w:val="16"/>
                      </w:rPr>
                      <w:t xml:space="preserve"> </w:t>
                    </w:r>
                    <w:r>
                      <w:rPr>
                        <w:sz w:val="16"/>
                      </w:rPr>
                      <w:t>Office</w:t>
                    </w:r>
                    <w:r>
                      <w:rPr>
                        <w:spacing w:val="-5"/>
                        <w:sz w:val="16"/>
                      </w:rPr>
                      <w:t xml:space="preserve"> </w:t>
                    </w:r>
                    <w:r>
                      <w:rPr>
                        <w:sz w:val="16"/>
                      </w:rPr>
                      <w:t>of</w:t>
                    </w:r>
                    <w:r>
                      <w:rPr>
                        <w:spacing w:val="-4"/>
                        <w:sz w:val="16"/>
                      </w:rPr>
                      <w:t xml:space="preserve"> </w:t>
                    </w:r>
                    <w:r>
                      <w:rPr>
                        <w:sz w:val="16"/>
                      </w:rPr>
                      <w:t>Drinking</w:t>
                    </w:r>
                    <w:r>
                      <w:rPr>
                        <w:spacing w:val="-3"/>
                        <w:sz w:val="16"/>
                      </w:rPr>
                      <w:t xml:space="preserve"> </w:t>
                    </w:r>
                    <w:r>
                      <w:rPr>
                        <w:sz w:val="16"/>
                      </w:rPr>
                      <w:t>Water</w:t>
                    </w:r>
                    <w:r>
                      <w:rPr>
                        <w:spacing w:val="-37"/>
                        <w:sz w:val="16"/>
                      </w:rPr>
                      <w:t xml:space="preserve"> </w:t>
                    </w:r>
                    <w:r>
                      <w:rPr>
                        <w:sz w:val="16"/>
                      </w:rPr>
                      <w:t>Financial</w:t>
                    </w:r>
                    <w:r>
                      <w:rPr>
                        <w:spacing w:val="-4"/>
                        <w:sz w:val="16"/>
                      </w:rPr>
                      <w:t xml:space="preserve"> </w:t>
                    </w:r>
                    <w:r>
                      <w:rPr>
                        <w:sz w:val="16"/>
                      </w:rPr>
                      <w:t>and</w:t>
                    </w:r>
                    <w:r>
                      <w:rPr>
                        <w:spacing w:val="-3"/>
                        <w:sz w:val="16"/>
                      </w:rPr>
                      <w:t xml:space="preserve"> </w:t>
                    </w:r>
                    <w:r>
                      <w:rPr>
                        <w:sz w:val="16"/>
                      </w:rPr>
                      <w:t>Construction Assistance</w:t>
                    </w:r>
                    <w:r>
                      <w:rPr>
                        <w:spacing w:val="-3"/>
                        <w:sz w:val="16"/>
                      </w:rPr>
                      <w:t xml:space="preserve"> </w:t>
                    </w:r>
                    <w:r>
                      <w:rPr>
                        <w:sz w:val="16"/>
                      </w:rPr>
                      <w:t>Programs</w:t>
                    </w:r>
                  </w:p>
                </w:txbxContent>
              </v:textbox>
              <w10:wrap anchorx="page" anchory="page"/>
            </v:shape>
          </w:pict>
        </mc:Fallback>
      </mc:AlternateContent>
    </w:r>
    <w:r>
      <w:rPr>
        <w:noProof/>
      </w:rPr>
      <mc:AlternateContent>
        <mc:Choice Requires="wps">
          <w:drawing>
            <wp:anchor distT="0" distB="0" distL="114300" distR="114300" simplePos="0" relativeHeight="486901760" behindDoc="1" locked="0" layoutInCell="1" allowOverlap="1" wp14:anchorId="49707C43" wp14:editId="629F651D">
              <wp:simplePos x="0" y="0"/>
              <wp:positionH relativeFrom="page">
                <wp:posOffset>6343650</wp:posOffset>
              </wp:positionH>
              <wp:positionV relativeFrom="page">
                <wp:posOffset>446405</wp:posOffset>
              </wp:positionV>
              <wp:extent cx="586740" cy="139065"/>
              <wp:effectExtent l="0" t="0" r="0" b="0"/>
              <wp:wrapNone/>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EB06" w14:textId="728F9976" w:rsidR="00362682" w:rsidRDefault="00362682">
                          <w:pPr>
                            <w:spacing w:before="14"/>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B21B24">
                            <w:rPr>
                              <w:noProof/>
                              <w:sz w:val="16"/>
                            </w:rPr>
                            <w:t>3</w:t>
                          </w:r>
                          <w:r>
                            <w:fldChar w:fldCharType="end"/>
                          </w:r>
                          <w:r>
                            <w:rPr>
                              <w:spacing w:val="1"/>
                              <w:sz w:val="16"/>
                            </w:rPr>
                            <w:t xml:space="preserve"> </w:t>
                          </w:r>
                          <w:r>
                            <w:rPr>
                              <w:sz w:val="16"/>
                            </w:rPr>
                            <w:t>of</w:t>
                          </w:r>
                          <w:r>
                            <w:rPr>
                              <w:spacing w:val="-5"/>
                              <w:sz w:val="16"/>
                            </w:rPr>
                            <w:t xml:space="preserve"> </w:t>
                          </w:r>
                          <w:r w:rsidR="003437B3">
                            <w:rPr>
                              <w:sz w:val="16"/>
                            </w:rPr>
                            <w:t>3</w:t>
                          </w:r>
                          <w:r w:rsidR="005C3568">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7C43" id="docshape8" o:spid="_x0000_s1033" type="#_x0000_t202" style="position:absolute;margin-left:499.5pt;margin-top:35.15pt;width:46.2pt;height:10.95pt;z-index:-164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" filled="f" stroked="f">
              <v:textbox inset="0,0,0,0">
                <w:txbxContent>
                  <w:p w14:paraId="3DEDEB06" w14:textId="728F9976" w:rsidR="00362682" w:rsidRDefault="00362682">
                    <w:pPr>
                      <w:spacing w:before="14"/>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B21B24">
                      <w:rPr>
                        <w:noProof/>
                        <w:sz w:val="16"/>
                      </w:rPr>
                      <w:t>3</w:t>
                    </w:r>
                    <w:r>
                      <w:fldChar w:fldCharType="end"/>
                    </w:r>
                    <w:r>
                      <w:rPr>
                        <w:spacing w:val="1"/>
                        <w:sz w:val="16"/>
                      </w:rPr>
                      <w:t xml:space="preserve"> </w:t>
                    </w:r>
                    <w:r>
                      <w:rPr>
                        <w:sz w:val="16"/>
                      </w:rPr>
                      <w:t>of</w:t>
                    </w:r>
                    <w:r>
                      <w:rPr>
                        <w:spacing w:val="-5"/>
                        <w:sz w:val="16"/>
                      </w:rPr>
                      <w:t xml:space="preserve"> </w:t>
                    </w:r>
                    <w:r w:rsidR="003437B3">
                      <w:rPr>
                        <w:sz w:val="16"/>
                      </w:rPr>
                      <w:t>3</w:t>
                    </w:r>
                    <w:r w:rsidR="005C3568">
                      <w:rPr>
                        <w:sz w:val="16"/>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0C67" w14:textId="2E444312" w:rsidR="00362682" w:rsidRDefault="00362682">
    <w:pPr>
      <w:pStyle w:val="BodyText"/>
      <w:spacing w:line="14" w:lineRule="auto"/>
      <w:rPr>
        <w:sz w:val="20"/>
      </w:rPr>
    </w:pPr>
    <w:r>
      <w:rPr>
        <w:noProof/>
      </w:rPr>
      <mc:AlternateContent>
        <mc:Choice Requires="wps">
          <w:drawing>
            <wp:anchor distT="0" distB="0" distL="114300" distR="114300" simplePos="0" relativeHeight="486903296" behindDoc="1" locked="0" layoutInCell="1" allowOverlap="1" wp14:anchorId="2F3DA627" wp14:editId="46EA86DA">
              <wp:simplePos x="0" y="0"/>
              <wp:positionH relativeFrom="page">
                <wp:posOffset>1130300</wp:posOffset>
              </wp:positionH>
              <wp:positionV relativeFrom="page">
                <wp:posOffset>446405</wp:posOffset>
              </wp:positionV>
              <wp:extent cx="2411730" cy="254635"/>
              <wp:effectExtent l="0" t="0" r="0" b="0"/>
              <wp:wrapNone/>
              <wp:docPr id="8"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430E" w14:textId="77777777" w:rsidR="00362682" w:rsidRDefault="00362682">
                          <w:pPr>
                            <w:spacing w:before="14"/>
                            <w:ind w:left="20"/>
                            <w:rPr>
                              <w:sz w:val="16"/>
                            </w:rPr>
                          </w:pPr>
                          <w:r>
                            <w:rPr>
                              <w:sz w:val="16"/>
                            </w:rPr>
                            <w:t>Virginia</w:t>
                          </w:r>
                          <w:r>
                            <w:rPr>
                              <w:spacing w:val="-2"/>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2"/>
                              <w:sz w:val="16"/>
                            </w:rPr>
                            <w:t xml:space="preserve"> </w:t>
                          </w:r>
                          <w:r>
                            <w:rPr>
                              <w:sz w:val="16"/>
                            </w:rPr>
                            <w:t>–</w:t>
                          </w:r>
                          <w:r>
                            <w:rPr>
                              <w:spacing w:val="-1"/>
                              <w:sz w:val="16"/>
                            </w:rPr>
                            <w:t xml:space="preserve"> </w:t>
                          </w:r>
                          <w:r>
                            <w:rPr>
                              <w:sz w:val="16"/>
                            </w:rPr>
                            <w:t>Office</w:t>
                          </w:r>
                          <w:r>
                            <w:rPr>
                              <w:spacing w:val="-5"/>
                              <w:sz w:val="16"/>
                            </w:rPr>
                            <w:t xml:space="preserve"> </w:t>
                          </w:r>
                          <w:r>
                            <w:rPr>
                              <w:sz w:val="16"/>
                            </w:rPr>
                            <w:t>of</w:t>
                          </w:r>
                          <w:r>
                            <w:rPr>
                              <w:spacing w:val="-4"/>
                              <w:sz w:val="16"/>
                            </w:rPr>
                            <w:t xml:space="preserve"> </w:t>
                          </w:r>
                          <w:r>
                            <w:rPr>
                              <w:sz w:val="16"/>
                            </w:rPr>
                            <w:t>Drinking</w:t>
                          </w:r>
                          <w:r>
                            <w:rPr>
                              <w:spacing w:val="-3"/>
                              <w:sz w:val="16"/>
                            </w:rPr>
                            <w:t xml:space="preserve"> </w:t>
                          </w:r>
                          <w:r>
                            <w:rPr>
                              <w:sz w:val="16"/>
                            </w:rPr>
                            <w:t>Water</w:t>
                          </w:r>
                          <w:r>
                            <w:rPr>
                              <w:spacing w:val="-37"/>
                              <w:sz w:val="16"/>
                            </w:rPr>
                            <w:t xml:space="preserve"> </w:t>
                          </w:r>
                          <w:r>
                            <w:rPr>
                              <w:sz w:val="16"/>
                            </w:rPr>
                            <w:t>Financial</w:t>
                          </w:r>
                          <w:r>
                            <w:rPr>
                              <w:spacing w:val="-4"/>
                              <w:sz w:val="16"/>
                            </w:rPr>
                            <w:t xml:space="preserve"> </w:t>
                          </w:r>
                          <w:r>
                            <w:rPr>
                              <w:sz w:val="16"/>
                            </w:rPr>
                            <w:t>and</w:t>
                          </w:r>
                          <w:r>
                            <w:rPr>
                              <w:spacing w:val="-3"/>
                              <w:sz w:val="16"/>
                            </w:rPr>
                            <w:t xml:space="preserve"> </w:t>
                          </w:r>
                          <w:r>
                            <w:rPr>
                              <w:sz w:val="16"/>
                            </w:rPr>
                            <w:t>Construction Assistance</w:t>
                          </w:r>
                          <w:r>
                            <w:rPr>
                              <w:spacing w:val="-3"/>
                              <w:sz w:val="16"/>
                            </w:rPr>
                            <w:t xml:space="preserve"> </w:t>
                          </w:r>
                          <w:r>
                            <w:rPr>
                              <w:sz w:val="16"/>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A627" id="_x0000_t202" coordsize="21600,21600" o:spt="202" path="m,l,21600r21600,l21600,xe">
              <v:stroke joinstyle="miter"/>
              <v:path gradientshapeok="t" o:connecttype="rect"/>
            </v:shapetype>
            <v:shape id="docshape83" o:spid="_x0000_s1036" type="#_x0000_t202" style="position:absolute;margin-left:89pt;margin-top:35.15pt;width:189.9pt;height:20.05pt;z-index:-164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wo2gEAAJk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" filled="f" stroked="f">
              <v:textbox inset="0,0,0,0">
                <w:txbxContent>
                  <w:p w14:paraId="12C7430E" w14:textId="77777777" w:rsidR="00362682" w:rsidRDefault="00362682">
                    <w:pPr>
                      <w:spacing w:before="14"/>
                      <w:ind w:left="20"/>
                      <w:rPr>
                        <w:sz w:val="16"/>
                      </w:rPr>
                    </w:pPr>
                    <w:r>
                      <w:rPr>
                        <w:sz w:val="16"/>
                      </w:rPr>
                      <w:t>Virginia</w:t>
                    </w:r>
                    <w:r>
                      <w:rPr>
                        <w:spacing w:val="-2"/>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2"/>
                        <w:sz w:val="16"/>
                      </w:rPr>
                      <w:t xml:space="preserve"> </w:t>
                    </w:r>
                    <w:r>
                      <w:rPr>
                        <w:sz w:val="16"/>
                      </w:rPr>
                      <w:t>–</w:t>
                    </w:r>
                    <w:r>
                      <w:rPr>
                        <w:spacing w:val="-1"/>
                        <w:sz w:val="16"/>
                      </w:rPr>
                      <w:t xml:space="preserve"> </w:t>
                    </w:r>
                    <w:r>
                      <w:rPr>
                        <w:sz w:val="16"/>
                      </w:rPr>
                      <w:t>Office</w:t>
                    </w:r>
                    <w:r>
                      <w:rPr>
                        <w:spacing w:val="-5"/>
                        <w:sz w:val="16"/>
                      </w:rPr>
                      <w:t xml:space="preserve"> </w:t>
                    </w:r>
                    <w:r>
                      <w:rPr>
                        <w:sz w:val="16"/>
                      </w:rPr>
                      <w:t>of</w:t>
                    </w:r>
                    <w:r>
                      <w:rPr>
                        <w:spacing w:val="-4"/>
                        <w:sz w:val="16"/>
                      </w:rPr>
                      <w:t xml:space="preserve"> </w:t>
                    </w:r>
                    <w:r>
                      <w:rPr>
                        <w:sz w:val="16"/>
                      </w:rPr>
                      <w:t>Drinking</w:t>
                    </w:r>
                    <w:r>
                      <w:rPr>
                        <w:spacing w:val="-3"/>
                        <w:sz w:val="16"/>
                      </w:rPr>
                      <w:t xml:space="preserve"> </w:t>
                    </w:r>
                    <w:r>
                      <w:rPr>
                        <w:sz w:val="16"/>
                      </w:rPr>
                      <w:t>Water</w:t>
                    </w:r>
                    <w:r>
                      <w:rPr>
                        <w:spacing w:val="-37"/>
                        <w:sz w:val="16"/>
                      </w:rPr>
                      <w:t xml:space="preserve"> </w:t>
                    </w:r>
                    <w:r>
                      <w:rPr>
                        <w:sz w:val="16"/>
                      </w:rPr>
                      <w:t>Financial</w:t>
                    </w:r>
                    <w:r>
                      <w:rPr>
                        <w:spacing w:val="-4"/>
                        <w:sz w:val="16"/>
                      </w:rPr>
                      <w:t xml:space="preserve"> </w:t>
                    </w:r>
                    <w:r>
                      <w:rPr>
                        <w:sz w:val="16"/>
                      </w:rPr>
                      <w:t>and</w:t>
                    </w:r>
                    <w:r>
                      <w:rPr>
                        <w:spacing w:val="-3"/>
                        <w:sz w:val="16"/>
                      </w:rPr>
                      <w:t xml:space="preserve"> </w:t>
                    </w:r>
                    <w:r>
                      <w:rPr>
                        <w:sz w:val="16"/>
                      </w:rPr>
                      <w:t>Construction Assistance</w:t>
                    </w:r>
                    <w:r>
                      <w:rPr>
                        <w:spacing w:val="-3"/>
                        <w:sz w:val="16"/>
                      </w:rPr>
                      <w:t xml:space="preserve"> </w:t>
                    </w:r>
                    <w:r>
                      <w:rPr>
                        <w:sz w:val="16"/>
                      </w:rPr>
                      <w:t>Programs</w:t>
                    </w:r>
                  </w:p>
                </w:txbxContent>
              </v:textbox>
              <w10:wrap anchorx="page" anchory="page"/>
            </v:shape>
          </w:pict>
        </mc:Fallback>
      </mc:AlternateContent>
    </w:r>
    <w:r>
      <w:rPr>
        <w:noProof/>
      </w:rPr>
      <mc:AlternateContent>
        <mc:Choice Requires="wps">
          <w:drawing>
            <wp:anchor distT="0" distB="0" distL="114300" distR="114300" simplePos="0" relativeHeight="486903808" behindDoc="1" locked="0" layoutInCell="1" allowOverlap="1" wp14:anchorId="6B1BEF72" wp14:editId="1FA42784">
              <wp:simplePos x="0" y="0"/>
              <wp:positionH relativeFrom="page">
                <wp:posOffset>6468745</wp:posOffset>
              </wp:positionH>
              <wp:positionV relativeFrom="page">
                <wp:posOffset>446405</wp:posOffset>
              </wp:positionV>
              <wp:extent cx="586740" cy="139065"/>
              <wp:effectExtent l="0" t="0" r="0" b="0"/>
              <wp:wrapNone/>
              <wp:docPr id="6"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BEB8" w14:textId="1412157C" w:rsidR="00362682" w:rsidRDefault="00362682">
                          <w:pPr>
                            <w:spacing w:before="14"/>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B21B24">
                            <w:rPr>
                              <w:noProof/>
                              <w:sz w:val="16"/>
                            </w:rPr>
                            <w:t>30</w:t>
                          </w:r>
                          <w:r>
                            <w:fldChar w:fldCharType="end"/>
                          </w:r>
                          <w:r>
                            <w:rPr>
                              <w:spacing w:val="1"/>
                              <w:sz w:val="16"/>
                            </w:rPr>
                            <w:t xml:space="preserve"> </w:t>
                          </w:r>
                          <w:r>
                            <w:rPr>
                              <w:sz w:val="16"/>
                            </w:rPr>
                            <w:t>of</w:t>
                          </w:r>
                          <w:r>
                            <w:rPr>
                              <w:spacing w:val="-5"/>
                              <w:sz w:val="16"/>
                            </w:rPr>
                            <w:t xml:space="preserve"> </w:t>
                          </w:r>
                          <w:r w:rsidR="0016771A">
                            <w:rPr>
                              <w:sz w:val="16"/>
                            </w:rPr>
                            <w:t>3</w:t>
                          </w:r>
                          <w:r w:rsidR="005C3568">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BEF72" id="docshape84" o:spid="_x0000_s1037" type="#_x0000_t202" style="position:absolute;margin-left:509.35pt;margin-top:35.15pt;width:46.2pt;height:10.95pt;z-index:-164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" filled="f" stroked="f">
              <v:textbox inset="0,0,0,0">
                <w:txbxContent>
                  <w:p w14:paraId="7C55BEB8" w14:textId="1412157C" w:rsidR="00362682" w:rsidRDefault="00362682">
                    <w:pPr>
                      <w:spacing w:before="14"/>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B21B24">
                      <w:rPr>
                        <w:noProof/>
                        <w:sz w:val="16"/>
                      </w:rPr>
                      <w:t>30</w:t>
                    </w:r>
                    <w:r>
                      <w:fldChar w:fldCharType="end"/>
                    </w:r>
                    <w:r>
                      <w:rPr>
                        <w:spacing w:val="1"/>
                        <w:sz w:val="16"/>
                      </w:rPr>
                      <w:t xml:space="preserve"> </w:t>
                    </w:r>
                    <w:r>
                      <w:rPr>
                        <w:sz w:val="16"/>
                      </w:rPr>
                      <w:t>of</w:t>
                    </w:r>
                    <w:r>
                      <w:rPr>
                        <w:spacing w:val="-5"/>
                        <w:sz w:val="16"/>
                      </w:rPr>
                      <w:t xml:space="preserve"> </w:t>
                    </w:r>
                    <w:r w:rsidR="0016771A">
                      <w:rPr>
                        <w:sz w:val="16"/>
                      </w:rPr>
                      <w:t>3</w:t>
                    </w:r>
                    <w:r w:rsidR="005C3568">
                      <w:rPr>
                        <w:sz w:val="1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4C"/>
    <w:multiLevelType w:val="multilevel"/>
    <w:tmpl w:val="B83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253F"/>
    <w:multiLevelType w:val="hybridMultilevel"/>
    <w:tmpl w:val="108C094C"/>
    <w:lvl w:ilvl="0" w:tplc="15526D66">
      <w:start w:val="1"/>
      <w:numFmt w:val="upperLetter"/>
      <w:lvlText w:val="%1."/>
      <w:lvlJc w:val="left"/>
      <w:pPr>
        <w:ind w:left="108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1" w:tplc="696E2C66">
      <w:start w:val="1"/>
      <w:numFmt w:val="decimal"/>
      <w:lvlText w:val="%2)"/>
      <w:lvlJc w:val="left"/>
      <w:pPr>
        <w:ind w:left="180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2" w:tplc="B7ACC0D2">
      <w:numFmt w:val="bullet"/>
      <w:lvlText w:val="•"/>
      <w:lvlJc w:val="left"/>
      <w:pPr>
        <w:ind w:left="2773" w:hanging="720"/>
      </w:pPr>
      <w:rPr>
        <w:rFonts w:hint="default"/>
        <w:lang w:val="en-US" w:eastAsia="en-US" w:bidi="ar-SA"/>
      </w:rPr>
    </w:lvl>
    <w:lvl w:ilvl="3" w:tplc="AA46D826">
      <w:numFmt w:val="bullet"/>
      <w:lvlText w:val="•"/>
      <w:lvlJc w:val="left"/>
      <w:pPr>
        <w:ind w:left="3746" w:hanging="720"/>
      </w:pPr>
      <w:rPr>
        <w:rFonts w:hint="default"/>
        <w:lang w:val="en-US" w:eastAsia="en-US" w:bidi="ar-SA"/>
      </w:rPr>
    </w:lvl>
    <w:lvl w:ilvl="4" w:tplc="E752E3EC">
      <w:numFmt w:val="bullet"/>
      <w:lvlText w:val="•"/>
      <w:lvlJc w:val="left"/>
      <w:pPr>
        <w:ind w:left="4720" w:hanging="720"/>
      </w:pPr>
      <w:rPr>
        <w:rFonts w:hint="default"/>
        <w:lang w:val="en-US" w:eastAsia="en-US" w:bidi="ar-SA"/>
      </w:rPr>
    </w:lvl>
    <w:lvl w:ilvl="5" w:tplc="5E5421D6">
      <w:numFmt w:val="bullet"/>
      <w:lvlText w:val="•"/>
      <w:lvlJc w:val="left"/>
      <w:pPr>
        <w:ind w:left="5693" w:hanging="720"/>
      </w:pPr>
      <w:rPr>
        <w:rFonts w:hint="default"/>
        <w:lang w:val="en-US" w:eastAsia="en-US" w:bidi="ar-SA"/>
      </w:rPr>
    </w:lvl>
    <w:lvl w:ilvl="6" w:tplc="5ED80FE6">
      <w:numFmt w:val="bullet"/>
      <w:lvlText w:val="•"/>
      <w:lvlJc w:val="left"/>
      <w:pPr>
        <w:ind w:left="6666" w:hanging="720"/>
      </w:pPr>
      <w:rPr>
        <w:rFonts w:hint="default"/>
        <w:lang w:val="en-US" w:eastAsia="en-US" w:bidi="ar-SA"/>
      </w:rPr>
    </w:lvl>
    <w:lvl w:ilvl="7" w:tplc="30743CEA">
      <w:numFmt w:val="bullet"/>
      <w:lvlText w:val="•"/>
      <w:lvlJc w:val="left"/>
      <w:pPr>
        <w:ind w:left="7640" w:hanging="720"/>
      </w:pPr>
      <w:rPr>
        <w:rFonts w:hint="default"/>
        <w:lang w:val="en-US" w:eastAsia="en-US" w:bidi="ar-SA"/>
      </w:rPr>
    </w:lvl>
    <w:lvl w:ilvl="8" w:tplc="5394D7BE">
      <w:numFmt w:val="bullet"/>
      <w:lvlText w:val="•"/>
      <w:lvlJc w:val="left"/>
      <w:pPr>
        <w:ind w:left="8613" w:hanging="720"/>
      </w:pPr>
      <w:rPr>
        <w:rFonts w:hint="default"/>
        <w:lang w:val="en-US" w:eastAsia="en-US" w:bidi="ar-SA"/>
      </w:rPr>
    </w:lvl>
  </w:abstractNum>
  <w:abstractNum w:abstractNumId="2" w15:restartNumberingAfterBreak="0">
    <w:nsid w:val="043D49A6"/>
    <w:multiLevelType w:val="hybridMultilevel"/>
    <w:tmpl w:val="065A2546"/>
    <w:lvl w:ilvl="0" w:tplc="DB2474EC">
      <w:start w:val="1"/>
      <w:numFmt w:val="decimal"/>
      <w:lvlText w:val="%1."/>
      <w:lvlJc w:val="left"/>
      <w:pPr>
        <w:ind w:left="576" w:hanging="361"/>
        <w:jc w:val="right"/>
      </w:pPr>
      <w:rPr>
        <w:rFonts w:ascii="Times New Roman" w:eastAsia="Times New Roman" w:hAnsi="Times New Roman" w:cs="Times New Roman" w:hint="default"/>
        <w:b w:val="0"/>
        <w:bCs w:val="0"/>
        <w:i w:val="0"/>
        <w:iCs w:val="0"/>
        <w:w w:val="100"/>
        <w:sz w:val="22"/>
        <w:szCs w:val="22"/>
        <w:lang w:val="en-US" w:eastAsia="en-US" w:bidi="ar-SA"/>
      </w:rPr>
    </w:lvl>
    <w:lvl w:ilvl="1" w:tplc="42E6FA90">
      <w:start w:val="1"/>
      <w:numFmt w:val="upperRoman"/>
      <w:lvlText w:val="%2."/>
      <w:lvlJc w:val="left"/>
      <w:pPr>
        <w:ind w:left="1080" w:hanging="610"/>
        <w:jc w:val="right"/>
      </w:pPr>
      <w:rPr>
        <w:rFonts w:hint="default"/>
        <w:b/>
        <w:bCs/>
        <w:w w:val="100"/>
        <w:lang w:val="en-US" w:eastAsia="en-US" w:bidi="ar-SA"/>
      </w:rPr>
    </w:lvl>
    <w:lvl w:ilvl="2" w:tplc="37147F3A">
      <w:start w:val="1"/>
      <w:numFmt w:val="upperLetter"/>
      <w:lvlText w:val="%3."/>
      <w:lvlJc w:val="left"/>
      <w:pPr>
        <w:ind w:left="180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3" w:tplc="64DCEB94">
      <w:start w:val="1"/>
      <w:numFmt w:val="decimal"/>
      <w:lvlText w:val="%4)"/>
      <w:lvlJc w:val="left"/>
      <w:pPr>
        <w:ind w:left="2160" w:hanging="360"/>
      </w:pPr>
      <w:rPr>
        <w:rFonts w:ascii="Times New Roman" w:eastAsia="Times New Roman" w:hAnsi="Times New Roman" w:cs="Times New Roman" w:hint="default"/>
        <w:b w:val="0"/>
        <w:bCs w:val="0"/>
        <w:i w:val="0"/>
        <w:iCs w:val="0"/>
        <w:w w:val="100"/>
        <w:sz w:val="22"/>
        <w:szCs w:val="22"/>
        <w:lang w:val="en-US" w:eastAsia="en-US" w:bidi="ar-SA"/>
      </w:rPr>
    </w:lvl>
    <w:lvl w:ilvl="4" w:tplc="36AE275C">
      <w:numFmt w:val="bullet"/>
      <w:lvlText w:val="•"/>
      <w:lvlJc w:val="left"/>
      <w:pPr>
        <w:ind w:left="2587" w:hanging="360"/>
      </w:pPr>
      <w:rPr>
        <w:rFonts w:hint="default"/>
        <w:lang w:val="en-US" w:eastAsia="en-US" w:bidi="ar-SA"/>
      </w:rPr>
    </w:lvl>
    <w:lvl w:ilvl="5" w:tplc="48A2DCA2">
      <w:numFmt w:val="bullet"/>
      <w:lvlText w:val="•"/>
      <w:lvlJc w:val="left"/>
      <w:pPr>
        <w:ind w:left="3014" w:hanging="360"/>
      </w:pPr>
      <w:rPr>
        <w:rFonts w:hint="default"/>
        <w:lang w:val="en-US" w:eastAsia="en-US" w:bidi="ar-SA"/>
      </w:rPr>
    </w:lvl>
    <w:lvl w:ilvl="6" w:tplc="DBF8441C">
      <w:numFmt w:val="bullet"/>
      <w:lvlText w:val="•"/>
      <w:lvlJc w:val="left"/>
      <w:pPr>
        <w:ind w:left="3441" w:hanging="360"/>
      </w:pPr>
      <w:rPr>
        <w:rFonts w:hint="default"/>
        <w:lang w:val="en-US" w:eastAsia="en-US" w:bidi="ar-SA"/>
      </w:rPr>
    </w:lvl>
    <w:lvl w:ilvl="7" w:tplc="40AED244">
      <w:numFmt w:val="bullet"/>
      <w:lvlText w:val="•"/>
      <w:lvlJc w:val="left"/>
      <w:pPr>
        <w:ind w:left="3868" w:hanging="360"/>
      </w:pPr>
      <w:rPr>
        <w:rFonts w:hint="default"/>
        <w:lang w:val="en-US" w:eastAsia="en-US" w:bidi="ar-SA"/>
      </w:rPr>
    </w:lvl>
    <w:lvl w:ilvl="8" w:tplc="171CCA58">
      <w:numFmt w:val="bullet"/>
      <w:lvlText w:val="•"/>
      <w:lvlJc w:val="left"/>
      <w:pPr>
        <w:ind w:left="4295" w:hanging="360"/>
      </w:pPr>
      <w:rPr>
        <w:rFonts w:hint="default"/>
        <w:lang w:val="en-US" w:eastAsia="en-US" w:bidi="ar-SA"/>
      </w:rPr>
    </w:lvl>
  </w:abstractNum>
  <w:abstractNum w:abstractNumId="3" w15:restartNumberingAfterBreak="0">
    <w:nsid w:val="06E36534"/>
    <w:multiLevelType w:val="hybridMultilevel"/>
    <w:tmpl w:val="8C6C91EC"/>
    <w:lvl w:ilvl="0" w:tplc="997EE4A0">
      <w:start w:val="1"/>
      <w:numFmt w:val="decimal"/>
      <w:lvlText w:val="%1."/>
      <w:lvlJc w:val="left"/>
      <w:pPr>
        <w:ind w:left="359" w:hanging="252"/>
      </w:pPr>
      <w:rPr>
        <w:rFonts w:ascii="Arial" w:eastAsia="Arial" w:hAnsi="Arial" w:cs="Arial" w:hint="default"/>
        <w:b w:val="0"/>
        <w:bCs w:val="0"/>
        <w:i w:val="0"/>
        <w:iCs w:val="0"/>
        <w:spacing w:val="-2"/>
        <w:w w:val="100"/>
        <w:sz w:val="17"/>
        <w:szCs w:val="17"/>
        <w:lang w:val="en-US" w:eastAsia="en-US" w:bidi="ar-SA"/>
      </w:rPr>
    </w:lvl>
    <w:lvl w:ilvl="1" w:tplc="5B982E72">
      <w:numFmt w:val="bullet"/>
      <w:lvlText w:val="•"/>
      <w:lvlJc w:val="left"/>
      <w:pPr>
        <w:ind w:left="999" w:hanging="252"/>
      </w:pPr>
      <w:rPr>
        <w:rFonts w:hint="default"/>
        <w:lang w:val="en-US" w:eastAsia="en-US" w:bidi="ar-SA"/>
      </w:rPr>
    </w:lvl>
    <w:lvl w:ilvl="2" w:tplc="5AE68286">
      <w:numFmt w:val="bullet"/>
      <w:lvlText w:val="•"/>
      <w:lvlJc w:val="left"/>
      <w:pPr>
        <w:ind w:left="1638" w:hanging="252"/>
      </w:pPr>
      <w:rPr>
        <w:rFonts w:hint="default"/>
        <w:lang w:val="en-US" w:eastAsia="en-US" w:bidi="ar-SA"/>
      </w:rPr>
    </w:lvl>
    <w:lvl w:ilvl="3" w:tplc="EBA80998">
      <w:numFmt w:val="bullet"/>
      <w:lvlText w:val="•"/>
      <w:lvlJc w:val="left"/>
      <w:pPr>
        <w:ind w:left="2277" w:hanging="252"/>
      </w:pPr>
      <w:rPr>
        <w:rFonts w:hint="default"/>
        <w:lang w:val="en-US" w:eastAsia="en-US" w:bidi="ar-SA"/>
      </w:rPr>
    </w:lvl>
    <w:lvl w:ilvl="4" w:tplc="66AE8692">
      <w:numFmt w:val="bullet"/>
      <w:lvlText w:val="•"/>
      <w:lvlJc w:val="left"/>
      <w:pPr>
        <w:ind w:left="2916" w:hanging="252"/>
      </w:pPr>
      <w:rPr>
        <w:rFonts w:hint="default"/>
        <w:lang w:val="en-US" w:eastAsia="en-US" w:bidi="ar-SA"/>
      </w:rPr>
    </w:lvl>
    <w:lvl w:ilvl="5" w:tplc="0006387A">
      <w:numFmt w:val="bullet"/>
      <w:lvlText w:val="•"/>
      <w:lvlJc w:val="left"/>
      <w:pPr>
        <w:ind w:left="3555" w:hanging="252"/>
      </w:pPr>
      <w:rPr>
        <w:rFonts w:hint="default"/>
        <w:lang w:val="en-US" w:eastAsia="en-US" w:bidi="ar-SA"/>
      </w:rPr>
    </w:lvl>
    <w:lvl w:ilvl="6" w:tplc="1B9C7DE2">
      <w:numFmt w:val="bullet"/>
      <w:lvlText w:val="•"/>
      <w:lvlJc w:val="left"/>
      <w:pPr>
        <w:ind w:left="4194" w:hanging="252"/>
      </w:pPr>
      <w:rPr>
        <w:rFonts w:hint="default"/>
        <w:lang w:val="en-US" w:eastAsia="en-US" w:bidi="ar-SA"/>
      </w:rPr>
    </w:lvl>
    <w:lvl w:ilvl="7" w:tplc="DA04815A">
      <w:numFmt w:val="bullet"/>
      <w:lvlText w:val="•"/>
      <w:lvlJc w:val="left"/>
      <w:pPr>
        <w:ind w:left="4833" w:hanging="252"/>
      </w:pPr>
      <w:rPr>
        <w:rFonts w:hint="default"/>
        <w:lang w:val="en-US" w:eastAsia="en-US" w:bidi="ar-SA"/>
      </w:rPr>
    </w:lvl>
    <w:lvl w:ilvl="8" w:tplc="D1125724">
      <w:numFmt w:val="bullet"/>
      <w:lvlText w:val="•"/>
      <w:lvlJc w:val="left"/>
      <w:pPr>
        <w:ind w:left="5472" w:hanging="252"/>
      </w:pPr>
      <w:rPr>
        <w:rFonts w:hint="default"/>
        <w:lang w:val="en-US" w:eastAsia="en-US" w:bidi="ar-SA"/>
      </w:rPr>
    </w:lvl>
  </w:abstractNum>
  <w:abstractNum w:abstractNumId="4" w15:restartNumberingAfterBreak="0">
    <w:nsid w:val="079A3DA9"/>
    <w:multiLevelType w:val="hybridMultilevel"/>
    <w:tmpl w:val="65E46988"/>
    <w:lvl w:ilvl="0" w:tplc="0A001442">
      <w:start w:val="1"/>
      <w:numFmt w:val="upperLetter"/>
      <w:lvlText w:val="%1."/>
      <w:lvlJc w:val="left"/>
      <w:pPr>
        <w:ind w:left="108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70422D08">
      <w:start w:val="1"/>
      <w:numFmt w:val="lowerLetter"/>
      <w:lvlText w:val="%2."/>
      <w:lvlJc w:val="left"/>
      <w:pPr>
        <w:ind w:left="1800" w:hanging="360"/>
      </w:pPr>
      <w:rPr>
        <w:rFonts w:ascii="Times New Roman" w:eastAsia="Times New Roman" w:hAnsi="Times New Roman" w:cs="Times New Roman" w:hint="default"/>
        <w:b w:val="0"/>
        <w:bCs w:val="0"/>
        <w:i w:val="0"/>
        <w:iCs w:val="0"/>
        <w:w w:val="100"/>
        <w:sz w:val="22"/>
        <w:szCs w:val="22"/>
        <w:lang w:val="en-US" w:eastAsia="en-US" w:bidi="ar-SA"/>
      </w:rPr>
    </w:lvl>
    <w:lvl w:ilvl="2" w:tplc="04CEBB12">
      <w:numFmt w:val="bullet"/>
      <w:lvlText w:val="•"/>
      <w:lvlJc w:val="left"/>
      <w:pPr>
        <w:ind w:left="2773" w:hanging="360"/>
      </w:pPr>
      <w:rPr>
        <w:rFonts w:hint="default"/>
        <w:lang w:val="en-US" w:eastAsia="en-US" w:bidi="ar-SA"/>
      </w:rPr>
    </w:lvl>
    <w:lvl w:ilvl="3" w:tplc="18DCF41E">
      <w:numFmt w:val="bullet"/>
      <w:lvlText w:val="•"/>
      <w:lvlJc w:val="left"/>
      <w:pPr>
        <w:ind w:left="3746" w:hanging="360"/>
      </w:pPr>
      <w:rPr>
        <w:rFonts w:hint="default"/>
        <w:lang w:val="en-US" w:eastAsia="en-US" w:bidi="ar-SA"/>
      </w:rPr>
    </w:lvl>
    <w:lvl w:ilvl="4" w:tplc="B15A50B6">
      <w:numFmt w:val="bullet"/>
      <w:lvlText w:val="•"/>
      <w:lvlJc w:val="left"/>
      <w:pPr>
        <w:ind w:left="4720" w:hanging="360"/>
      </w:pPr>
      <w:rPr>
        <w:rFonts w:hint="default"/>
        <w:lang w:val="en-US" w:eastAsia="en-US" w:bidi="ar-SA"/>
      </w:rPr>
    </w:lvl>
    <w:lvl w:ilvl="5" w:tplc="C6AAE404">
      <w:numFmt w:val="bullet"/>
      <w:lvlText w:val="•"/>
      <w:lvlJc w:val="left"/>
      <w:pPr>
        <w:ind w:left="5693" w:hanging="360"/>
      </w:pPr>
      <w:rPr>
        <w:rFonts w:hint="default"/>
        <w:lang w:val="en-US" w:eastAsia="en-US" w:bidi="ar-SA"/>
      </w:rPr>
    </w:lvl>
    <w:lvl w:ilvl="6" w:tplc="02944716">
      <w:numFmt w:val="bullet"/>
      <w:lvlText w:val="•"/>
      <w:lvlJc w:val="left"/>
      <w:pPr>
        <w:ind w:left="6666" w:hanging="360"/>
      </w:pPr>
      <w:rPr>
        <w:rFonts w:hint="default"/>
        <w:lang w:val="en-US" w:eastAsia="en-US" w:bidi="ar-SA"/>
      </w:rPr>
    </w:lvl>
    <w:lvl w:ilvl="7" w:tplc="75C230E4">
      <w:numFmt w:val="bullet"/>
      <w:lvlText w:val="•"/>
      <w:lvlJc w:val="left"/>
      <w:pPr>
        <w:ind w:left="7640" w:hanging="360"/>
      </w:pPr>
      <w:rPr>
        <w:rFonts w:hint="default"/>
        <w:lang w:val="en-US" w:eastAsia="en-US" w:bidi="ar-SA"/>
      </w:rPr>
    </w:lvl>
    <w:lvl w:ilvl="8" w:tplc="296220E6">
      <w:numFmt w:val="bullet"/>
      <w:lvlText w:val="•"/>
      <w:lvlJc w:val="left"/>
      <w:pPr>
        <w:ind w:left="8613" w:hanging="360"/>
      </w:pPr>
      <w:rPr>
        <w:rFonts w:hint="default"/>
        <w:lang w:val="en-US" w:eastAsia="en-US" w:bidi="ar-SA"/>
      </w:rPr>
    </w:lvl>
  </w:abstractNum>
  <w:abstractNum w:abstractNumId="5" w15:restartNumberingAfterBreak="0">
    <w:nsid w:val="0A965305"/>
    <w:multiLevelType w:val="hybridMultilevel"/>
    <w:tmpl w:val="78340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6C227C"/>
    <w:multiLevelType w:val="hybridMultilevel"/>
    <w:tmpl w:val="465A5742"/>
    <w:lvl w:ilvl="0" w:tplc="F806B632">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0CAEEFF2">
      <w:numFmt w:val="bullet"/>
      <w:lvlText w:val="•"/>
      <w:lvlJc w:val="left"/>
      <w:pPr>
        <w:ind w:left="2028" w:hanging="360"/>
      </w:pPr>
      <w:rPr>
        <w:rFonts w:hint="default"/>
        <w:lang w:val="en-US" w:eastAsia="en-US" w:bidi="ar-SA"/>
      </w:rPr>
    </w:lvl>
    <w:lvl w:ilvl="2" w:tplc="B9B60654">
      <w:numFmt w:val="bullet"/>
      <w:lvlText w:val="•"/>
      <w:lvlJc w:val="left"/>
      <w:pPr>
        <w:ind w:left="2976" w:hanging="360"/>
      </w:pPr>
      <w:rPr>
        <w:rFonts w:hint="default"/>
        <w:lang w:val="en-US" w:eastAsia="en-US" w:bidi="ar-SA"/>
      </w:rPr>
    </w:lvl>
    <w:lvl w:ilvl="3" w:tplc="1B46C670">
      <w:numFmt w:val="bullet"/>
      <w:lvlText w:val="•"/>
      <w:lvlJc w:val="left"/>
      <w:pPr>
        <w:ind w:left="3924" w:hanging="360"/>
      </w:pPr>
      <w:rPr>
        <w:rFonts w:hint="default"/>
        <w:lang w:val="en-US" w:eastAsia="en-US" w:bidi="ar-SA"/>
      </w:rPr>
    </w:lvl>
    <w:lvl w:ilvl="4" w:tplc="3D540BD6">
      <w:numFmt w:val="bullet"/>
      <w:lvlText w:val="•"/>
      <w:lvlJc w:val="left"/>
      <w:pPr>
        <w:ind w:left="4872" w:hanging="360"/>
      </w:pPr>
      <w:rPr>
        <w:rFonts w:hint="default"/>
        <w:lang w:val="en-US" w:eastAsia="en-US" w:bidi="ar-SA"/>
      </w:rPr>
    </w:lvl>
    <w:lvl w:ilvl="5" w:tplc="864EE740">
      <w:numFmt w:val="bullet"/>
      <w:lvlText w:val="•"/>
      <w:lvlJc w:val="left"/>
      <w:pPr>
        <w:ind w:left="5820" w:hanging="360"/>
      </w:pPr>
      <w:rPr>
        <w:rFonts w:hint="default"/>
        <w:lang w:val="en-US" w:eastAsia="en-US" w:bidi="ar-SA"/>
      </w:rPr>
    </w:lvl>
    <w:lvl w:ilvl="6" w:tplc="177AF03E">
      <w:numFmt w:val="bullet"/>
      <w:lvlText w:val="•"/>
      <w:lvlJc w:val="left"/>
      <w:pPr>
        <w:ind w:left="6768" w:hanging="360"/>
      </w:pPr>
      <w:rPr>
        <w:rFonts w:hint="default"/>
        <w:lang w:val="en-US" w:eastAsia="en-US" w:bidi="ar-SA"/>
      </w:rPr>
    </w:lvl>
    <w:lvl w:ilvl="7" w:tplc="40E872C0">
      <w:numFmt w:val="bullet"/>
      <w:lvlText w:val="•"/>
      <w:lvlJc w:val="left"/>
      <w:pPr>
        <w:ind w:left="7716" w:hanging="360"/>
      </w:pPr>
      <w:rPr>
        <w:rFonts w:hint="default"/>
        <w:lang w:val="en-US" w:eastAsia="en-US" w:bidi="ar-SA"/>
      </w:rPr>
    </w:lvl>
    <w:lvl w:ilvl="8" w:tplc="C8BAFD86">
      <w:numFmt w:val="bullet"/>
      <w:lvlText w:val="•"/>
      <w:lvlJc w:val="left"/>
      <w:pPr>
        <w:ind w:left="8664" w:hanging="360"/>
      </w:pPr>
      <w:rPr>
        <w:rFonts w:hint="default"/>
        <w:lang w:val="en-US" w:eastAsia="en-US" w:bidi="ar-SA"/>
      </w:rPr>
    </w:lvl>
  </w:abstractNum>
  <w:abstractNum w:abstractNumId="7" w15:restartNumberingAfterBreak="0">
    <w:nsid w:val="0F124774"/>
    <w:multiLevelType w:val="hybridMultilevel"/>
    <w:tmpl w:val="CFB291A4"/>
    <w:lvl w:ilvl="0" w:tplc="C240A9A0">
      <w:start w:val="1"/>
      <w:numFmt w:val="lowerRoman"/>
      <w:lvlText w:val="%1."/>
      <w:lvlJc w:val="left"/>
      <w:pPr>
        <w:ind w:left="2141"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326B1B2">
      <w:numFmt w:val="bullet"/>
      <w:lvlText w:val="•"/>
      <w:lvlJc w:val="left"/>
      <w:pPr>
        <w:ind w:left="2945" w:hanging="296"/>
      </w:pPr>
      <w:rPr>
        <w:rFonts w:hint="default"/>
        <w:lang w:val="en-US" w:eastAsia="en-US" w:bidi="ar-SA"/>
      </w:rPr>
    </w:lvl>
    <w:lvl w:ilvl="2" w:tplc="73469D94">
      <w:numFmt w:val="bullet"/>
      <w:lvlText w:val="•"/>
      <w:lvlJc w:val="left"/>
      <w:pPr>
        <w:ind w:left="3749" w:hanging="296"/>
      </w:pPr>
      <w:rPr>
        <w:rFonts w:hint="default"/>
        <w:lang w:val="en-US" w:eastAsia="en-US" w:bidi="ar-SA"/>
      </w:rPr>
    </w:lvl>
    <w:lvl w:ilvl="3" w:tplc="CCAC66A8">
      <w:numFmt w:val="bullet"/>
      <w:lvlText w:val="•"/>
      <w:lvlJc w:val="left"/>
      <w:pPr>
        <w:ind w:left="4553" w:hanging="296"/>
      </w:pPr>
      <w:rPr>
        <w:rFonts w:hint="default"/>
        <w:lang w:val="en-US" w:eastAsia="en-US" w:bidi="ar-SA"/>
      </w:rPr>
    </w:lvl>
    <w:lvl w:ilvl="4" w:tplc="95A68796">
      <w:numFmt w:val="bullet"/>
      <w:lvlText w:val="•"/>
      <w:lvlJc w:val="left"/>
      <w:pPr>
        <w:ind w:left="5357" w:hanging="296"/>
      </w:pPr>
      <w:rPr>
        <w:rFonts w:hint="default"/>
        <w:lang w:val="en-US" w:eastAsia="en-US" w:bidi="ar-SA"/>
      </w:rPr>
    </w:lvl>
    <w:lvl w:ilvl="5" w:tplc="F5AA13F0">
      <w:numFmt w:val="bullet"/>
      <w:lvlText w:val="•"/>
      <w:lvlJc w:val="left"/>
      <w:pPr>
        <w:ind w:left="6161" w:hanging="296"/>
      </w:pPr>
      <w:rPr>
        <w:rFonts w:hint="default"/>
        <w:lang w:val="en-US" w:eastAsia="en-US" w:bidi="ar-SA"/>
      </w:rPr>
    </w:lvl>
    <w:lvl w:ilvl="6" w:tplc="65AAC74A">
      <w:numFmt w:val="bullet"/>
      <w:lvlText w:val="•"/>
      <w:lvlJc w:val="left"/>
      <w:pPr>
        <w:ind w:left="6965" w:hanging="296"/>
      </w:pPr>
      <w:rPr>
        <w:rFonts w:hint="default"/>
        <w:lang w:val="en-US" w:eastAsia="en-US" w:bidi="ar-SA"/>
      </w:rPr>
    </w:lvl>
    <w:lvl w:ilvl="7" w:tplc="D88649E8">
      <w:numFmt w:val="bullet"/>
      <w:lvlText w:val="•"/>
      <w:lvlJc w:val="left"/>
      <w:pPr>
        <w:ind w:left="7769" w:hanging="296"/>
      </w:pPr>
      <w:rPr>
        <w:rFonts w:hint="default"/>
        <w:lang w:val="en-US" w:eastAsia="en-US" w:bidi="ar-SA"/>
      </w:rPr>
    </w:lvl>
    <w:lvl w:ilvl="8" w:tplc="9C36484C">
      <w:numFmt w:val="bullet"/>
      <w:lvlText w:val="•"/>
      <w:lvlJc w:val="left"/>
      <w:pPr>
        <w:ind w:left="8573" w:hanging="296"/>
      </w:pPr>
      <w:rPr>
        <w:rFonts w:hint="default"/>
        <w:lang w:val="en-US" w:eastAsia="en-US" w:bidi="ar-SA"/>
      </w:rPr>
    </w:lvl>
  </w:abstractNum>
  <w:abstractNum w:abstractNumId="8" w15:restartNumberingAfterBreak="0">
    <w:nsid w:val="118A03AD"/>
    <w:multiLevelType w:val="hybridMultilevel"/>
    <w:tmpl w:val="6E0E66E6"/>
    <w:lvl w:ilvl="0" w:tplc="E280E3CC">
      <w:start w:val="1"/>
      <w:numFmt w:val="decimal"/>
      <w:lvlText w:val="%1."/>
      <w:lvlJc w:val="left"/>
      <w:pPr>
        <w:ind w:left="359" w:hanging="252"/>
      </w:pPr>
      <w:rPr>
        <w:rFonts w:ascii="Arial" w:eastAsia="Arial" w:hAnsi="Arial" w:cs="Arial" w:hint="default"/>
        <w:b w:val="0"/>
        <w:bCs w:val="0"/>
        <w:i w:val="0"/>
        <w:iCs w:val="0"/>
        <w:spacing w:val="-2"/>
        <w:w w:val="100"/>
        <w:sz w:val="17"/>
        <w:szCs w:val="17"/>
        <w:lang w:val="en-US" w:eastAsia="en-US" w:bidi="ar-SA"/>
      </w:rPr>
    </w:lvl>
    <w:lvl w:ilvl="1" w:tplc="B716516A">
      <w:numFmt w:val="bullet"/>
      <w:lvlText w:val="•"/>
      <w:lvlJc w:val="left"/>
      <w:pPr>
        <w:ind w:left="999" w:hanging="252"/>
      </w:pPr>
      <w:rPr>
        <w:rFonts w:hint="default"/>
        <w:lang w:val="en-US" w:eastAsia="en-US" w:bidi="ar-SA"/>
      </w:rPr>
    </w:lvl>
    <w:lvl w:ilvl="2" w:tplc="AF5A92FE">
      <w:numFmt w:val="bullet"/>
      <w:lvlText w:val="•"/>
      <w:lvlJc w:val="left"/>
      <w:pPr>
        <w:ind w:left="1638" w:hanging="252"/>
      </w:pPr>
      <w:rPr>
        <w:rFonts w:hint="default"/>
        <w:lang w:val="en-US" w:eastAsia="en-US" w:bidi="ar-SA"/>
      </w:rPr>
    </w:lvl>
    <w:lvl w:ilvl="3" w:tplc="C414C572">
      <w:numFmt w:val="bullet"/>
      <w:lvlText w:val="•"/>
      <w:lvlJc w:val="left"/>
      <w:pPr>
        <w:ind w:left="2277" w:hanging="252"/>
      </w:pPr>
      <w:rPr>
        <w:rFonts w:hint="default"/>
        <w:lang w:val="en-US" w:eastAsia="en-US" w:bidi="ar-SA"/>
      </w:rPr>
    </w:lvl>
    <w:lvl w:ilvl="4" w:tplc="238AE2E8">
      <w:numFmt w:val="bullet"/>
      <w:lvlText w:val="•"/>
      <w:lvlJc w:val="left"/>
      <w:pPr>
        <w:ind w:left="2916" w:hanging="252"/>
      </w:pPr>
      <w:rPr>
        <w:rFonts w:hint="default"/>
        <w:lang w:val="en-US" w:eastAsia="en-US" w:bidi="ar-SA"/>
      </w:rPr>
    </w:lvl>
    <w:lvl w:ilvl="5" w:tplc="68EEDCB6">
      <w:numFmt w:val="bullet"/>
      <w:lvlText w:val="•"/>
      <w:lvlJc w:val="left"/>
      <w:pPr>
        <w:ind w:left="3555" w:hanging="252"/>
      </w:pPr>
      <w:rPr>
        <w:rFonts w:hint="default"/>
        <w:lang w:val="en-US" w:eastAsia="en-US" w:bidi="ar-SA"/>
      </w:rPr>
    </w:lvl>
    <w:lvl w:ilvl="6" w:tplc="E272F302">
      <w:numFmt w:val="bullet"/>
      <w:lvlText w:val="•"/>
      <w:lvlJc w:val="left"/>
      <w:pPr>
        <w:ind w:left="4194" w:hanging="252"/>
      </w:pPr>
      <w:rPr>
        <w:rFonts w:hint="default"/>
        <w:lang w:val="en-US" w:eastAsia="en-US" w:bidi="ar-SA"/>
      </w:rPr>
    </w:lvl>
    <w:lvl w:ilvl="7" w:tplc="586C7C58">
      <w:numFmt w:val="bullet"/>
      <w:lvlText w:val="•"/>
      <w:lvlJc w:val="left"/>
      <w:pPr>
        <w:ind w:left="4833" w:hanging="252"/>
      </w:pPr>
      <w:rPr>
        <w:rFonts w:hint="default"/>
        <w:lang w:val="en-US" w:eastAsia="en-US" w:bidi="ar-SA"/>
      </w:rPr>
    </w:lvl>
    <w:lvl w:ilvl="8" w:tplc="C28CEA66">
      <w:numFmt w:val="bullet"/>
      <w:lvlText w:val="•"/>
      <w:lvlJc w:val="left"/>
      <w:pPr>
        <w:ind w:left="5472" w:hanging="252"/>
      </w:pPr>
      <w:rPr>
        <w:rFonts w:hint="default"/>
        <w:lang w:val="en-US" w:eastAsia="en-US" w:bidi="ar-SA"/>
      </w:rPr>
    </w:lvl>
  </w:abstractNum>
  <w:abstractNum w:abstractNumId="9" w15:restartNumberingAfterBreak="0">
    <w:nsid w:val="120E5E66"/>
    <w:multiLevelType w:val="hybridMultilevel"/>
    <w:tmpl w:val="8AC8C002"/>
    <w:lvl w:ilvl="0" w:tplc="80862EA2">
      <w:numFmt w:val="bullet"/>
      <w:lvlText w:val=""/>
      <w:lvlJc w:val="left"/>
      <w:pPr>
        <w:ind w:left="857" w:hanging="204"/>
      </w:pPr>
      <w:rPr>
        <w:rFonts w:ascii="Symbol" w:eastAsia="Symbol" w:hAnsi="Symbol" w:cs="Symbol" w:hint="default"/>
        <w:b w:val="0"/>
        <w:bCs w:val="0"/>
        <w:i w:val="0"/>
        <w:iCs w:val="0"/>
        <w:w w:val="100"/>
        <w:sz w:val="22"/>
        <w:szCs w:val="22"/>
        <w:lang w:val="en-US" w:eastAsia="en-US" w:bidi="ar-SA"/>
      </w:rPr>
    </w:lvl>
    <w:lvl w:ilvl="1" w:tplc="8402B784">
      <w:numFmt w:val="bullet"/>
      <w:lvlText w:val=""/>
      <w:lvlJc w:val="left"/>
      <w:pPr>
        <w:ind w:left="1440" w:hanging="360"/>
      </w:pPr>
      <w:rPr>
        <w:rFonts w:ascii="Symbol" w:eastAsia="Symbol" w:hAnsi="Symbol" w:cs="Symbol" w:hint="default"/>
        <w:b w:val="0"/>
        <w:bCs w:val="0"/>
        <w:i w:val="0"/>
        <w:iCs w:val="0"/>
        <w:w w:val="100"/>
        <w:sz w:val="22"/>
        <w:szCs w:val="22"/>
        <w:lang w:val="en-US" w:eastAsia="en-US" w:bidi="ar-SA"/>
      </w:rPr>
    </w:lvl>
    <w:lvl w:ilvl="2" w:tplc="F25A07A8">
      <w:numFmt w:val="bullet"/>
      <w:lvlText w:val="•"/>
      <w:lvlJc w:val="left"/>
      <w:pPr>
        <w:ind w:left="2453" w:hanging="360"/>
      </w:pPr>
      <w:rPr>
        <w:rFonts w:hint="default"/>
        <w:lang w:val="en-US" w:eastAsia="en-US" w:bidi="ar-SA"/>
      </w:rPr>
    </w:lvl>
    <w:lvl w:ilvl="3" w:tplc="2A068C74">
      <w:numFmt w:val="bullet"/>
      <w:lvlText w:val="•"/>
      <w:lvlJc w:val="left"/>
      <w:pPr>
        <w:ind w:left="3466" w:hanging="360"/>
      </w:pPr>
      <w:rPr>
        <w:rFonts w:hint="default"/>
        <w:lang w:val="en-US" w:eastAsia="en-US" w:bidi="ar-SA"/>
      </w:rPr>
    </w:lvl>
    <w:lvl w:ilvl="4" w:tplc="C82AAD20">
      <w:numFmt w:val="bullet"/>
      <w:lvlText w:val="•"/>
      <w:lvlJc w:val="left"/>
      <w:pPr>
        <w:ind w:left="4480" w:hanging="360"/>
      </w:pPr>
      <w:rPr>
        <w:rFonts w:hint="default"/>
        <w:lang w:val="en-US" w:eastAsia="en-US" w:bidi="ar-SA"/>
      </w:rPr>
    </w:lvl>
    <w:lvl w:ilvl="5" w:tplc="14CC5C56">
      <w:numFmt w:val="bullet"/>
      <w:lvlText w:val="•"/>
      <w:lvlJc w:val="left"/>
      <w:pPr>
        <w:ind w:left="5493" w:hanging="360"/>
      </w:pPr>
      <w:rPr>
        <w:rFonts w:hint="default"/>
        <w:lang w:val="en-US" w:eastAsia="en-US" w:bidi="ar-SA"/>
      </w:rPr>
    </w:lvl>
    <w:lvl w:ilvl="6" w:tplc="D11233B8">
      <w:numFmt w:val="bullet"/>
      <w:lvlText w:val="•"/>
      <w:lvlJc w:val="left"/>
      <w:pPr>
        <w:ind w:left="6506" w:hanging="360"/>
      </w:pPr>
      <w:rPr>
        <w:rFonts w:hint="default"/>
        <w:lang w:val="en-US" w:eastAsia="en-US" w:bidi="ar-SA"/>
      </w:rPr>
    </w:lvl>
    <w:lvl w:ilvl="7" w:tplc="83A4A4E6">
      <w:numFmt w:val="bullet"/>
      <w:lvlText w:val="•"/>
      <w:lvlJc w:val="left"/>
      <w:pPr>
        <w:ind w:left="7520" w:hanging="360"/>
      </w:pPr>
      <w:rPr>
        <w:rFonts w:hint="default"/>
        <w:lang w:val="en-US" w:eastAsia="en-US" w:bidi="ar-SA"/>
      </w:rPr>
    </w:lvl>
    <w:lvl w:ilvl="8" w:tplc="9B324322">
      <w:numFmt w:val="bullet"/>
      <w:lvlText w:val="•"/>
      <w:lvlJc w:val="left"/>
      <w:pPr>
        <w:ind w:left="8533" w:hanging="360"/>
      </w:pPr>
      <w:rPr>
        <w:rFonts w:hint="default"/>
        <w:lang w:val="en-US" w:eastAsia="en-US" w:bidi="ar-SA"/>
      </w:rPr>
    </w:lvl>
  </w:abstractNum>
  <w:abstractNum w:abstractNumId="10" w15:restartNumberingAfterBreak="0">
    <w:nsid w:val="17607A4D"/>
    <w:multiLevelType w:val="hybridMultilevel"/>
    <w:tmpl w:val="50BA41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8022CD"/>
    <w:multiLevelType w:val="hybridMultilevel"/>
    <w:tmpl w:val="839C6978"/>
    <w:lvl w:ilvl="0" w:tplc="B8AC4DB0">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A68A6676">
      <w:numFmt w:val="bullet"/>
      <w:lvlText w:val="•"/>
      <w:lvlJc w:val="left"/>
      <w:pPr>
        <w:ind w:left="2028" w:hanging="360"/>
      </w:pPr>
      <w:rPr>
        <w:rFonts w:hint="default"/>
        <w:lang w:val="en-US" w:eastAsia="en-US" w:bidi="ar-SA"/>
      </w:rPr>
    </w:lvl>
    <w:lvl w:ilvl="2" w:tplc="1ACA0F1E">
      <w:numFmt w:val="bullet"/>
      <w:lvlText w:val="•"/>
      <w:lvlJc w:val="left"/>
      <w:pPr>
        <w:ind w:left="2976" w:hanging="360"/>
      </w:pPr>
      <w:rPr>
        <w:rFonts w:hint="default"/>
        <w:lang w:val="en-US" w:eastAsia="en-US" w:bidi="ar-SA"/>
      </w:rPr>
    </w:lvl>
    <w:lvl w:ilvl="3" w:tplc="2E608D14">
      <w:numFmt w:val="bullet"/>
      <w:lvlText w:val="•"/>
      <w:lvlJc w:val="left"/>
      <w:pPr>
        <w:ind w:left="3924" w:hanging="360"/>
      </w:pPr>
      <w:rPr>
        <w:rFonts w:hint="default"/>
        <w:lang w:val="en-US" w:eastAsia="en-US" w:bidi="ar-SA"/>
      </w:rPr>
    </w:lvl>
    <w:lvl w:ilvl="4" w:tplc="C8C82E60">
      <w:numFmt w:val="bullet"/>
      <w:lvlText w:val="•"/>
      <w:lvlJc w:val="left"/>
      <w:pPr>
        <w:ind w:left="4872" w:hanging="360"/>
      </w:pPr>
      <w:rPr>
        <w:rFonts w:hint="default"/>
        <w:lang w:val="en-US" w:eastAsia="en-US" w:bidi="ar-SA"/>
      </w:rPr>
    </w:lvl>
    <w:lvl w:ilvl="5" w:tplc="8E1C6A10">
      <w:numFmt w:val="bullet"/>
      <w:lvlText w:val="•"/>
      <w:lvlJc w:val="left"/>
      <w:pPr>
        <w:ind w:left="5820" w:hanging="360"/>
      </w:pPr>
      <w:rPr>
        <w:rFonts w:hint="default"/>
        <w:lang w:val="en-US" w:eastAsia="en-US" w:bidi="ar-SA"/>
      </w:rPr>
    </w:lvl>
    <w:lvl w:ilvl="6" w:tplc="8140E950">
      <w:numFmt w:val="bullet"/>
      <w:lvlText w:val="•"/>
      <w:lvlJc w:val="left"/>
      <w:pPr>
        <w:ind w:left="6768" w:hanging="360"/>
      </w:pPr>
      <w:rPr>
        <w:rFonts w:hint="default"/>
        <w:lang w:val="en-US" w:eastAsia="en-US" w:bidi="ar-SA"/>
      </w:rPr>
    </w:lvl>
    <w:lvl w:ilvl="7" w:tplc="61902BE8">
      <w:numFmt w:val="bullet"/>
      <w:lvlText w:val="•"/>
      <w:lvlJc w:val="left"/>
      <w:pPr>
        <w:ind w:left="7716" w:hanging="360"/>
      </w:pPr>
      <w:rPr>
        <w:rFonts w:hint="default"/>
        <w:lang w:val="en-US" w:eastAsia="en-US" w:bidi="ar-SA"/>
      </w:rPr>
    </w:lvl>
    <w:lvl w:ilvl="8" w:tplc="ECCA8CD2">
      <w:numFmt w:val="bullet"/>
      <w:lvlText w:val="•"/>
      <w:lvlJc w:val="left"/>
      <w:pPr>
        <w:ind w:left="8664" w:hanging="360"/>
      </w:pPr>
      <w:rPr>
        <w:rFonts w:hint="default"/>
        <w:lang w:val="en-US" w:eastAsia="en-US" w:bidi="ar-SA"/>
      </w:rPr>
    </w:lvl>
  </w:abstractNum>
  <w:abstractNum w:abstractNumId="12" w15:restartNumberingAfterBreak="0">
    <w:nsid w:val="1AB301AA"/>
    <w:multiLevelType w:val="hybridMultilevel"/>
    <w:tmpl w:val="7B72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AC3A76"/>
    <w:multiLevelType w:val="hybridMultilevel"/>
    <w:tmpl w:val="64B4D5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F2221A0"/>
    <w:multiLevelType w:val="hybridMultilevel"/>
    <w:tmpl w:val="3AAAF9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34506C"/>
    <w:multiLevelType w:val="hybridMultilevel"/>
    <w:tmpl w:val="33D4D54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704" w:hanging="360"/>
      </w:pPr>
      <w:rPr>
        <w:rFonts w:hint="default"/>
        <w:lang w:val="en-US" w:eastAsia="en-US" w:bidi="ar-SA"/>
      </w:rPr>
    </w:lvl>
    <w:lvl w:ilvl="2" w:tplc="FFFFFFFF">
      <w:numFmt w:val="bullet"/>
      <w:lvlText w:val="•"/>
      <w:lvlJc w:val="left"/>
      <w:pPr>
        <w:ind w:left="2688" w:hanging="360"/>
      </w:pPr>
      <w:rPr>
        <w:rFonts w:hint="default"/>
        <w:lang w:val="en-US" w:eastAsia="en-US" w:bidi="ar-SA"/>
      </w:rPr>
    </w:lvl>
    <w:lvl w:ilvl="3" w:tplc="FFFFFFFF">
      <w:numFmt w:val="bullet"/>
      <w:lvlText w:val="•"/>
      <w:lvlJc w:val="left"/>
      <w:pPr>
        <w:ind w:left="3672" w:hanging="360"/>
      </w:pPr>
      <w:rPr>
        <w:rFonts w:hint="default"/>
        <w:lang w:val="en-US" w:eastAsia="en-US" w:bidi="ar-SA"/>
      </w:rPr>
    </w:lvl>
    <w:lvl w:ilvl="4" w:tplc="FFFFFFFF">
      <w:numFmt w:val="bullet"/>
      <w:lvlText w:val="•"/>
      <w:lvlJc w:val="left"/>
      <w:pPr>
        <w:ind w:left="4656" w:hanging="360"/>
      </w:pPr>
      <w:rPr>
        <w:rFonts w:hint="default"/>
        <w:lang w:val="en-US" w:eastAsia="en-US" w:bidi="ar-SA"/>
      </w:rPr>
    </w:lvl>
    <w:lvl w:ilvl="5" w:tplc="FFFFFFFF">
      <w:numFmt w:val="bullet"/>
      <w:lvlText w:val="•"/>
      <w:lvlJc w:val="left"/>
      <w:pPr>
        <w:ind w:left="5640" w:hanging="360"/>
      </w:pPr>
      <w:rPr>
        <w:rFonts w:hint="default"/>
        <w:lang w:val="en-US" w:eastAsia="en-US" w:bidi="ar-SA"/>
      </w:rPr>
    </w:lvl>
    <w:lvl w:ilvl="6" w:tplc="FFFFFFFF">
      <w:numFmt w:val="bullet"/>
      <w:lvlText w:val="•"/>
      <w:lvlJc w:val="left"/>
      <w:pPr>
        <w:ind w:left="662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592" w:hanging="360"/>
      </w:pPr>
      <w:rPr>
        <w:rFonts w:hint="default"/>
        <w:lang w:val="en-US" w:eastAsia="en-US" w:bidi="ar-SA"/>
      </w:rPr>
    </w:lvl>
  </w:abstractNum>
  <w:abstractNum w:abstractNumId="16" w15:restartNumberingAfterBreak="0">
    <w:nsid w:val="2D821B09"/>
    <w:multiLevelType w:val="hybridMultilevel"/>
    <w:tmpl w:val="65840C54"/>
    <w:lvl w:ilvl="0" w:tplc="7A4AFA52">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F">
      <w:start w:val="1"/>
      <w:numFmt w:val="decimal"/>
      <w:lvlText w:val="%2."/>
      <w:lvlJc w:val="left"/>
      <w:pPr>
        <w:ind w:left="-360" w:hanging="360"/>
      </w:pPr>
      <w:rPr>
        <w:rFonts w:hint="default"/>
        <w:b w:val="0"/>
        <w:bCs w:val="0"/>
        <w:i w:val="0"/>
        <w:iCs w:val="0"/>
        <w:w w:val="100"/>
        <w:sz w:val="22"/>
        <w:szCs w:val="22"/>
        <w:lang w:val="en-US" w:eastAsia="en-US" w:bidi="ar-SA"/>
      </w:rPr>
    </w:lvl>
    <w:lvl w:ilvl="2" w:tplc="286AF112">
      <w:numFmt w:val="bullet"/>
      <w:lvlText w:val="•"/>
      <w:lvlJc w:val="left"/>
      <w:pPr>
        <w:ind w:left="573" w:hanging="360"/>
      </w:pPr>
      <w:rPr>
        <w:rFonts w:hint="default"/>
        <w:lang w:val="en-US" w:eastAsia="en-US" w:bidi="ar-SA"/>
      </w:rPr>
    </w:lvl>
    <w:lvl w:ilvl="3" w:tplc="F2CC26F0">
      <w:numFmt w:val="bullet"/>
      <w:lvlText w:val="•"/>
      <w:lvlJc w:val="left"/>
      <w:pPr>
        <w:ind w:left="1506" w:hanging="360"/>
      </w:pPr>
      <w:rPr>
        <w:rFonts w:hint="default"/>
        <w:lang w:val="en-US" w:eastAsia="en-US" w:bidi="ar-SA"/>
      </w:rPr>
    </w:lvl>
    <w:lvl w:ilvl="4" w:tplc="41A48802">
      <w:numFmt w:val="bullet"/>
      <w:lvlText w:val="•"/>
      <w:lvlJc w:val="left"/>
      <w:pPr>
        <w:ind w:left="2440" w:hanging="360"/>
      </w:pPr>
      <w:rPr>
        <w:rFonts w:hint="default"/>
        <w:lang w:val="en-US" w:eastAsia="en-US" w:bidi="ar-SA"/>
      </w:rPr>
    </w:lvl>
    <w:lvl w:ilvl="5" w:tplc="4CA84754">
      <w:numFmt w:val="bullet"/>
      <w:lvlText w:val="•"/>
      <w:lvlJc w:val="left"/>
      <w:pPr>
        <w:ind w:left="3373" w:hanging="360"/>
      </w:pPr>
      <w:rPr>
        <w:rFonts w:hint="default"/>
        <w:lang w:val="en-US" w:eastAsia="en-US" w:bidi="ar-SA"/>
      </w:rPr>
    </w:lvl>
    <w:lvl w:ilvl="6" w:tplc="D6EE1C70">
      <w:numFmt w:val="bullet"/>
      <w:lvlText w:val="•"/>
      <w:lvlJc w:val="left"/>
      <w:pPr>
        <w:ind w:left="4306" w:hanging="360"/>
      </w:pPr>
      <w:rPr>
        <w:rFonts w:hint="default"/>
        <w:lang w:val="en-US" w:eastAsia="en-US" w:bidi="ar-SA"/>
      </w:rPr>
    </w:lvl>
    <w:lvl w:ilvl="7" w:tplc="6952F8E6">
      <w:numFmt w:val="bullet"/>
      <w:lvlText w:val="•"/>
      <w:lvlJc w:val="left"/>
      <w:pPr>
        <w:ind w:left="5240" w:hanging="360"/>
      </w:pPr>
      <w:rPr>
        <w:rFonts w:hint="default"/>
        <w:lang w:val="en-US" w:eastAsia="en-US" w:bidi="ar-SA"/>
      </w:rPr>
    </w:lvl>
    <w:lvl w:ilvl="8" w:tplc="5414D888">
      <w:numFmt w:val="bullet"/>
      <w:lvlText w:val="•"/>
      <w:lvlJc w:val="left"/>
      <w:pPr>
        <w:ind w:left="6173" w:hanging="360"/>
      </w:pPr>
      <w:rPr>
        <w:rFonts w:hint="default"/>
        <w:lang w:val="en-US" w:eastAsia="en-US" w:bidi="ar-SA"/>
      </w:rPr>
    </w:lvl>
  </w:abstractNum>
  <w:abstractNum w:abstractNumId="17" w15:restartNumberingAfterBreak="0">
    <w:nsid w:val="2E9B2891"/>
    <w:multiLevelType w:val="hybridMultilevel"/>
    <w:tmpl w:val="DFFA1B44"/>
    <w:lvl w:ilvl="0" w:tplc="42D8C998">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569E6A24">
      <w:start w:val="1"/>
      <w:numFmt w:val="lowerLetter"/>
      <w:lvlText w:val="(%2)"/>
      <w:lvlJc w:val="left"/>
      <w:pPr>
        <w:ind w:left="1620" w:hanging="449"/>
      </w:pPr>
      <w:rPr>
        <w:rFonts w:hint="default"/>
        <w:w w:val="100"/>
        <w:lang w:val="en-US" w:eastAsia="en-US" w:bidi="ar-SA"/>
      </w:rPr>
    </w:lvl>
    <w:lvl w:ilvl="2" w:tplc="55E4878E">
      <w:numFmt w:val="bullet"/>
      <w:lvlText w:val="•"/>
      <w:lvlJc w:val="left"/>
      <w:pPr>
        <w:ind w:left="2613" w:hanging="449"/>
      </w:pPr>
      <w:rPr>
        <w:rFonts w:hint="default"/>
        <w:lang w:val="en-US" w:eastAsia="en-US" w:bidi="ar-SA"/>
      </w:rPr>
    </w:lvl>
    <w:lvl w:ilvl="3" w:tplc="D8F840A6">
      <w:numFmt w:val="bullet"/>
      <w:lvlText w:val="•"/>
      <w:lvlJc w:val="left"/>
      <w:pPr>
        <w:ind w:left="3606" w:hanging="449"/>
      </w:pPr>
      <w:rPr>
        <w:rFonts w:hint="default"/>
        <w:lang w:val="en-US" w:eastAsia="en-US" w:bidi="ar-SA"/>
      </w:rPr>
    </w:lvl>
    <w:lvl w:ilvl="4" w:tplc="8AF8E1EE">
      <w:numFmt w:val="bullet"/>
      <w:lvlText w:val="•"/>
      <w:lvlJc w:val="left"/>
      <w:pPr>
        <w:ind w:left="4600" w:hanging="449"/>
      </w:pPr>
      <w:rPr>
        <w:rFonts w:hint="default"/>
        <w:lang w:val="en-US" w:eastAsia="en-US" w:bidi="ar-SA"/>
      </w:rPr>
    </w:lvl>
    <w:lvl w:ilvl="5" w:tplc="0DC6DD8A">
      <w:numFmt w:val="bullet"/>
      <w:lvlText w:val="•"/>
      <w:lvlJc w:val="left"/>
      <w:pPr>
        <w:ind w:left="5593" w:hanging="449"/>
      </w:pPr>
      <w:rPr>
        <w:rFonts w:hint="default"/>
        <w:lang w:val="en-US" w:eastAsia="en-US" w:bidi="ar-SA"/>
      </w:rPr>
    </w:lvl>
    <w:lvl w:ilvl="6" w:tplc="71FC7370">
      <w:numFmt w:val="bullet"/>
      <w:lvlText w:val="•"/>
      <w:lvlJc w:val="left"/>
      <w:pPr>
        <w:ind w:left="6586" w:hanging="449"/>
      </w:pPr>
      <w:rPr>
        <w:rFonts w:hint="default"/>
        <w:lang w:val="en-US" w:eastAsia="en-US" w:bidi="ar-SA"/>
      </w:rPr>
    </w:lvl>
    <w:lvl w:ilvl="7" w:tplc="01C407B2">
      <w:numFmt w:val="bullet"/>
      <w:lvlText w:val="•"/>
      <w:lvlJc w:val="left"/>
      <w:pPr>
        <w:ind w:left="7580" w:hanging="449"/>
      </w:pPr>
      <w:rPr>
        <w:rFonts w:hint="default"/>
        <w:lang w:val="en-US" w:eastAsia="en-US" w:bidi="ar-SA"/>
      </w:rPr>
    </w:lvl>
    <w:lvl w:ilvl="8" w:tplc="AA6A121A">
      <w:numFmt w:val="bullet"/>
      <w:lvlText w:val="•"/>
      <w:lvlJc w:val="left"/>
      <w:pPr>
        <w:ind w:left="8573" w:hanging="449"/>
      </w:pPr>
      <w:rPr>
        <w:rFonts w:hint="default"/>
        <w:lang w:val="en-US" w:eastAsia="en-US" w:bidi="ar-SA"/>
      </w:rPr>
    </w:lvl>
  </w:abstractNum>
  <w:abstractNum w:abstractNumId="18" w15:restartNumberingAfterBreak="0">
    <w:nsid w:val="30247FEF"/>
    <w:multiLevelType w:val="hybridMultilevel"/>
    <w:tmpl w:val="ADEE0F48"/>
    <w:lvl w:ilvl="0" w:tplc="A8487F1E">
      <w:start w:val="1"/>
      <w:numFmt w:val="upperRoman"/>
      <w:lvlText w:val="%1."/>
      <w:lvlJc w:val="left"/>
      <w:pPr>
        <w:ind w:left="1080" w:hanging="720"/>
      </w:pPr>
      <w:rPr>
        <w:rFonts w:hint="default"/>
        <w:w w:val="100"/>
        <w:lang w:val="en-US" w:eastAsia="en-US" w:bidi="ar-SA"/>
      </w:rPr>
    </w:lvl>
    <w:lvl w:ilvl="1" w:tplc="23783ECC">
      <w:numFmt w:val="bullet"/>
      <w:lvlText w:val=""/>
      <w:lvlJc w:val="left"/>
      <w:pPr>
        <w:ind w:left="1800" w:hanging="720"/>
      </w:pPr>
      <w:rPr>
        <w:rFonts w:ascii="Symbol" w:eastAsia="Symbol" w:hAnsi="Symbol" w:cs="Symbol" w:hint="default"/>
        <w:b w:val="0"/>
        <w:bCs w:val="0"/>
        <w:i w:val="0"/>
        <w:iCs w:val="0"/>
        <w:w w:val="100"/>
        <w:sz w:val="22"/>
        <w:szCs w:val="22"/>
        <w:lang w:val="en-US" w:eastAsia="en-US" w:bidi="ar-SA"/>
      </w:rPr>
    </w:lvl>
    <w:lvl w:ilvl="2" w:tplc="82D84072">
      <w:numFmt w:val="bullet"/>
      <w:lvlText w:val="•"/>
      <w:lvlJc w:val="left"/>
      <w:pPr>
        <w:ind w:left="2773" w:hanging="720"/>
      </w:pPr>
      <w:rPr>
        <w:rFonts w:hint="default"/>
        <w:lang w:val="en-US" w:eastAsia="en-US" w:bidi="ar-SA"/>
      </w:rPr>
    </w:lvl>
    <w:lvl w:ilvl="3" w:tplc="D03AC0C4">
      <w:numFmt w:val="bullet"/>
      <w:lvlText w:val="•"/>
      <w:lvlJc w:val="left"/>
      <w:pPr>
        <w:ind w:left="3746" w:hanging="720"/>
      </w:pPr>
      <w:rPr>
        <w:rFonts w:hint="default"/>
        <w:lang w:val="en-US" w:eastAsia="en-US" w:bidi="ar-SA"/>
      </w:rPr>
    </w:lvl>
    <w:lvl w:ilvl="4" w:tplc="C4CE9404">
      <w:numFmt w:val="bullet"/>
      <w:lvlText w:val="•"/>
      <w:lvlJc w:val="left"/>
      <w:pPr>
        <w:ind w:left="4720" w:hanging="720"/>
      </w:pPr>
      <w:rPr>
        <w:rFonts w:hint="default"/>
        <w:lang w:val="en-US" w:eastAsia="en-US" w:bidi="ar-SA"/>
      </w:rPr>
    </w:lvl>
    <w:lvl w:ilvl="5" w:tplc="D81C66F4">
      <w:numFmt w:val="bullet"/>
      <w:lvlText w:val="•"/>
      <w:lvlJc w:val="left"/>
      <w:pPr>
        <w:ind w:left="5693" w:hanging="720"/>
      </w:pPr>
      <w:rPr>
        <w:rFonts w:hint="default"/>
        <w:lang w:val="en-US" w:eastAsia="en-US" w:bidi="ar-SA"/>
      </w:rPr>
    </w:lvl>
    <w:lvl w:ilvl="6" w:tplc="2912F684">
      <w:numFmt w:val="bullet"/>
      <w:lvlText w:val="•"/>
      <w:lvlJc w:val="left"/>
      <w:pPr>
        <w:ind w:left="6666" w:hanging="720"/>
      </w:pPr>
      <w:rPr>
        <w:rFonts w:hint="default"/>
        <w:lang w:val="en-US" w:eastAsia="en-US" w:bidi="ar-SA"/>
      </w:rPr>
    </w:lvl>
    <w:lvl w:ilvl="7" w:tplc="AC98B446">
      <w:numFmt w:val="bullet"/>
      <w:lvlText w:val="•"/>
      <w:lvlJc w:val="left"/>
      <w:pPr>
        <w:ind w:left="7640" w:hanging="720"/>
      </w:pPr>
      <w:rPr>
        <w:rFonts w:hint="default"/>
        <w:lang w:val="en-US" w:eastAsia="en-US" w:bidi="ar-SA"/>
      </w:rPr>
    </w:lvl>
    <w:lvl w:ilvl="8" w:tplc="8AB23782">
      <w:numFmt w:val="bullet"/>
      <w:lvlText w:val="•"/>
      <w:lvlJc w:val="left"/>
      <w:pPr>
        <w:ind w:left="8613" w:hanging="720"/>
      </w:pPr>
      <w:rPr>
        <w:rFonts w:hint="default"/>
        <w:lang w:val="en-US" w:eastAsia="en-US" w:bidi="ar-SA"/>
      </w:rPr>
    </w:lvl>
  </w:abstractNum>
  <w:abstractNum w:abstractNumId="19" w15:restartNumberingAfterBreak="0">
    <w:nsid w:val="316B1D16"/>
    <w:multiLevelType w:val="hybridMultilevel"/>
    <w:tmpl w:val="4D9603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D0041E"/>
    <w:multiLevelType w:val="hybridMultilevel"/>
    <w:tmpl w:val="B94AF59A"/>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start w:val="1"/>
      <w:numFmt w:val="lowerLetter"/>
      <w:lvlText w:val="%2."/>
      <w:lvlJc w:val="left"/>
      <w:pPr>
        <w:ind w:left="1800" w:hanging="360"/>
      </w:pPr>
    </w:lvl>
    <w:lvl w:ilvl="2" w:tplc="04090019">
      <w:start w:val="1"/>
      <w:numFmt w:val="lowerLetter"/>
      <w:lvlText w:val="%3."/>
      <w:lvlJc w:val="left"/>
      <w:pPr>
        <w:ind w:left="2733" w:hanging="360"/>
      </w:pPr>
    </w:lvl>
    <w:lvl w:ilvl="3" w:tplc="FFFFFFFF">
      <w:numFmt w:val="bullet"/>
      <w:lvlText w:val="•"/>
      <w:lvlJc w:val="left"/>
      <w:pPr>
        <w:ind w:left="3666" w:hanging="360"/>
      </w:pPr>
      <w:rPr>
        <w:rFonts w:hint="default"/>
        <w:lang w:val="en-US" w:eastAsia="en-US" w:bidi="ar-SA"/>
      </w:rPr>
    </w:lvl>
    <w:lvl w:ilvl="4" w:tplc="FFFFFFFF">
      <w:numFmt w:val="bullet"/>
      <w:lvlText w:val="•"/>
      <w:lvlJc w:val="left"/>
      <w:pPr>
        <w:ind w:left="4600" w:hanging="360"/>
      </w:pPr>
      <w:rPr>
        <w:rFonts w:hint="default"/>
        <w:lang w:val="en-US" w:eastAsia="en-US" w:bidi="ar-SA"/>
      </w:rPr>
    </w:lvl>
    <w:lvl w:ilvl="5" w:tplc="FFFFFFFF">
      <w:numFmt w:val="bullet"/>
      <w:lvlText w:val="•"/>
      <w:lvlJc w:val="left"/>
      <w:pPr>
        <w:ind w:left="5533" w:hanging="360"/>
      </w:pPr>
      <w:rPr>
        <w:rFonts w:hint="default"/>
        <w:lang w:val="en-US" w:eastAsia="en-US" w:bidi="ar-SA"/>
      </w:rPr>
    </w:lvl>
    <w:lvl w:ilvl="6" w:tplc="FFFFFFFF">
      <w:numFmt w:val="bullet"/>
      <w:lvlText w:val="•"/>
      <w:lvlJc w:val="left"/>
      <w:pPr>
        <w:ind w:left="6466" w:hanging="360"/>
      </w:pPr>
      <w:rPr>
        <w:rFonts w:hint="default"/>
        <w:lang w:val="en-US" w:eastAsia="en-US" w:bidi="ar-SA"/>
      </w:rPr>
    </w:lvl>
    <w:lvl w:ilvl="7" w:tplc="FFFFFFFF">
      <w:numFmt w:val="bullet"/>
      <w:lvlText w:val="•"/>
      <w:lvlJc w:val="left"/>
      <w:pPr>
        <w:ind w:left="7400" w:hanging="360"/>
      </w:pPr>
      <w:rPr>
        <w:rFonts w:hint="default"/>
        <w:lang w:val="en-US" w:eastAsia="en-US" w:bidi="ar-SA"/>
      </w:rPr>
    </w:lvl>
    <w:lvl w:ilvl="8" w:tplc="FFFFFFFF">
      <w:numFmt w:val="bullet"/>
      <w:lvlText w:val="•"/>
      <w:lvlJc w:val="left"/>
      <w:pPr>
        <w:ind w:left="8333" w:hanging="360"/>
      </w:pPr>
      <w:rPr>
        <w:rFonts w:hint="default"/>
        <w:lang w:val="en-US" w:eastAsia="en-US" w:bidi="ar-SA"/>
      </w:rPr>
    </w:lvl>
  </w:abstractNum>
  <w:abstractNum w:abstractNumId="21" w15:restartNumberingAfterBreak="0">
    <w:nsid w:val="44430EF8"/>
    <w:multiLevelType w:val="hybridMultilevel"/>
    <w:tmpl w:val="C6183050"/>
    <w:lvl w:ilvl="0" w:tplc="EC2270AE">
      <w:numFmt w:val="bullet"/>
      <w:lvlText w:val=""/>
      <w:lvlJc w:val="left"/>
      <w:pPr>
        <w:ind w:left="1080" w:hanging="360"/>
      </w:pPr>
      <w:rPr>
        <w:rFonts w:ascii="Symbol" w:eastAsia="Symbol" w:hAnsi="Symbol" w:cs="Symbol" w:hint="default"/>
        <w:w w:val="100"/>
        <w:lang w:val="en-US" w:eastAsia="en-US" w:bidi="ar-SA"/>
      </w:rPr>
    </w:lvl>
    <w:lvl w:ilvl="1" w:tplc="3DBCD25E">
      <w:numFmt w:val="bullet"/>
      <w:lvlText w:val="o"/>
      <w:lvlJc w:val="left"/>
      <w:pPr>
        <w:ind w:left="1800" w:hanging="360"/>
      </w:pPr>
      <w:rPr>
        <w:rFonts w:ascii="Courier New" w:eastAsia="Courier New" w:hAnsi="Courier New" w:cs="Courier New" w:hint="default"/>
        <w:b w:val="0"/>
        <w:bCs w:val="0"/>
        <w:i w:val="0"/>
        <w:iCs w:val="0"/>
        <w:w w:val="100"/>
        <w:sz w:val="22"/>
        <w:szCs w:val="22"/>
        <w:lang w:val="en-US" w:eastAsia="en-US" w:bidi="ar-SA"/>
      </w:rPr>
    </w:lvl>
    <w:lvl w:ilvl="2" w:tplc="1C74D984">
      <w:numFmt w:val="bullet"/>
      <w:lvlText w:val="•"/>
      <w:lvlJc w:val="left"/>
      <w:pPr>
        <w:ind w:left="2773" w:hanging="360"/>
      </w:pPr>
      <w:rPr>
        <w:rFonts w:hint="default"/>
        <w:lang w:val="en-US" w:eastAsia="en-US" w:bidi="ar-SA"/>
      </w:rPr>
    </w:lvl>
    <w:lvl w:ilvl="3" w:tplc="58484D12">
      <w:numFmt w:val="bullet"/>
      <w:lvlText w:val="•"/>
      <w:lvlJc w:val="left"/>
      <w:pPr>
        <w:ind w:left="3746" w:hanging="360"/>
      </w:pPr>
      <w:rPr>
        <w:rFonts w:hint="default"/>
        <w:lang w:val="en-US" w:eastAsia="en-US" w:bidi="ar-SA"/>
      </w:rPr>
    </w:lvl>
    <w:lvl w:ilvl="4" w:tplc="1F8EFF32">
      <w:numFmt w:val="bullet"/>
      <w:lvlText w:val="•"/>
      <w:lvlJc w:val="left"/>
      <w:pPr>
        <w:ind w:left="4720" w:hanging="360"/>
      </w:pPr>
      <w:rPr>
        <w:rFonts w:hint="default"/>
        <w:lang w:val="en-US" w:eastAsia="en-US" w:bidi="ar-SA"/>
      </w:rPr>
    </w:lvl>
    <w:lvl w:ilvl="5" w:tplc="BC6E695A">
      <w:numFmt w:val="bullet"/>
      <w:lvlText w:val="•"/>
      <w:lvlJc w:val="left"/>
      <w:pPr>
        <w:ind w:left="5693" w:hanging="360"/>
      </w:pPr>
      <w:rPr>
        <w:rFonts w:hint="default"/>
        <w:lang w:val="en-US" w:eastAsia="en-US" w:bidi="ar-SA"/>
      </w:rPr>
    </w:lvl>
    <w:lvl w:ilvl="6" w:tplc="0A804A00">
      <w:numFmt w:val="bullet"/>
      <w:lvlText w:val="•"/>
      <w:lvlJc w:val="left"/>
      <w:pPr>
        <w:ind w:left="6666" w:hanging="360"/>
      </w:pPr>
      <w:rPr>
        <w:rFonts w:hint="default"/>
        <w:lang w:val="en-US" w:eastAsia="en-US" w:bidi="ar-SA"/>
      </w:rPr>
    </w:lvl>
    <w:lvl w:ilvl="7" w:tplc="3F62076C">
      <w:numFmt w:val="bullet"/>
      <w:lvlText w:val="•"/>
      <w:lvlJc w:val="left"/>
      <w:pPr>
        <w:ind w:left="7640" w:hanging="360"/>
      </w:pPr>
      <w:rPr>
        <w:rFonts w:hint="default"/>
        <w:lang w:val="en-US" w:eastAsia="en-US" w:bidi="ar-SA"/>
      </w:rPr>
    </w:lvl>
    <w:lvl w:ilvl="8" w:tplc="2B98E836">
      <w:numFmt w:val="bullet"/>
      <w:lvlText w:val="•"/>
      <w:lvlJc w:val="left"/>
      <w:pPr>
        <w:ind w:left="8613" w:hanging="360"/>
      </w:pPr>
      <w:rPr>
        <w:rFonts w:hint="default"/>
        <w:lang w:val="en-US" w:eastAsia="en-US" w:bidi="ar-SA"/>
      </w:rPr>
    </w:lvl>
  </w:abstractNum>
  <w:abstractNum w:abstractNumId="22" w15:restartNumberingAfterBreak="0">
    <w:nsid w:val="46A866F7"/>
    <w:multiLevelType w:val="hybridMultilevel"/>
    <w:tmpl w:val="D6809198"/>
    <w:lvl w:ilvl="0" w:tplc="13B8D858">
      <w:start w:val="1"/>
      <w:numFmt w:val="upperLetter"/>
      <w:lvlText w:val="%1."/>
      <w:lvlJc w:val="left"/>
      <w:pPr>
        <w:ind w:left="108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41E440B6">
      <w:numFmt w:val="bullet"/>
      <w:lvlText w:val="•"/>
      <w:lvlJc w:val="left"/>
      <w:pPr>
        <w:ind w:left="2028" w:hanging="360"/>
      </w:pPr>
      <w:rPr>
        <w:rFonts w:hint="default"/>
        <w:lang w:val="en-US" w:eastAsia="en-US" w:bidi="ar-SA"/>
      </w:rPr>
    </w:lvl>
    <w:lvl w:ilvl="2" w:tplc="FB047C88">
      <w:numFmt w:val="bullet"/>
      <w:lvlText w:val="•"/>
      <w:lvlJc w:val="left"/>
      <w:pPr>
        <w:ind w:left="2976" w:hanging="360"/>
      </w:pPr>
      <w:rPr>
        <w:rFonts w:hint="default"/>
        <w:lang w:val="en-US" w:eastAsia="en-US" w:bidi="ar-SA"/>
      </w:rPr>
    </w:lvl>
    <w:lvl w:ilvl="3" w:tplc="F82AE8B2">
      <w:numFmt w:val="bullet"/>
      <w:lvlText w:val="•"/>
      <w:lvlJc w:val="left"/>
      <w:pPr>
        <w:ind w:left="3924" w:hanging="360"/>
      </w:pPr>
      <w:rPr>
        <w:rFonts w:hint="default"/>
        <w:lang w:val="en-US" w:eastAsia="en-US" w:bidi="ar-SA"/>
      </w:rPr>
    </w:lvl>
    <w:lvl w:ilvl="4" w:tplc="99746800">
      <w:numFmt w:val="bullet"/>
      <w:lvlText w:val="•"/>
      <w:lvlJc w:val="left"/>
      <w:pPr>
        <w:ind w:left="4872" w:hanging="360"/>
      </w:pPr>
      <w:rPr>
        <w:rFonts w:hint="default"/>
        <w:lang w:val="en-US" w:eastAsia="en-US" w:bidi="ar-SA"/>
      </w:rPr>
    </w:lvl>
    <w:lvl w:ilvl="5" w:tplc="68B66ADE">
      <w:numFmt w:val="bullet"/>
      <w:lvlText w:val="•"/>
      <w:lvlJc w:val="left"/>
      <w:pPr>
        <w:ind w:left="5820" w:hanging="360"/>
      </w:pPr>
      <w:rPr>
        <w:rFonts w:hint="default"/>
        <w:lang w:val="en-US" w:eastAsia="en-US" w:bidi="ar-SA"/>
      </w:rPr>
    </w:lvl>
    <w:lvl w:ilvl="6" w:tplc="44945144">
      <w:numFmt w:val="bullet"/>
      <w:lvlText w:val="•"/>
      <w:lvlJc w:val="left"/>
      <w:pPr>
        <w:ind w:left="6768" w:hanging="360"/>
      </w:pPr>
      <w:rPr>
        <w:rFonts w:hint="default"/>
        <w:lang w:val="en-US" w:eastAsia="en-US" w:bidi="ar-SA"/>
      </w:rPr>
    </w:lvl>
    <w:lvl w:ilvl="7" w:tplc="F2286E9A">
      <w:numFmt w:val="bullet"/>
      <w:lvlText w:val="•"/>
      <w:lvlJc w:val="left"/>
      <w:pPr>
        <w:ind w:left="7716" w:hanging="360"/>
      </w:pPr>
      <w:rPr>
        <w:rFonts w:hint="default"/>
        <w:lang w:val="en-US" w:eastAsia="en-US" w:bidi="ar-SA"/>
      </w:rPr>
    </w:lvl>
    <w:lvl w:ilvl="8" w:tplc="88B2B94A">
      <w:numFmt w:val="bullet"/>
      <w:lvlText w:val="•"/>
      <w:lvlJc w:val="left"/>
      <w:pPr>
        <w:ind w:left="8664" w:hanging="360"/>
      </w:pPr>
      <w:rPr>
        <w:rFonts w:hint="default"/>
        <w:lang w:val="en-US" w:eastAsia="en-US" w:bidi="ar-SA"/>
      </w:rPr>
    </w:lvl>
  </w:abstractNum>
  <w:abstractNum w:abstractNumId="23" w15:restartNumberingAfterBreak="0">
    <w:nsid w:val="47F42ECF"/>
    <w:multiLevelType w:val="hybridMultilevel"/>
    <w:tmpl w:val="F93AC4BC"/>
    <w:lvl w:ilvl="0" w:tplc="0A4AFB36">
      <w:numFmt w:val="bullet"/>
      <w:lvlText w:val=""/>
      <w:lvlJc w:val="left"/>
      <w:pPr>
        <w:ind w:left="1800" w:hanging="720"/>
      </w:pPr>
      <w:rPr>
        <w:rFonts w:ascii="Symbol" w:eastAsia="Symbol" w:hAnsi="Symbol" w:cs="Symbol" w:hint="default"/>
        <w:b w:val="0"/>
        <w:bCs w:val="0"/>
        <w:i w:val="0"/>
        <w:iCs w:val="0"/>
        <w:w w:val="100"/>
        <w:sz w:val="22"/>
        <w:szCs w:val="22"/>
        <w:lang w:val="en-US" w:eastAsia="en-US" w:bidi="ar-SA"/>
      </w:rPr>
    </w:lvl>
    <w:lvl w:ilvl="1" w:tplc="1042228E">
      <w:numFmt w:val="bullet"/>
      <w:lvlText w:val="•"/>
      <w:lvlJc w:val="left"/>
      <w:pPr>
        <w:ind w:left="2676" w:hanging="720"/>
      </w:pPr>
      <w:rPr>
        <w:rFonts w:hint="default"/>
        <w:lang w:val="en-US" w:eastAsia="en-US" w:bidi="ar-SA"/>
      </w:rPr>
    </w:lvl>
    <w:lvl w:ilvl="2" w:tplc="0B2CF240">
      <w:numFmt w:val="bullet"/>
      <w:lvlText w:val="•"/>
      <w:lvlJc w:val="left"/>
      <w:pPr>
        <w:ind w:left="3552" w:hanging="720"/>
      </w:pPr>
      <w:rPr>
        <w:rFonts w:hint="default"/>
        <w:lang w:val="en-US" w:eastAsia="en-US" w:bidi="ar-SA"/>
      </w:rPr>
    </w:lvl>
    <w:lvl w:ilvl="3" w:tplc="1E5AD142">
      <w:numFmt w:val="bullet"/>
      <w:lvlText w:val="•"/>
      <w:lvlJc w:val="left"/>
      <w:pPr>
        <w:ind w:left="4428" w:hanging="720"/>
      </w:pPr>
      <w:rPr>
        <w:rFonts w:hint="default"/>
        <w:lang w:val="en-US" w:eastAsia="en-US" w:bidi="ar-SA"/>
      </w:rPr>
    </w:lvl>
    <w:lvl w:ilvl="4" w:tplc="7602A1FA">
      <w:numFmt w:val="bullet"/>
      <w:lvlText w:val="•"/>
      <w:lvlJc w:val="left"/>
      <w:pPr>
        <w:ind w:left="5304" w:hanging="720"/>
      </w:pPr>
      <w:rPr>
        <w:rFonts w:hint="default"/>
        <w:lang w:val="en-US" w:eastAsia="en-US" w:bidi="ar-SA"/>
      </w:rPr>
    </w:lvl>
    <w:lvl w:ilvl="5" w:tplc="6C42B978">
      <w:numFmt w:val="bullet"/>
      <w:lvlText w:val="•"/>
      <w:lvlJc w:val="left"/>
      <w:pPr>
        <w:ind w:left="6180" w:hanging="720"/>
      </w:pPr>
      <w:rPr>
        <w:rFonts w:hint="default"/>
        <w:lang w:val="en-US" w:eastAsia="en-US" w:bidi="ar-SA"/>
      </w:rPr>
    </w:lvl>
    <w:lvl w:ilvl="6" w:tplc="A60A563C">
      <w:numFmt w:val="bullet"/>
      <w:lvlText w:val="•"/>
      <w:lvlJc w:val="left"/>
      <w:pPr>
        <w:ind w:left="7056" w:hanging="720"/>
      </w:pPr>
      <w:rPr>
        <w:rFonts w:hint="default"/>
        <w:lang w:val="en-US" w:eastAsia="en-US" w:bidi="ar-SA"/>
      </w:rPr>
    </w:lvl>
    <w:lvl w:ilvl="7" w:tplc="BF8602A2">
      <w:numFmt w:val="bullet"/>
      <w:lvlText w:val="•"/>
      <w:lvlJc w:val="left"/>
      <w:pPr>
        <w:ind w:left="7932" w:hanging="720"/>
      </w:pPr>
      <w:rPr>
        <w:rFonts w:hint="default"/>
        <w:lang w:val="en-US" w:eastAsia="en-US" w:bidi="ar-SA"/>
      </w:rPr>
    </w:lvl>
    <w:lvl w:ilvl="8" w:tplc="642EC026">
      <w:numFmt w:val="bullet"/>
      <w:lvlText w:val="•"/>
      <w:lvlJc w:val="left"/>
      <w:pPr>
        <w:ind w:left="8808" w:hanging="720"/>
      </w:pPr>
      <w:rPr>
        <w:rFonts w:hint="default"/>
        <w:lang w:val="en-US" w:eastAsia="en-US" w:bidi="ar-SA"/>
      </w:rPr>
    </w:lvl>
  </w:abstractNum>
  <w:abstractNum w:abstractNumId="24" w15:restartNumberingAfterBreak="0">
    <w:nsid w:val="48494EF6"/>
    <w:multiLevelType w:val="hybridMultilevel"/>
    <w:tmpl w:val="E3D03F3C"/>
    <w:lvl w:ilvl="0" w:tplc="2B14ECA8">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71424F0A">
      <w:numFmt w:val="bullet"/>
      <w:lvlText w:val="•"/>
      <w:lvlJc w:val="left"/>
      <w:pPr>
        <w:ind w:left="2028" w:hanging="360"/>
      </w:pPr>
      <w:rPr>
        <w:rFonts w:hint="default"/>
        <w:lang w:val="en-US" w:eastAsia="en-US" w:bidi="ar-SA"/>
      </w:rPr>
    </w:lvl>
    <w:lvl w:ilvl="2" w:tplc="B964A748">
      <w:numFmt w:val="bullet"/>
      <w:lvlText w:val="•"/>
      <w:lvlJc w:val="left"/>
      <w:pPr>
        <w:ind w:left="2976" w:hanging="360"/>
      </w:pPr>
      <w:rPr>
        <w:rFonts w:hint="default"/>
        <w:lang w:val="en-US" w:eastAsia="en-US" w:bidi="ar-SA"/>
      </w:rPr>
    </w:lvl>
    <w:lvl w:ilvl="3" w:tplc="01A0A8DC">
      <w:numFmt w:val="bullet"/>
      <w:lvlText w:val="•"/>
      <w:lvlJc w:val="left"/>
      <w:pPr>
        <w:ind w:left="3924" w:hanging="360"/>
      </w:pPr>
      <w:rPr>
        <w:rFonts w:hint="default"/>
        <w:lang w:val="en-US" w:eastAsia="en-US" w:bidi="ar-SA"/>
      </w:rPr>
    </w:lvl>
    <w:lvl w:ilvl="4" w:tplc="81D0902C">
      <w:numFmt w:val="bullet"/>
      <w:lvlText w:val="•"/>
      <w:lvlJc w:val="left"/>
      <w:pPr>
        <w:ind w:left="4872" w:hanging="360"/>
      </w:pPr>
      <w:rPr>
        <w:rFonts w:hint="default"/>
        <w:lang w:val="en-US" w:eastAsia="en-US" w:bidi="ar-SA"/>
      </w:rPr>
    </w:lvl>
    <w:lvl w:ilvl="5" w:tplc="49B2B076">
      <w:numFmt w:val="bullet"/>
      <w:lvlText w:val="•"/>
      <w:lvlJc w:val="left"/>
      <w:pPr>
        <w:ind w:left="5820" w:hanging="360"/>
      </w:pPr>
      <w:rPr>
        <w:rFonts w:hint="default"/>
        <w:lang w:val="en-US" w:eastAsia="en-US" w:bidi="ar-SA"/>
      </w:rPr>
    </w:lvl>
    <w:lvl w:ilvl="6" w:tplc="32B0E5DE">
      <w:numFmt w:val="bullet"/>
      <w:lvlText w:val="•"/>
      <w:lvlJc w:val="left"/>
      <w:pPr>
        <w:ind w:left="6768" w:hanging="360"/>
      </w:pPr>
      <w:rPr>
        <w:rFonts w:hint="default"/>
        <w:lang w:val="en-US" w:eastAsia="en-US" w:bidi="ar-SA"/>
      </w:rPr>
    </w:lvl>
    <w:lvl w:ilvl="7" w:tplc="0980C52E">
      <w:numFmt w:val="bullet"/>
      <w:lvlText w:val="•"/>
      <w:lvlJc w:val="left"/>
      <w:pPr>
        <w:ind w:left="7716" w:hanging="360"/>
      </w:pPr>
      <w:rPr>
        <w:rFonts w:hint="default"/>
        <w:lang w:val="en-US" w:eastAsia="en-US" w:bidi="ar-SA"/>
      </w:rPr>
    </w:lvl>
    <w:lvl w:ilvl="8" w:tplc="0F767368">
      <w:numFmt w:val="bullet"/>
      <w:lvlText w:val="•"/>
      <w:lvlJc w:val="left"/>
      <w:pPr>
        <w:ind w:left="8664" w:hanging="360"/>
      </w:pPr>
      <w:rPr>
        <w:rFonts w:hint="default"/>
        <w:lang w:val="en-US" w:eastAsia="en-US" w:bidi="ar-SA"/>
      </w:rPr>
    </w:lvl>
  </w:abstractNum>
  <w:abstractNum w:abstractNumId="25" w15:restartNumberingAfterBreak="0">
    <w:nsid w:val="4B8C7443"/>
    <w:multiLevelType w:val="hybridMultilevel"/>
    <w:tmpl w:val="0060B0AE"/>
    <w:lvl w:ilvl="0" w:tplc="A8008736">
      <w:start w:val="1"/>
      <w:numFmt w:val="decimal"/>
      <w:lvlText w:val="%1."/>
      <w:lvlJc w:val="left"/>
      <w:pPr>
        <w:ind w:left="1440" w:hanging="360"/>
      </w:pPr>
      <w:rPr>
        <w:rFonts w:ascii="Times New Roman" w:eastAsia="Times New Roman" w:hAnsi="Times New Roman" w:cs="Times New Roman" w:hint="default"/>
        <w:b w:val="0"/>
        <w:bCs w:val="0"/>
        <w:i w:val="0"/>
        <w:iCs w:val="0"/>
        <w:w w:val="100"/>
        <w:sz w:val="22"/>
        <w:szCs w:val="22"/>
        <w:lang w:val="en-US" w:eastAsia="en-US" w:bidi="ar-SA"/>
      </w:rPr>
    </w:lvl>
    <w:lvl w:ilvl="1" w:tplc="B87017A6">
      <w:numFmt w:val="bullet"/>
      <w:lvlText w:val="•"/>
      <w:lvlJc w:val="left"/>
      <w:pPr>
        <w:ind w:left="2352" w:hanging="360"/>
      </w:pPr>
      <w:rPr>
        <w:rFonts w:hint="default"/>
        <w:lang w:val="en-US" w:eastAsia="en-US" w:bidi="ar-SA"/>
      </w:rPr>
    </w:lvl>
    <w:lvl w:ilvl="2" w:tplc="7BB2EB62">
      <w:numFmt w:val="bullet"/>
      <w:lvlText w:val="•"/>
      <w:lvlJc w:val="left"/>
      <w:pPr>
        <w:ind w:left="3264" w:hanging="360"/>
      </w:pPr>
      <w:rPr>
        <w:rFonts w:hint="default"/>
        <w:lang w:val="en-US" w:eastAsia="en-US" w:bidi="ar-SA"/>
      </w:rPr>
    </w:lvl>
    <w:lvl w:ilvl="3" w:tplc="9804354E">
      <w:numFmt w:val="bullet"/>
      <w:lvlText w:val="•"/>
      <w:lvlJc w:val="left"/>
      <w:pPr>
        <w:ind w:left="4176" w:hanging="360"/>
      </w:pPr>
      <w:rPr>
        <w:rFonts w:hint="default"/>
        <w:lang w:val="en-US" w:eastAsia="en-US" w:bidi="ar-SA"/>
      </w:rPr>
    </w:lvl>
    <w:lvl w:ilvl="4" w:tplc="6FE65186">
      <w:numFmt w:val="bullet"/>
      <w:lvlText w:val="•"/>
      <w:lvlJc w:val="left"/>
      <w:pPr>
        <w:ind w:left="5088" w:hanging="360"/>
      </w:pPr>
      <w:rPr>
        <w:rFonts w:hint="default"/>
        <w:lang w:val="en-US" w:eastAsia="en-US" w:bidi="ar-SA"/>
      </w:rPr>
    </w:lvl>
    <w:lvl w:ilvl="5" w:tplc="1C7069C4">
      <w:numFmt w:val="bullet"/>
      <w:lvlText w:val="•"/>
      <w:lvlJc w:val="left"/>
      <w:pPr>
        <w:ind w:left="6000" w:hanging="360"/>
      </w:pPr>
      <w:rPr>
        <w:rFonts w:hint="default"/>
        <w:lang w:val="en-US" w:eastAsia="en-US" w:bidi="ar-SA"/>
      </w:rPr>
    </w:lvl>
    <w:lvl w:ilvl="6" w:tplc="21AC4950">
      <w:numFmt w:val="bullet"/>
      <w:lvlText w:val="•"/>
      <w:lvlJc w:val="left"/>
      <w:pPr>
        <w:ind w:left="6912" w:hanging="360"/>
      </w:pPr>
      <w:rPr>
        <w:rFonts w:hint="default"/>
        <w:lang w:val="en-US" w:eastAsia="en-US" w:bidi="ar-SA"/>
      </w:rPr>
    </w:lvl>
    <w:lvl w:ilvl="7" w:tplc="F58EDAB6">
      <w:numFmt w:val="bullet"/>
      <w:lvlText w:val="•"/>
      <w:lvlJc w:val="left"/>
      <w:pPr>
        <w:ind w:left="7824" w:hanging="360"/>
      </w:pPr>
      <w:rPr>
        <w:rFonts w:hint="default"/>
        <w:lang w:val="en-US" w:eastAsia="en-US" w:bidi="ar-SA"/>
      </w:rPr>
    </w:lvl>
    <w:lvl w:ilvl="8" w:tplc="FE7EE89A">
      <w:numFmt w:val="bullet"/>
      <w:lvlText w:val="•"/>
      <w:lvlJc w:val="left"/>
      <w:pPr>
        <w:ind w:left="8736" w:hanging="360"/>
      </w:pPr>
      <w:rPr>
        <w:rFonts w:hint="default"/>
        <w:lang w:val="en-US" w:eastAsia="en-US" w:bidi="ar-SA"/>
      </w:rPr>
    </w:lvl>
  </w:abstractNum>
  <w:abstractNum w:abstractNumId="26" w15:restartNumberingAfterBreak="0">
    <w:nsid w:val="5BA17D3D"/>
    <w:multiLevelType w:val="hybridMultilevel"/>
    <w:tmpl w:val="4278542C"/>
    <w:lvl w:ilvl="0" w:tplc="A1A02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D453F"/>
    <w:multiLevelType w:val="hybridMultilevel"/>
    <w:tmpl w:val="E1EEE33C"/>
    <w:lvl w:ilvl="0" w:tplc="04090005">
      <w:start w:val="1"/>
      <w:numFmt w:val="bullet"/>
      <w:lvlText w:val=""/>
      <w:lvlJc w:val="left"/>
      <w:pPr>
        <w:ind w:left="1071" w:hanging="360"/>
      </w:pPr>
      <w:rPr>
        <w:rFonts w:ascii="Wingdings" w:hAnsi="Wingdings" w:hint="default"/>
        <w:b w:val="0"/>
        <w:bCs w:val="0"/>
        <w:i w:val="0"/>
        <w:iCs w:val="0"/>
        <w:w w:val="100"/>
        <w:sz w:val="22"/>
        <w:szCs w:val="22"/>
        <w:lang w:val="en-US" w:eastAsia="en-US" w:bidi="ar-SA"/>
      </w:rPr>
    </w:lvl>
    <w:lvl w:ilvl="1" w:tplc="1650404C">
      <w:start w:val="1"/>
      <w:numFmt w:val="lowerLetter"/>
      <w:lvlText w:val="%2."/>
      <w:lvlJc w:val="left"/>
      <w:pPr>
        <w:ind w:left="1800" w:hanging="360"/>
      </w:pPr>
      <w:rPr>
        <w:rFonts w:ascii="Times New Roman" w:eastAsia="Times New Roman" w:hAnsi="Times New Roman" w:cs="Times New Roman" w:hint="default"/>
        <w:b w:val="0"/>
        <w:bCs w:val="0"/>
        <w:i w:val="0"/>
        <w:iCs w:val="0"/>
        <w:w w:val="100"/>
        <w:sz w:val="22"/>
        <w:szCs w:val="22"/>
        <w:lang w:val="en-US" w:eastAsia="en-US" w:bidi="ar-SA"/>
      </w:rPr>
    </w:lvl>
    <w:lvl w:ilvl="2" w:tplc="0C0CA974">
      <w:numFmt w:val="bullet"/>
      <w:lvlText w:val="•"/>
      <w:lvlJc w:val="left"/>
      <w:pPr>
        <w:ind w:left="2773" w:hanging="360"/>
      </w:pPr>
      <w:rPr>
        <w:rFonts w:hint="default"/>
        <w:lang w:val="en-US" w:eastAsia="en-US" w:bidi="ar-SA"/>
      </w:rPr>
    </w:lvl>
    <w:lvl w:ilvl="3" w:tplc="33F0051A">
      <w:numFmt w:val="bullet"/>
      <w:lvlText w:val="•"/>
      <w:lvlJc w:val="left"/>
      <w:pPr>
        <w:ind w:left="3746" w:hanging="360"/>
      </w:pPr>
      <w:rPr>
        <w:rFonts w:hint="default"/>
        <w:lang w:val="en-US" w:eastAsia="en-US" w:bidi="ar-SA"/>
      </w:rPr>
    </w:lvl>
    <w:lvl w:ilvl="4" w:tplc="FDEE51D2">
      <w:numFmt w:val="bullet"/>
      <w:lvlText w:val="•"/>
      <w:lvlJc w:val="left"/>
      <w:pPr>
        <w:ind w:left="4720" w:hanging="360"/>
      </w:pPr>
      <w:rPr>
        <w:rFonts w:hint="default"/>
        <w:lang w:val="en-US" w:eastAsia="en-US" w:bidi="ar-SA"/>
      </w:rPr>
    </w:lvl>
    <w:lvl w:ilvl="5" w:tplc="6E7AADE6">
      <w:numFmt w:val="bullet"/>
      <w:lvlText w:val="•"/>
      <w:lvlJc w:val="left"/>
      <w:pPr>
        <w:ind w:left="5693" w:hanging="360"/>
      </w:pPr>
      <w:rPr>
        <w:rFonts w:hint="default"/>
        <w:lang w:val="en-US" w:eastAsia="en-US" w:bidi="ar-SA"/>
      </w:rPr>
    </w:lvl>
    <w:lvl w:ilvl="6" w:tplc="02248054">
      <w:numFmt w:val="bullet"/>
      <w:lvlText w:val="•"/>
      <w:lvlJc w:val="left"/>
      <w:pPr>
        <w:ind w:left="6666" w:hanging="360"/>
      </w:pPr>
      <w:rPr>
        <w:rFonts w:hint="default"/>
        <w:lang w:val="en-US" w:eastAsia="en-US" w:bidi="ar-SA"/>
      </w:rPr>
    </w:lvl>
    <w:lvl w:ilvl="7" w:tplc="77986644">
      <w:numFmt w:val="bullet"/>
      <w:lvlText w:val="•"/>
      <w:lvlJc w:val="left"/>
      <w:pPr>
        <w:ind w:left="7640" w:hanging="360"/>
      </w:pPr>
      <w:rPr>
        <w:rFonts w:hint="default"/>
        <w:lang w:val="en-US" w:eastAsia="en-US" w:bidi="ar-SA"/>
      </w:rPr>
    </w:lvl>
    <w:lvl w:ilvl="8" w:tplc="A87E75EA">
      <w:numFmt w:val="bullet"/>
      <w:lvlText w:val="•"/>
      <w:lvlJc w:val="left"/>
      <w:pPr>
        <w:ind w:left="8613" w:hanging="360"/>
      </w:pPr>
      <w:rPr>
        <w:rFonts w:hint="default"/>
        <w:lang w:val="en-US" w:eastAsia="en-US" w:bidi="ar-SA"/>
      </w:rPr>
    </w:lvl>
  </w:abstractNum>
  <w:abstractNum w:abstractNumId="28" w15:restartNumberingAfterBreak="0">
    <w:nsid w:val="5DFE2CAE"/>
    <w:multiLevelType w:val="hybridMultilevel"/>
    <w:tmpl w:val="926A8EDC"/>
    <w:lvl w:ilvl="0" w:tplc="17DC9930">
      <w:start w:val="1"/>
      <w:numFmt w:val="upperLetter"/>
      <w:lvlText w:val="%1."/>
      <w:lvlJc w:val="left"/>
      <w:pPr>
        <w:ind w:left="775" w:hanging="416"/>
      </w:pPr>
      <w:rPr>
        <w:rFonts w:ascii="Times New Roman" w:eastAsia="Times New Roman" w:hAnsi="Times New Roman" w:cs="Times New Roman" w:hint="default"/>
        <w:b/>
        <w:bCs/>
        <w:i w:val="0"/>
        <w:iCs w:val="0"/>
        <w:spacing w:val="-2"/>
        <w:w w:val="100"/>
        <w:sz w:val="22"/>
        <w:szCs w:val="22"/>
        <w:lang w:val="en-US" w:eastAsia="en-US" w:bidi="ar-SA"/>
      </w:rPr>
    </w:lvl>
    <w:lvl w:ilvl="1" w:tplc="76C62BB8">
      <w:numFmt w:val="bullet"/>
      <w:lvlText w:val="•"/>
      <w:lvlJc w:val="left"/>
      <w:pPr>
        <w:ind w:left="1758" w:hanging="416"/>
      </w:pPr>
      <w:rPr>
        <w:rFonts w:hint="default"/>
        <w:lang w:val="en-US" w:eastAsia="en-US" w:bidi="ar-SA"/>
      </w:rPr>
    </w:lvl>
    <w:lvl w:ilvl="2" w:tplc="B602F628">
      <w:numFmt w:val="bullet"/>
      <w:lvlText w:val="•"/>
      <w:lvlJc w:val="left"/>
      <w:pPr>
        <w:ind w:left="2736" w:hanging="416"/>
      </w:pPr>
      <w:rPr>
        <w:rFonts w:hint="default"/>
        <w:lang w:val="en-US" w:eastAsia="en-US" w:bidi="ar-SA"/>
      </w:rPr>
    </w:lvl>
    <w:lvl w:ilvl="3" w:tplc="E3085B64">
      <w:numFmt w:val="bullet"/>
      <w:lvlText w:val="•"/>
      <w:lvlJc w:val="left"/>
      <w:pPr>
        <w:ind w:left="3714" w:hanging="416"/>
      </w:pPr>
      <w:rPr>
        <w:rFonts w:hint="default"/>
        <w:lang w:val="en-US" w:eastAsia="en-US" w:bidi="ar-SA"/>
      </w:rPr>
    </w:lvl>
    <w:lvl w:ilvl="4" w:tplc="8426395C">
      <w:numFmt w:val="bullet"/>
      <w:lvlText w:val="•"/>
      <w:lvlJc w:val="left"/>
      <w:pPr>
        <w:ind w:left="4692" w:hanging="416"/>
      </w:pPr>
      <w:rPr>
        <w:rFonts w:hint="default"/>
        <w:lang w:val="en-US" w:eastAsia="en-US" w:bidi="ar-SA"/>
      </w:rPr>
    </w:lvl>
    <w:lvl w:ilvl="5" w:tplc="EEDC2F9C">
      <w:numFmt w:val="bullet"/>
      <w:lvlText w:val="•"/>
      <w:lvlJc w:val="left"/>
      <w:pPr>
        <w:ind w:left="5670" w:hanging="416"/>
      </w:pPr>
      <w:rPr>
        <w:rFonts w:hint="default"/>
        <w:lang w:val="en-US" w:eastAsia="en-US" w:bidi="ar-SA"/>
      </w:rPr>
    </w:lvl>
    <w:lvl w:ilvl="6" w:tplc="CD80302E">
      <w:numFmt w:val="bullet"/>
      <w:lvlText w:val="•"/>
      <w:lvlJc w:val="left"/>
      <w:pPr>
        <w:ind w:left="6648" w:hanging="416"/>
      </w:pPr>
      <w:rPr>
        <w:rFonts w:hint="default"/>
        <w:lang w:val="en-US" w:eastAsia="en-US" w:bidi="ar-SA"/>
      </w:rPr>
    </w:lvl>
    <w:lvl w:ilvl="7" w:tplc="A02EACDC">
      <w:numFmt w:val="bullet"/>
      <w:lvlText w:val="•"/>
      <w:lvlJc w:val="left"/>
      <w:pPr>
        <w:ind w:left="7626" w:hanging="416"/>
      </w:pPr>
      <w:rPr>
        <w:rFonts w:hint="default"/>
        <w:lang w:val="en-US" w:eastAsia="en-US" w:bidi="ar-SA"/>
      </w:rPr>
    </w:lvl>
    <w:lvl w:ilvl="8" w:tplc="DFBA74BC">
      <w:numFmt w:val="bullet"/>
      <w:lvlText w:val="•"/>
      <w:lvlJc w:val="left"/>
      <w:pPr>
        <w:ind w:left="8604" w:hanging="416"/>
      </w:pPr>
      <w:rPr>
        <w:rFonts w:hint="default"/>
        <w:lang w:val="en-US" w:eastAsia="en-US" w:bidi="ar-SA"/>
      </w:rPr>
    </w:lvl>
  </w:abstractNum>
  <w:abstractNum w:abstractNumId="29" w15:restartNumberingAfterBreak="0">
    <w:nsid w:val="5E4F4364"/>
    <w:multiLevelType w:val="hybridMultilevel"/>
    <w:tmpl w:val="33D4D54E"/>
    <w:lvl w:ilvl="0" w:tplc="B2BC49D8">
      <w:start w:val="1"/>
      <w:numFmt w:val="decimal"/>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690A0A74">
      <w:numFmt w:val="bullet"/>
      <w:lvlText w:val="•"/>
      <w:lvlJc w:val="left"/>
      <w:pPr>
        <w:ind w:left="1704" w:hanging="360"/>
      </w:pPr>
      <w:rPr>
        <w:rFonts w:hint="default"/>
        <w:lang w:val="en-US" w:eastAsia="en-US" w:bidi="ar-SA"/>
      </w:rPr>
    </w:lvl>
    <w:lvl w:ilvl="2" w:tplc="4126B140">
      <w:numFmt w:val="bullet"/>
      <w:lvlText w:val="•"/>
      <w:lvlJc w:val="left"/>
      <w:pPr>
        <w:ind w:left="2688" w:hanging="360"/>
      </w:pPr>
      <w:rPr>
        <w:rFonts w:hint="default"/>
        <w:lang w:val="en-US" w:eastAsia="en-US" w:bidi="ar-SA"/>
      </w:rPr>
    </w:lvl>
    <w:lvl w:ilvl="3" w:tplc="6408DFFA">
      <w:numFmt w:val="bullet"/>
      <w:lvlText w:val="•"/>
      <w:lvlJc w:val="left"/>
      <w:pPr>
        <w:ind w:left="3672" w:hanging="360"/>
      </w:pPr>
      <w:rPr>
        <w:rFonts w:hint="default"/>
        <w:lang w:val="en-US" w:eastAsia="en-US" w:bidi="ar-SA"/>
      </w:rPr>
    </w:lvl>
    <w:lvl w:ilvl="4" w:tplc="3D068910">
      <w:numFmt w:val="bullet"/>
      <w:lvlText w:val="•"/>
      <w:lvlJc w:val="left"/>
      <w:pPr>
        <w:ind w:left="4656" w:hanging="360"/>
      </w:pPr>
      <w:rPr>
        <w:rFonts w:hint="default"/>
        <w:lang w:val="en-US" w:eastAsia="en-US" w:bidi="ar-SA"/>
      </w:rPr>
    </w:lvl>
    <w:lvl w:ilvl="5" w:tplc="D4EAD2BC">
      <w:numFmt w:val="bullet"/>
      <w:lvlText w:val="•"/>
      <w:lvlJc w:val="left"/>
      <w:pPr>
        <w:ind w:left="5640" w:hanging="360"/>
      </w:pPr>
      <w:rPr>
        <w:rFonts w:hint="default"/>
        <w:lang w:val="en-US" w:eastAsia="en-US" w:bidi="ar-SA"/>
      </w:rPr>
    </w:lvl>
    <w:lvl w:ilvl="6" w:tplc="016E4290">
      <w:numFmt w:val="bullet"/>
      <w:lvlText w:val="•"/>
      <w:lvlJc w:val="left"/>
      <w:pPr>
        <w:ind w:left="6624" w:hanging="360"/>
      </w:pPr>
      <w:rPr>
        <w:rFonts w:hint="default"/>
        <w:lang w:val="en-US" w:eastAsia="en-US" w:bidi="ar-SA"/>
      </w:rPr>
    </w:lvl>
    <w:lvl w:ilvl="7" w:tplc="F2265DBE">
      <w:numFmt w:val="bullet"/>
      <w:lvlText w:val="•"/>
      <w:lvlJc w:val="left"/>
      <w:pPr>
        <w:ind w:left="7608" w:hanging="360"/>
      </w:pPr>
      <w:rPr>
        <w:rFonts w:hint="default"/>
        <w:lang w:val="en-US" w:eastAsia="en-US" w:bidi="ar-SA"/>
      </w:rPr>
    </w:lvl>
    <w:lvl w:ilvl="8" w:tplc="D12627FC">
      <w:numFmt w:val="bullet"/>
      <w:lvlText w:val="•"/>
      <w:lvlJc w:val="left"/>
      <w:pPr>
        <w:ind w:left="8592" w:hanging="360"/>
      </w:pPr>
      <w:rPr>
        <w:rFonts w:hint="default"/>
        <w:lang w:val="en-US" w:eastAsia="en-US" w:bidi="ar-SA"/>
      </w:rPr>
    </w:lvl>
  </w:abstractNum>
  <w:abstractNum w:abstractNumId="30" w15:restartNumberingAfterBreak="0">
    <w:nsid w:val="61746D9C"/>
    <w:multiLevelType w:val="hybridMultilevel"/>
    <w:tmpl w:val="6D443E02"/>
    <w:lvl w:ilvl="0" w:tplc="2D2C6DB4">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0754653E">
      <w:numFmt w:val="bullet"/>
      <w:lvlText w:val="•"/>
      <w:lvlJc w:val="left"/>
      <w:pPr>
        <w:ind w:left="2028" w:hanging="360"/>
      </w:pPr>
      <w:rPr>
        <w:rFonts w:hint="default"/>
        <w:lang w:val="en-US" w:eastAsia="en-US" w:bidi="ar-SA"/>
      </w:rPr>
    </w:lvl>
    <w:lvl w:ilvl="2" w:tplc="7E6A181E">
      <w:numFmt w:val="bullet"/>
      <w:lvlText w:val="•"/>
      <w:lvlJc w:val="left"/>
      <w:pPr>
        <w:ind w:left="2976" w:hanging="360"/>
      </w:pPr>
      <w:rPr>
        <w:rFonts w:hint="default"/>
        <w:lang w:val="en-US" w:eastAsia="en-US" w:bidi="ar-SA"/>
      </w:rPr>
    </w:lvl>
    <w:lvl w:ilvl="3" w:tplc="7772D914">
      <w:numFmt w:val="bullet"/>
      <w:lvlText w:val="•"/>
      <w:lvlJc w:val="left"/>
      <w:pPr>
        <w:ind w:left="3924" w:hanging="360"/>
      </w:pPr>
      <w:rPr>
        <w:rFonts w:hint="default"/>
        <w:lang w:val="en-US" w:eastAsia="en-US" w:bidi="ar-SA"/>
      </w:rPr>
    </w:lvl>
    <w:lvl w:ilvl="4" w:tplc="7B807370">
      <w:numFmt w:val="bullet"/>
      <w:lvlText w:val="•"/>
      <w:lvlJc w:val="left"/>
      <w:pPr>
        <w:ind w:left="4872" w:hanging="360"/>
      </w:pPr>
      <w:rPr>
        <w:rFonts w:hint="default"/>
        <w:lang w:val="en-US" w:eastAsia="en-US" w:bidi="ar-SA"/>
      </w:rPr>
    </w:lvl>
    <w:lvl w:ilvl="5" w:tplc="3498FB10">
      <w:numFmt w:val="bullet"/>
      <w:lvlText w:val="•"/>
      <w:lvlJc w:val="left"/>
      <w:pPr>
        <w:ind w:left="5820" w:hanging="360"/>
      </w:pPr>
      <w:rPr>
        <w:rFonts w:hint="default"/>
        <w:lang w:val="en-US" w:eastAsia="en-US" w:bidi="ar-SA"/>
      </w:rPr>
    </w:lvl>
    <w:lvl w:ilvl="6" w:tplc="5A26E58C">
      <w:numFmt w:val="bullet"/>
      <w:lvlText w:val="•"/>
      <w:lvlJc w:val="left"/>
      <w:pPr>
        <w:ind w:left="6768" w:hanging="360"/>
      </w:pPr>
      <w:rPr>
        <w:rFonts w:hint="default"/>
        <w:lang w:val="en-US" w:eastAsia="en-US" w:bidi="ar-SA"/>
      </w:rPr>
    </w:lvl>
    <w:lvl w:ilvl="7" w:tplc="F2CC39D8">
      <w:numFmt w:val="bullet"/>
      <w:lvlText w:val="•"/>
      <w:lvlJc w:val="left"/>
      <w:pPr>
        <w:ind w:left="7716" w:hanging="360"/>
      </w:pPr>
      <w:rPr>
        <w:rFonts w:hint="default"/>
        <w:lang w:val="en-US" w:eastAsia="en-US" w:bidi="ar-SA"/>
      </w:rPr>
    </w:lvl>
    <w:lvl w:ilvl="8" w:tplc="6CDEF538">
      <w:numFmt w:val="bullet"/>
      <w:lvlText w:val="•"/>
      <w:lvlJc w:val="left"/>
      <w:pPr>
        <w:ind w:left="8664" w:hanging="360"/>
      </w:pPr>
      <w:rPr>
        <w:rFonts w:hint="default"/>
        <w:lang w:val="en-US" w:eastAsia="en-US" w:bidi="ar-SA"/>
      </w:rPr>
    </w:lvl>
  </w:abstractNum>
  <w:abstractNum w:abstractNumId="31" w15:restartNumberingAfterBreak="0">
    <w:nsid w:val="6B794DC8"/>
    <w:multiLevelType w:val="hybridMultilevel"/>
    <w:tmpl w:val="5B868942"/>
    <w:lvl w:ilvl="0" w:tplc="3906EB6E">
      <w:start w:val="1"/>
      <w:numFmt w:val="decimal"/>
      <w:lvlText w:val="(%1)"/>
      <w:lvlJc w:val="left"/>
      <w:pPr>
        <w:ind w:left="674" w:hanging="314"/>
      </w:pPr>
      <w:rPr>
        <w:rFonts w:ascii="Times New Roman" w:eastAsia="Times New Roman" w:hAnsi="Times New Roman" w:cs="Times New Roman" w:hint="default"/>
        <w:b w:val="0"/>
        <w:bCs w:val="0"/>
        <w:i w:val="0"/>
        <w:iCs w:val="0"/>
        <w:w w:val="100"/>
        <w:sz w:val="22"/>
        <w:szCs w:val="22"/>
        <w:lang w:val="en-US" w:eastAsia="en-US" w:bidi="ar-SA"/>
      </w:rPr>
    </w:lvl>
    <w:lvl w:ilvl="1" w:tplc="7BBC45B4">
      <w:numFmt w:val="bullet"/>
      <w:lvlText w:val="•"/>
      <w:lvlJc w:val="left"/>
      <w:pPr>
        <w:ind w:left="1668" w:hanging="314"/>
      </w:pPr>
      <w:rPr>
        <w:rFonts w:hint="default"/>
        <w:lang w:val="en-US" w:eastAsia="en-US" w:bidi="ar-SA"/>
      </w:rPr>
    </w:lvl>
    <w:lvl w:ilvl="2" w:tplc="9C46ACF8">
      <w:numFmt w:val="bullet"/>
      <w:lvlText w:val="•"/>
      <w:lvlJc w:val="left"/>
      <w:pPr>
        <w:ind w:left="2656" w:hanging="314"/>
      </w:pPr>
      <w:rPr>
        <w:rFonts w:hint="default"/>
        <w:lang w:val="en-US" w:eastAsia="en-US" w:bidi="ar-SA"/>
      </w:rPr>
    </w:lvl>
    <w:lvl w:ilvl="3" w:tplc="4F7CB422">
      <w:numFmt w:val="bullet"/>
      <w:lvlText w:val="•"/>
      <w:lvlJc w:val="left"/>
      <w:pPr>
        <w:ind w:left="3644" w:hanging="314"/>
      </w:pPr>
      <w:rPr>
        <w:rFonts w:hint="default"/>
        <w:lang w:val="en-US" w:eastAsia="en-US" w:bidi="ar-SA"/>
      </w:rPr>
    </w:lvl>
    <w:lvl w:ilvl="4" w:tplc="13283366">
      <w:numFmt w:val="bullet"/>
      <w:lvlText w:val="•"/>
      <w:lvlJc w:val="left"/>
      <w:pPr>
        <w:ind w:left="4632" w:hanging="314"/>
      </w:pPr>
      <w:rPr>
        <w:rFonts w:hint="default"/>
        <w:lang w:val="en-US" w:eastAsia="en-US" w:bidi="ar-SA"/>
      </w:rPr>
    </w:lvl>
    <w:lvl w:ilvl="5" w:tplc="46129F4E">
      <w:numFmt w:val="bullet"/>
      <w:lvlText w:val="•"/>
      <w:lvlJc w:val="left"/>
      <w:pPr>
        <w:ind w:left="5620" w:hanging="314"/>
      </w:pPr>
      <w:rPr>
        <w:rFonts w:hint="default"/>
        <w:lang w:val="en-US" w:eastAsia="en-US" w:bidi="ar-SA"/>
      </w:rPr>
    </w:lvl>
    <w:lvl w:ilvl="6" w:tplc="1B6679A2">
      <w:numFmt w:val="bullet"/>
      <w:lvlText w:val="•"/>
      <w:lvlJc w:val="left"/>
      <w:pPr>
        <w:ind w:left="6608" w:hanging="314"/>
      </w:pPr>
      <w:rPr>
        <w:rFonts w:hint="default"/>
        <w:lang w:val="en-US" w:eastAsia="en-US" w:bidi="ar-SA"/>
      </w:rPr>
    </w:lvl>
    <w:lvl w:ilvl="7" w:tplc="CB68E5E8">
      <w:numFmt w:val="bullet"/>
      <w:lvlText w:val="•"/>
      <w:lvlJc w:val="left"/>
      <w:pPr>
        <w:ind w:left="7596" w:hanging="314"/>
      </w:pPr>
      <w:rPr>
        <w:rFonts w:hint="default"/>
        <w:lang w:val="en-US" w:eastAsia="en-US" w:bidi="ar-SA"/>
      </w:rPr>
    </w:lvl>
    <w:lvl w:ilvl="8" w:tplc="8EA27758">
      <w:numFmt w:val="bullet"/>
      <w:lvlText w:val="•"/>
      <w:lvlJc w:val="left"/>
      <w:pPr>
        <w:ind w:left="8584" w:hanging="314"/>
      </w:pPr>
      <w:rPr>
        <w:rFonts w:hint="default"/>
        <w:lang w:val="en-US" w:eastAsia="en-US" w:bidi="ar-SA"/>
      </w:rPr>
    </w:lvl>
  </w:abstractNum>
  <w:abstractNum w:abstractNumId="32" w15:restartNumberingAfterBreak="0">
    <w:nsid w:val="6F165DC6"/>
    <w:multiLevelType w:val="hybridMultilevel"/>
    <w:tmpl w:val="7A98B0BA"/>
    <w:lvl w:ilvl="0" w:tplc="843ECF38">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83AABBE">
      <w:numFmt w:val="bullet"/>
      <w:lvlText w:val=""/>
      <w:lvlJc w:val="left"/>
      <w:pPr>
        <w:ind w:left="878" w:hanging="159"/>
      </w:pPr>
      <w:rPr>
        <w:rFonts w:ascii="Symbol" w:eastAsia="Symbol" w:hAnsi="Symbol" w:cs="Symbol" w:hint="default"/>
        <w:b/>
        <w:bCs/>
        <w:i w:val="0"/>
        <w:iCs w:val="0"/>
        <w:w w:val="100"/>
        <w:sz w:val="22"/>
        <w:szCs w:val="22"/>
        <w:lang w:val="en-US" w:eastAsia="en-US" w:bidi="ar-SA"/>
      </w:rPr>
    </w:lvl>
    <w:lvl w:ilvl="2" w:tplc="22BCCC5A">
      <w:numFmt w:val="bullet"/>
      <w:lvlText w:val="•"/>
      <w:lvlJc w:val="left"/>
      <w:pPr>
        <w:ind w:left="1955" w:hanging="159"/>
      </w:pPr>
      <w:rPr>
        <w:rFonts w:hint="default"/>
        <w:lang w:val="en-US" w:eastAsia="en-US" w:bidi="ar-SA"/>
      </w:rPr>
    </w:lvl>
    <w:lvl w:ilvl="3" w:tplc="3FECC086">
      <w:numFmt w:val="bullet"/>
      <w:lvlText w:val="•"/>
      <w:lvlJc w:val="left"/>
      <w:pPr>
        <w:ind w:left="3031" w:hanging="159"/>
      </w:pPr>
      <w:rPr>
        <w:rFonts w:hint="default"/>
        <w:lang w:val="en-US" w:eastAsia="en-US" w:bidi="ar-SA"/>
      </w:rPr>
    </w:lvl>
    <w:lvl w:ilvl="4" w:tplc="5ACA9510">
      <w:numFmt w:val="bullet"/>
      <w:lvlText w:val="•"/>
      <w:lvlJc w:val="left"/>
      <w:pPr>
        <w:ind w:left="4106" w:hanging="159"/>
      </w:pPr>
      <w:rPr>
        <w:rFonts w:hint="default"/>
        <w:lang w:val="en-US" w:eastAsia="en-US" w:bidi="ar-SA"/>
      </w:rPr>
    </w:lvl>
    <w:lvl w:ilvl="5" w:tplc="EC12FF3E">
      <w:numFmt w:val="bullet"/>
      <w:lvlText w:val="•"/>
      <w:lvlJc w:val="left"/>
      <w:pPr>
        <w:ind w:left="5182" w:hanging="159"/>
      </w:pPr>
      <w:rPr>
        <w:rFonts w:hint="default"/>
        <w:lang w:val="en-US" w:eastAsia="en-US" w:bidi="ar-SA"/>
      </w:rPr>
    </w:lvl>
    <w:lvl w:ilvl="6" w:tplc="94285F60">
      <w:numFmt w:val="bullet"/>
      <w:lvlText w:val="•"/>
      <w:lvlJc w:val="left"/>
      <w:pPr>
        <w:ind w:left="6257" w:hanging="159"/>
      </w:pPr>
      <w:rPr>
        <w:rFonts w:hint="default"/>
        <w:lang w:val="en-US" w:eastAsia="en-US" w:bidi="ar-SA"/>
      </w:rPr>
    </w:lvl>
    <w:lvl w:ilvl="7" w:tplc="4758835E">
      <w:numFmt w:val="bullet"/>
      <w:lvlText w:val="•"/>
      <w:lvlJc w:val="left"/>
      <w:pPr>
        <w:ind w:left="7333" w:hanging="159"/>
      </w:pPr>
      <w:rPr>
        <w:rFonts w:hint="default"/>
        <w:lang w:val="en-US" w:eastAsia="en-US" w:bidi="ar-SA"/>
      </w:rPr>
    </w:lvl>
    <w:lvl w:ilvl="8" w:tplc="4D9EF63A">
      <w:numFmt w:val="bullet"/>
      <w:lvlText w:val="•"/>
      <w:lvlJc w:val="left"/>
      <w:pPr>
        <w:ind w:left="8408" w:hanging="159"/>
      </w:pPr>
      <w:rPr>
        <w:rFonts w:hint="default"/>
        <w:lang w:val="en-US" w:eastAsia="en-US" w:bidi="ar-SA"/>
      </w:rPr>
    </w:lvl>
  </w:abstractNum>
  <w:abstractNum w:abstractNumId="33" w15:restartNumberingAfterBreak="0">
    <w:nsid w:val="725A2DD8"/>
    <w:multiLevelType w:val="hybridMultilevel"/>
    <w:tmpl w:val="DDE65292"/>
    <w:lvl w:ilvl="0" w:tplc="4120FE2C">
      <w:numFmt w:val="bullet"/>
      <w:lvlText w:val=""/>
      <w:lvlJc w:val="left"/>
      <w:pPr>
        <w:ind w:left="1080" w:hanging="360"/>
      </w:pPr>
      <w:rPr>
        <w:rFonts w:ascii="Symbol" w:eastAsia="Symbol" w:hAnsi="Symbol" w:cs="Symbol" w:hint="default"/>
        <w:w w:val="99"/>
        <w:lang w:val="en-US" w:eastAsia="en-US" w:bidi="ar-SA"/>
      </w:rPr>
    </w:lvl>
    <w:lvl w:ilvl="1" w:tplc="A4DC34D0">
      <w:numFmt w:val="bullet"/>
      <w:lvlText w:val="•"/>
      <w:lvlJc w:val="left"/>
      <w:pPr>
        <w:ind w:left="2028" w:hanging="360"/>
      </w:pPr>
      <w:rPr>
        <w:rFonts w:hint="default"/>
        <w:lang w:val="en-US" w:eastAsia="en-US" w:bidi="ar-SA"/>
      </w:rPr>
    </w:lvl>
    <w:lvl w:ilvl="2" w:tplc="61686424">
      <w:numFmt w:val="bullet"/>
      <w:lvlText w:val="•"/>
      <w:lvlJc w:val="left"/>
      <w:pPr>
        <w:ind w:left="2976" w:hanging="360"/>
      </w:pPr>
      <w:rPr>
        <w:rFonts w:hint="default"/>
        <w:lang w:val="en-US" w:eastAsia="en-US" w:bidi="ar-SA"/>
      </w:rPr>
    </w:lvl>
    <w:lvl w:ilvl="3" w:tplc="0FD4968C">
      <w:numFmt w:val="bullet"/>
      <w:lvlText w:val="•"/>
      <w:lvlJc w:val="left"/>
      <w:pPr>
        <w:ind w:left="3924" w:hanging="360"/>
      </w:pPr>
      <w:rPr>
        <w:rFonts w:hint="default"/>
        <w:lang w:val="en-US" w:eastAsia="en-US" w:bidi="ar-SA"/>
      </w:rPr>
    </w:lvl>
    <w:lvl w:ilvl="4" w:tplc="19E4BD64">
      <w:numFmt w:val="bullet"/>
      <w:lvlText w:val="•"/>
      <w:lvlJc w:val="left"/>
      <w:pPr>
        <w:ind w:left="4872" w:hanging="360"/>
      </w:pPr>
      <w:rPr>
        <w:rFonts w:hint="default"/>
        <w:lang w:val="en-US" w:eastAsia="en-US" w:bidi="ar-SA"/>
      </w:rPr>
    </w:lvl>
    <w:lvl w:ilvl="5" w:tplc="5C7EAC8E">
      <w:numFmt w:val="bullet"/>
      <w:lvlText w:val="•"/>
      <w:lvlJc w:val="left"/>
      <w:pPr>
        <w:ind w:left="5820" w:hanging="360"/>
      </w:pPr>
      <w:rPr>
        <w:rFonts w:hint="default"/>
        <w:lang w:val="en-US" w:eastAsia="en-US" w:bidi="ar-SA"/>
      </w:rPr>
    </w:lvl>
    <w:lvl w:ilvl="6" w:tplc="638ED28E">
      <w:numFmt w:val="bullet"/>
      <w:lvlText w:val="•"/>
      <w:lvlJc w:val="left"/>
      <w:pPr>
        <w:ind w:left="6768" w:hanging="360"/>
      </w:pPr>
      <w:rPr>
        <w:rFonts w:hint="default"/>
        <w:lang w:val="en-US" w:eastAsia="en-US" w:bidi="ar-SA"/>
      </w:rPr>
    </w:lvl>
    <w:lvl w:ilvl="7" w:tplc="34249936">
      <w:numFmt w:val="bullet"/>
      <w:lvlText w:val="•"/>
      <w:lvlJc w:val="left"/>
      <w:pPr>
        <w:ind w:left="7716" w:hanging="360"/>
      </w:pPr>
      <w:rPr>
        <w:rFonts w:hint="default"/>
        <w:lang w:val="en-US" w:eastAsia="en-US" w:bidi="ar-SA"/>
      </w:rPr>
    </w:lvl>
    <w:lvl w:ilvl="8" w:tplc="4CFCDEFA">
      <w:numFmt w:val="bullet"/>
      <w:lvlText w:val="•"/>
      <w:lvlJc w:val="left"/>
      <w:pPr>
        <w:ind w:left="8664" w:hanging="360"/>
      </w:pPr>
      <w:rPr>
        <w:rFonts w:hint="default"/>
        <w:lang w:val="en-US" w:eastAsia="en-US" w:bidi="ar-SA"/>
      </w:rPr>
    </w:lvl>
  </w:abstractNum>
  <w:abstractNum w:abstractNumId="34" w15:restartNumberingAfterBreak="0">
    <w:nsid w:val="743F6292"/>
    <w:multiLevelType w:val="hybridMultilevel"/>
    <w:tmpl w:val="712E84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49F4CB3"/>
    <w:multiLevelType w:val="hybridMultilevel"/>
    <w:tmpl w:val="896696BA"/>
    <w:lvl w:ilvl="0" w:tplc="F312A656">
      <w:numFmt w:val="bullet"/>
      <w:lvlText w:val=""/>
      <w:lvlJc w:val="left"/>
      <w:pPr>
        <w:ind w:left="1440" w:hanging="360"/>
      </w:pPr>
      <w:rPr>
        <w:rFonts w:ascii="Symbol" w:eastAsia="Symbol" w:hAnsi="Symbol" w:cs="Symbol" w:hint="default"/>
        <w:b w:val="0"/>
        <w:bCs w:val="0"/>
        <w:i w:val="0"/>
        <w:iCs w:val="0"/>
        <w:w w:val="100"/>
        <w:sz w:val="22"/>
        <w:szCs w:val="22"/>
        <w:lang w:val="en-US" w:eastAsia="en-US" w:bidi="ar-SA"/>
      </w:rPr>
    </w:lvl>
    <w:lvl w:ilvl="1" w:tplc="B8F419E0">
      <w:numFmt w:val="bullet"/>
      <w:lvlText w:val="•"/>
      <w:lvlJc w:val="left"/>
      <w:pPr>
        <w:ind w:left="2352" w:hanging="360"/>
      </w:pPr>
      <w:rPr>
        <w:rFonts w:hint="default"/>
        <w:lang w:val="en-US" w:eastAsia="en-US" w:bidi="ar-SA"/>
      </w:rPr>
    </w:lvl>
    <w:lvl w:ilvl="2" w:tplc="308A9BEE">
      <w:numFmt w:val="bullet"/>
      <w:lvlText w:val="•"/>
      <w:lvlJc w:val="left"/>
      <w:pPr>
        <w:ind w:left="3264" w:hanging="360"/>
      </w:pPr>
      <w:rPr>
        <w:rFonts w:hint="default"/>
        <w:lang w:val="en-US" w:eastAsia="en-US" w:bidi="ar-SA"/>
      </w:rPr>
    </w:lvl>
    <w:lvl w:ilvl="3" w:tplc="7F60F43C">
      <w:numFmt w:val="bullet"/>
      <w:lvlText w:val="•"/>
      <w:lvlJc w:val="left"/>
      <w:pPr>
        <w:ind w:left="4176" w:hanging="360"/>
      </w:pPr>
      <w:rPr>
        <w:rFonts w:hint="default"/>
        <w:lang w:val="en-US" w:eastAsia="en-US" w:bidi="ar-SA"/>
      </w:rPr>
    </w:lvl>
    <w:lvl w:ilvl="4" w:tplc="2AAED6BE">
      <w:numFmt w:val="bullet"/>
      <w:lvlText w:val="•"/>
      <w:lvlJc w:val="left"/>
      <w:pPr>
        <w:ind w:left="5088" w:hanging="360"/>
      </w:pPr>
      <w:rPr>
        <w:rFonts w:hint="default"/>
        <w:lang w:val="en-US" w:eastAsia="en-US" w:bidi="ar-SA"/>
      </w:rPr>
    </w:lvl>
    <w:lvl w:ilvl="5" w:tplc="E1B8E63C">
      <w:numFmt w:val="bullet"/>
      <w:lvlText w:val="•"/>
      <w:lvlJc w:val="left"/>
      <w:pPr>
        <w:ind w:left="6000" w:hanging="360"/>
      </w:pPr>
      <w:rPr>
        <w:rFonts w:hint="default"/>
        <w:lang w:val="en-US" w:eastAsia="en-US" w:bidi="ar-SA"/>
      </w:rPr>
    </w:lvl>
    <w:lvl w:ilvl="6" w:tplc="13CE18F6">
      <w:numFmt w:val="bullet"/>
      <w:lvlText w:val="•"/>
      <w:lvlJc w:val="left"/>
      <w:pPr>
        <w:ind w:left="6912" w:hanging="360"/>
      </w:pPr>
      <w:rPr>
        <w:rFonts w:hint="default"/>
        <w:lang w:val="en-US" w:eastAsia="en-US" w:bidi="ar-SA"/>
      </w:rPr>
    </w:lvl>
    <w:lvl w:ilvl="7" w:tplc="FB6E7786">
      <w:numFmt w:val="bullet"/>
      <w:lvlText w:val="•"/>
      <w:lvlJc w:val="left"/>
      <w:pPr>
        <w:ind w:left="7824" w:hanging="360"/>
      </w:pPr>
      <w:rPr>
        <w:rFonts w:hint="default"/>
        <w:lang w:val="en-US" w:eastAsia="en-US" w:bidi="ar-SA"/>
      </w:rPr>
    </w:lvl>
    <w:lvl w:ilvl="8" w:tplc="A9ACB6E2">
      <w:numFmt w:val="bullet"/>
      <w:lvlText w:val="•"/>
      <w:lvlJc w:val="left"/>
      <w:pPr>
        <w:ind w:left="8736" w:hanging="360"/>
      </w:pPr>
      <w:rPr>
        <w:rFonts w:hint="default"/>
        <w:lang w:val="en-US" w:eastAsia="en-US" w:bidi="ar-SA"/>
      </w:rPr>
    </w:lvl>
  </w:abstractNum>
  <w:abstractNum w:abstractNumId="36" w15:restartNumberingAfterBreak="0">
    <w:nsid w:val="7B511A7B"/>
    <w:multiLevelType w:val="hybridMultilevel"/>
    <w:tmpl w:val="CD70C568"/>
    <w:lvl w:ilvl="0" w:tplc="5CE09AC4">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0F">
      <w:start w:val="1"/>
      <w:numFmt w:val="decimal"/>
      <w:lvlText w:val="%2."/>
      <w:lvlJc w:val="left"/>
      <w:pPr>
        <w:ind w:left="1080" w:hanging="360"/>
      </w:pPr>
    </w:lvl>
    <w:lvl w:ilvl="2" w:tplc="A9967E24">
      <w:start w:val="1"/>
      <w:numFmt w:val="lowerLetter"/>
      <w:lvlText w:val="%3."/>
      <w:lvlJc w:val="left"/>
      <w:pPr>
        <w:ind w:left="1800" w:hanging="360"/>
      </w:pPr>
      <w:rPr>
        <w:rFonts w:ascii="Times New Roman" w:eastAsia="Times New Roman" w:hAnsi="Times New Roman" w:cs="Times New Roman" w:hint="default"/>
        <w:b w:val="0"/>
        <w:bCs w:val="0"/>
        <w:i w:val="0"/>
        <w:iCs w:val="0"/>
        <w:w w:val="100"/>
        <w:sz w:val="22"/>
        <w:szCs w:val="22"/>
        <w:lang w:val="en-US" w:eastAsia="en-US" w:bidi="ar-SA"/>
      </w:rPr>
    </w:lvl>
    <w:lvl w:ilvl="3" w:tplc="CB865C58">
      <w:numFmt w:val="bullet"/>
      <w:lvlText w:val="•"/>
      <w:lvlJc w:val="left"/>
      <w:pPr>
        <w:ind w:left="2895" w:hanging="360"/>
      </w:pPr>
      <w:rPr>
        <w:rFonts w:hint="default"/>
        <w:lang w:val="en-US" w:eastAsia="en-US" w:bidi="ar-SA"/>
      </w:rPr>
    </w:lvl>
    <w:lvl w:ilvl="4" w:tplc="0C2A1F86">
      <w:numFmt w:val="bullet"/>
      <w:lvlText w:val="•"/>
      <w:lvlJc w:val="left"/>
      <w:pPr>
        <w:ind w:left="3990" w:hanging="360"/>
      </w:pPr>
      <w:rPr>
        <w:rFonts w:hint="default"/>
        <w:lang w:val="en-US" w:eastAsia="en-US" w:bidi="ar-SA"/>
      </w:rPr>
    </w:lvl>
    <w:lvl w:ilvl="5" w:tplc="BD96DCA0">
      <w:numFmt w:val="bullet"/>
      <w:lvlText w:val="•"/>
      <w:lvlJc w:val="left"/>
      <w:pPr>
        <w:ind w:left="5085" w:hanging="360"/>
      </w:pPr>
      <w:rPr>
        <w:rFonts w:hint="default"/>
        <w:lang w:val="en-US" w:eastAsia="en-US" w:bidi="ar-SA"/>
      </w:rPr>
    </w:lvl>
    <w:lvl w:ilvl="6" w:tplc="6CC40D58">
      <w:numFmt w:val="bullet"/>
      <w:lvlText w:val="•"/>
      <w:lvlJc w:val="left"/>
      <w:pPr>
        <w:ind w:left="6180" w:hanging="360"/>
      </w:pPr>
      <w:rPr>
        <w:rFonts w:hint="default"/>
        <w:lang w:val="en-US" w:eastAsia="en-US" w:bidi="ar-SA"/>
      </w:rPr>
    </w:lvl>
    <w:lvl w:ilvl="7" w:tplc="43A694FC">
      <w:numFmt w:val="bullet"/>
      <w:lvlText w:val="•"/>
      <w:lvlJc w:val="left"/>
      <w:pPr>
        <w:ind w:left="7275" w:hanging="360"/>
      </w:pPr>
      <w:rPr>
        <w:rFonts w:hint="default"/>
        <w:lang w:val="en-US" w:eastAsia="en-US" w:bidi="ar-SA"/>
      </w:rPr>
    </w:lvl>
    <w:lvl w:ilvl="8" w:tplc="1C94A992">
      <w:numFmt w:val="bullet"/>
      <w:lvlText w:val="•"/>
      <w:lvlJc w:val="left"/>
      <w:pPr>
        <w:ind w:left="8370" w:hanging="360"/>
      </w:pPr>
      <w:rPr>
        <w:rFonts w:hint="default"/>
        <w:lang w:val="en-US" w:eastAsia="en-US" w:bidi="ar-SA"/>
      </w:rPr>
    </w:lvl>
  </w:abstractNum>
  <w:abstractNum w:abstractNumId="37" w15:restartNumberingAfterBreak="0">
    <w:nsid w:val="7EF556CB"/>
    <w:multiLevelType w:val="hybridMultilevel"/>
    <w:tmpl w:val="FC48FB50"/>
    <w:lvl w:ilvl="0" w:tplc="AF222CE8">
      <w:numFmt w:val="bullet"/>
      <w:lvlText w:val=""/>
      <w:lvlJc w:val="left"/>
      <w:pPr>
        <w:ind w:left="876" w:hanging="156"/>
      </w:pPr>
      <w:rPr>
        <w:rFonts w:ascii="Symbol" w:eastAsia="Symbol" w:hAnsi="Symbol" w:cs="Symbol" w:hint="default"/>
        <w:b/>
        <w:bCs/>
        <w:i w:val="0"/>
        <w:iCs w:val="0"/>
        <w:w w:val="100"/>
        <w:sz w:val="22"/>
        <w:szCs w:val="22"/>
        <w:lang w:val="en-US" w:eastAsia="en-US" w:bidi="ar-SA"/>
      </w:rPr>
    </w:lvl>
    <w:lvl w:ilvl="1" w:tplc="15D4D516">
      <w:numFmt w:val="bullet"/>
      <w:lvlText w:val="•"/>
      <w:lvlJc w:val="left"/>
      <w:pPr>
        <w:ind w:left="1848" w:hanging="156"/>
      </w:pPr>
      <w:rPr>
        <w:rFonts w:hint="default"/>
        <w:lang w:val="en-US" w:eastAsia="en-US" w:bidi="ar-SA"/>
      </w:rPr>
    </w:lvl>
    <w:lvl w:ilvl="2" w:tplc="48C05346">
      <w:numFmt w:val="bullet"/>
      <w:lvlText w:val="•"/>
      <w:lvlJc w:val="left"/>
      <w:pPr>
        <w:ind w:left="2816" w:hanging="156"/>
      </w:pPr>
      <w:rPr>
        <w:rFonts w:hint="default"/>
        <w:lang w:val="en-US" w:eastAsia="en-US" w:bidi="ar-SA"/>
      </w:rPr>
    </w:lvl>
    <w:lvl w:ilvl="3" w:tplc="159A10D4">
      <w:numFmt w:val="bullet"/>
      <w:lvlText w:val="•"/>
      <w:lvlJc w:val="left"/>
      <w:pPr>
        <w:ind w:left="3784" w:hanging="156"/>
      </w:pPr>
      <w:rPr>
        <w:rFonts w:hint="default"/>
        <w:lang w:val="en-US" w:eastAsia="en-US" w:bidi="ar-SA"/>
      </w:rPr>
    </w:lvl>
    <w:lvl w:ilvl="4" w:tplc="D5A6D46C">
      <w:numFmt w:val="bullet"/>
      <w:lvlText w:val="•"/>
      <w:lvlJc w:val="left"/>
      <w:pPr>
        <w:ind w:left="4752" w:hanging="156"/>
      </w:pPr>
      <w:rPr>
        <w:rFonts w:hint="default"/>
        <w:lang w:val="en-US" w:eastAsia="en-US" w:bidi="ar-SA"/>
      </w:rPr>
    </w:lvl>
    <w:lvl w:ilvl="5" w:tplc="C982162E">
      <w:numFmt w:val="bullet"/>
      <w:lvlText w:val="•"/>
      <w:lvlJc w:val="left"/>
      <w:pPr>
        <w:ind w:left="5720" w:hanging="156"/>
      </w:pPr>
      <w:rPr>
        <w:rFonts w:hint="default"/>
        <w:lang w:val="en-US" w:eastAsia="en-US" w:bidi="ar-SA"/>
      </w:rPr>
    </w:lvl>
    <w:lvl w:ilvl="6" w:tplc="3BA82F88">
      <w:numFmt w:val="bullet"/>
      <w:lvlText w:val="•"/>
      <w:lvlJc w:val="left"/>
      <w:pPr>
        <w:ind w:left="6688" w:hanging="156"/>
      </w:pPr>
      <w:rPr>
        <w:rFonts w:hint="default"/>
        <w:lang w:val="en-US" w:eastAsia="en-US" w:bidi="ar-SA"/>
      </w:rPr>
    </w:lvl>
    <w:lvl w:ilvl="7" w:tplc="C34249D6">
      <w:numFmt w:val="bullet"/>
      <w:lvlText w:val="•"/>
      <w:lvlJc w:val="left"/>
      <w:pPr>
        <w:ind w:left="7656" w:hanging="156"/>
      </w:pPr>
      <w:rPr>
        <w:rFonts w:hint="default"/>
        <w:lang w:val="en-US" w:eastAsia="en-US" w:bidi="ar-SA"/>
      </w:rPr>
    </w:lvl>
    <w:lvl w:ilvl="8" w:tplc="26109F76">
      <w:numFmt w:val="bullet"/>
      <w:lvlText w:val="•"/>
      <w:lvlJc w:val="left"/>
      <w:pPr>
        <w:ind w:left="8624" w:hanging="156"/>
      </w:pPr>
      <w:rPr>
        <w:rFonts w:hint="default"/>
        <w:lang w:val="en-US" w:eastAsia="en-US" w:bidi="ar-SA"/>
      </w:rPr>
    </w:lvl>
  </w:abstractNum>
  <w:num w:numId="1" w16cid:durableId="571501681">
    <w:abstractNumId w:val="16"/>
  </w:num>
  <w:num w:numId="2" w16cid:durableId="1294479862">
    <w:abstractNumId w:val="25"/>
  </w:num>
  <w:num w:numId="3" w16cid:durableId="1071738052">
    <w:abstractNumId w:val="8"/>
  </w:num>
  <w:num w:numId="4" w16cid:durableId="769663356">
    <w:abstractNumId w:val="3"/>
  </w:num>
  <w:num w:numId="5" w16cid:durableId="953488512">
    <w:abstractNumId w:val="17"/>
  </w:num>
  <w:num w:numId="6" w16cid:durableId="450635344">
    <w:abstractNumId w:val="30"/>
  </w:num>
  <w:num w:numId="7" w16cid:durableId="1989820908">
    <w:abstractNumId w:val="6"/>
  </w:num>
  <w:num w:numId="8" w16cid:durableId="417604760">
    <w:abstractNumId w:val="21"/>
  </w:num>
  <w:num w:numId="9" w16cid:durableId="1702582786">
    <w:abstractNumId w:val="9"/>
  </w:num>
  <w:num w:numId="10" w16cid:durableId="1891727536">
    <w:abstractNumId w:val="28"/>
  </w:num>
  <w:num w:numId="11" w16cid:durableId="374428294">
    <w:abstractNumId w:val="31"/>
  </w:num>
  <w:num w:numId="12" w16cid:durableId="1270430338">
    <w:abstractNumId w:val="4"/>
  </w:num>
  <w:num w:numId="13" w16cid:durableId="1524590938">
    <w:abstractNumId w:val="22"/>
  </w:num>
  <w:num w:numId="14" w16cid:durableId="942540107">
    <w:abstractNumId w:val="35"/>
  </w:num>
  <w:num w:numId="15" w16cid:durableId="1158110464">
    <w:abstractNumId w:val="23"/>
  </w:num>
  <w:num w:numId="16" w16cid:durableId="652372231">
    <w:abstractNumId w:val="37"/>
  </w:num>
  <w:num w:numId="17" w16cid:durableId="1191381475">
    <w:abstractNumId w:val="33"/>
  </w:num>
  <w:num w:numId="18" w16cid:durableId="5131906">
    <w:abstractNumId w:val="27"/>
  </w:num>
  <w:num w:numId="19" w16cid:durableId="779762243">
    <w:abstractNumId w:val="11"/>
  </w:num>
  <w:num w:numId="20" w16cid:durableId="1629243331">
    <w:abstractNumId w:val="32"/>
  </w:num>
  <w:num w:numId="21" w16cid:durableId="537817553">
    <w:abstractNumId w:val="24"/>
  </w:num>
  <w:num w:numId="22" w16cid:durableId="1527332935">
    <w:abstractNumId w:val="36"/>
  </w:num>
  <w:num w:numId="23" w16cid:durableId="1306473475">
    <w:abstractNumId w:val="29"/>
  </w:num>
  <w:num w:numId="24" w16cid:durableId="2141681293">
    <w:abstractNumId w:val="18"/>
  </w:num>
  <w:num w:numId="25" w16cid:durableId="1829445376">
    <w:abstractNumId w:val="1"/>
  </w:num>
  <w:num w:numId="26" w16cid:durableId="1073696406">
    <w:abstractNumId w:val="7"/>
  </w:num>
  <w:num w:numId="27" w16cid:durableId="1836335560">
    <w:abstractNumId w:val="2"/>
  </w:num>
  <w:num w:numId="28" w16cid:durableId="940643856">
    <w:abstractNumId w:val="5"/>
  </w:num>
  <w:num w:numId="29" w16cid:durableId="1055081882">
    <w:abstractNumId w:val="14"/>
  </w:num>
  <w:num w:numId="30" w16cid:durableId="496845836">
    <w:abstractNumId w:val="12"/>
  </w:num>
  <w:num w:numId="31" w16cid:durableId="401874360">
    <w:abstractNumId w:val="0"/>
  </w:num>
  <w:num w:numId="32" w16cid:durableId="998071199">
    <w:abstractNumId w:val="26"/>
  </w:num>
  <w:num w:numId="33" w16cid:durableId="2008247435">
    <w:abstractNumId w:val="20"/>
  </w:num>
  <w:num w:numId="34" w16cid:durableId="635182424">
    <w:abstractNumId w:val="10"/>
  </w:num>
  <w:num w:numId="35" w16cid:durableId="353264901">
    <w:abstractNumId w:val="19"/>
  </w:num>
  <w:num w:numId="36" w16cid:durableId="1198466531">
    <w:abstractNumId w:val="13"/>
  </w:num>
  <w:num w:numId="37" w16cid:durableId="1515535129">
    <w:abstractNumId w:val="34"/>
  </w:num>
  <w:num w:numId="38" w16cid:durableId="45957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44"/>
    <w:rsid w:val="0000543D"/>
    <w:rsid w:val="0001138C"/>
    <w:rsid w:val="000116CD"/>
    <w:rsid w:val="00011EC0"/>
    <w:rsid w:val="0002453E"/>
    <w:rsid w:val="000314AC"/>
    <w:rsid w:val="0003635A"/>
    <w:rsid w:val="00046EA9"/>
    <w:rsid w:val="00062006"/>
    <w:rsid w:val="00070743"/>
    <w:rsid w:val="00081651"/>
    <w:rsid w:val="00082668"/>
    <w:rsid w:val="00086400"/>
    <w:rsid w:val="00097898"/>
    <w:rsid w:val="000A3CB8"/>
    <w:rsid w:val="000B1593"/>
    <w:rsid w:val="000C0170"/>
    <w:rsid w:val="000D003C"/>
    <w:rsid w:val="000F2EC1"/>
    <w:rsid w:val="000F575C"/>
    <w:rsid w:val="0010618E"/>
    <w:rsid w:val="00107593"/>
    <w:rsid w:val="00126EEF"/>
    <w:rsid w:val="001421DA"/>
    <w:rsid w:val="00151A84"/>
    <w:rsid w:val="00153DA5"/>
    <w:rsid w:val="0015585C"/>
    <w:rsid w:val="00162B8B"/>
    <w:rsid w:val="0016771A"/>
    <w:rsid w:val="0019007C"/>
    <w:rsid w:val="001D469B"/>
    <w:rsid w:val="001E6035"/>
    <w:rsid w:val="001F19CB"/>
    <w:rsid w:val="001F21E0"/>
    <w:rsid w:val="00201A80"/>
    <w:rsid w:val="00207036"/>
    <w:rsid w:val="00210447"/>
    <w:rsid w:val="002106CC"/>
    <w:rsid w:val="0021107A"/>
    <w:rsid w:val="002124C7"/>
    <w:rsid w:val="00220ADD"/>
    <w:rsid w:val="0022411F"/>
    <w:rsid w:val="00224D28"/>
    <w:rsid w:val="002304AD"/>
    <w:rsid w:val="0023416F"/>
    <w:rsid w:val="002455F4"/>
    <w:rsid w:val="00251C4B"/>
    <w:rsid w:val="00252405"/>
    <w:rsid w:val="00254A2F"/>
    <w:rsid w:val="00274DA3"/>
    <w:rsid w:val="00281CE3"/>
    <w:rsid w:val="00287AA3"/>
    <w:rsid w:val="00291FC0"/>
    <w:rsid w:val="00294A6F"/>
    <w:rsid w:val="002A4973"/>
    <w:rsid w:val="002A7187"/>
    <w:rsid w:val="002B3E30"/>
    <w:rsid w:val="002B605D"/>
    <w:rsid w:val="002C1453"/>
    <w:rsid w:val="002C3080"/>
    <w:rsid w:val="002C36A1"/>
    <w:rsid w:val="002C3843"/>
    <w:rsid w:val="002C7BCF"/>
    <w:rsid w:val="002D3000"/>
    <w:rsid w:val="002D71A1"/>
    <w:rsid w:val="002E084E"/>
    <w:rsid w:val="002E2297"/>
    <w:rsid w:val="00302342"/>
    <w:rsid w:val="0030234A"/>
    <w:rsid w:val="00307236"/>
    <w:rsid w:val="00310AF4"/>
    <w:rsid w:val="00311BD3"/>
    <w:rsid w:val="00316BEA"/>
    <w:rsid w:val="003233C6"/>
    <w:rsid w:val="00332B68"/>
    <w:rsid w:val="003331A1"/>
    <w:rsid w:val="0033393C"/>
    <w:rsid w:val="00336E59"/>
    <w:rsid w:val="003437B3"/>
    <w:rsid w:val="00347AEE"/>
    <w:rsid w:val="00347E3F"/>
    <w:rsid w:val="00362682"/>
    <w:rsid w:val="003724E6"/>
    <w:rsid w:val="003816DB"/>
    <w:rsid w:val="0039225B"/>
    <w:rsid w:val="00396872"/>
    <w:rsid w:val="003A1D8B"/>
    <w:rsid w:val="003B53EE"/>
    <w:rsid w:val="003C1821"/>
    <w:rsid w:val="003C3C6F"/>
    <w:rsid w:val="003D531E"/>
    <w:rsid w:val="003E048E"/>
    <w:rsid w:val="003E4446"/>
    <w:rsid w:val="003F194F"/>
    <w:rsid w:val="003F4608"/>
    <w:rsid w:val="004008C9"/>
    <w:rsid w:val="004033C8"/>
    <w:rsid w:val="00404B7E"/>
    <w:rsid w:val="00411A08"/>
    <w:rsid w:val="00415329"/>
    <w:rsid w:val="00431251"/>
    <w:rsid w:val="00461A45"/>
    <w:rsid w:val="00462FDC"/>
    <w:rsid w:val="00467438"/>
    <w:rsid w:val="0047059D"/>
    <w:rsid w:val="00470744"/>
    <w:rsid w:val="004752EB"/>
    <w:rsid w:val="00476332"/>
    <w:rsid w:val="00476E0A"/>
    <w:rsid w:val="00486CE7"/>
    <w:rsid w:val="004911F1"/>
    <w:rsid w:val="00491962"/>
    <w:rsid w:val="00497087"/>
    <w:rsid w:val="004C111B"/>
    <w:rsid w:val="004C3012"/>
    <w:rsid w:val="004C4286"/>
    <w:rsid w:val="004D7207"/>
    <w:rsid w:val="004D7358"/>
    <w:rsid w:val="00512C0F"/>
    <w:rsid w:val="00516DC8"/>
    <w:rsid w:val="00517EDA"/>
    <w:rsid w:val="0052591D"/>
    <w:rsid w:val="00526B63"/>
    <w:rsid w:val="0055029A"/>
    <w:rsid w:val="00550400"/>
    <w:rsid w:val="00551B54"/>
    <w:rsid w:val="005605D7"/>
    <w:rsid w:val="00560D80"/>
    <w:rsid w:val="00567369"/>
    <w:rsid w:val="00571061"/>
    <w:rsid w:val="005819E7"/>
    <w:rsid w:val="00582806"/>
    <w:rsid w:val="00585561"/>
    <w:rsid w:val="00585817"/>
    <w:rsid w:val="005A2E6C"/>
    <w:rsid w:val="005B6AD6"/>
    <w:rsid w:val="005C3568"/>
    <w:rsid w:val="005C6D36"/>
    <w:rsid w:val="005D0D6D"/>
    <w:rsid w:val="005D6AC0"/>
    <w:rsid w:val="005E3A10"/>
    <w:rsid w:val="005F4AE0"/>
    <w:rsid w:val="005F4EE6"/>
    <w:rsid w:val="005F5FEE"/>
    <w:rsid w:val="005F71A4"/>
    <w:rsid w:val="00603EDE"/>
    <w:rsid w:val="00623578"/>
    <w:rsid w:val="0062378B"/>
    <w:rsid w:val="00624AD1"/>
    <w:rsid w:val="00624D9F"/>
    <w:rsid w:val="00630894"/>
    <w:rsid w:val="0064203A"/>
    <w:rsid w:val="00644E3C"/>
    <w:rsid w:val="0066681D"/>
    <w:rsid w:val="00673C35"/>
    <w:rsid w:val="006754D3"/>
    <w:rsid w:val="0067779F"/>
    <w:rsid w:val="00684418"/>
    <w:rsid w:val="006902C6"/>
    <w:rsid w:val="0069516F"/>
    <w:rsid w:val="00695B93"/>
    <w:rsid w:val="006B4176"/>
    <w:rsid w:val="006C0EB8"/>
    <w:rsid w:val="006D08F2"/>
    <w:rsid w:val="006D0CBC"/>
    <w:rsid w:val="006D5D40"/>
    <w:rsid w:val="006E6625"/>
    <w:rsid w:val="006F0F50"/>
    <w:rsid w:val="006F289D"/>
    <w:rsid w:val="006F6FB6"/>
    <w:rsid w:val="00701C53"/>
    <w:rsid w:val="0071077E"/>
    <w:rsid w:val="00711826"/>
    <w:rsid w:val="00714A39"/>
    <w:rsid w:val="00730F67"/>
    <w:rsid w:val="00740F9E"/>
    <w:rsid w:val="00743B54"/>
    <w:rsid w:val="00760D9A"/>
    <w:rsid w:val="00764FD5"/>
    <w:rsid w:val="007679D0"/>
    <w:rsid w:val="00773ACD"/>
    <w:rsid w:val="0078307B"/>
    <w:rsid w:val="007876F9"/>
    <w:rsid w:val="007905E6"/>
    <w:rsid w:val="007909A6"/>
    <w:rsid w:val="00796568"/>
    <w:rsid w:val="00797BBB"/>
    <w:rsid w:val="007A2B6D"/>
    <w:rsid w:val="007A786B"/>
    <w:rsid w:val="007C12BE"/>
    <w:rsid w:val="007C3C0E"/>
    <w:rsid w:val="007C4004"/>
    <w:rsid w:val="007D2A1E"/>
    <w:rsid w:val="007D7EFE"/>
    <w:rsid w:val="00804AD5"/>
    <w:rsid w:val="008278A6"/>
    <w:rsid w:val="00840A83"/>
    <w:rsid w:val="008431E0"/>
    <w:rsid w:val="00854F47"/>
    <w:rsid w:val="00856312"/>
    <w:rsid w:val="0085653E"/>
    <w:rsid w:val="00870F3B"/>
    <w:rsid w:val="00871033"/>
    <w:rsid w:val="00871CD0"/>
    <w:rsid w:val="008732F9"/>
    <w:rsid w:val="00885DE3"/>
    <w:rsid w:val="00896044"/>
    <w:rsid w:val="008A61FD"/>
    <w:rsid w:val="008B2037"/>
    <w:rsid w:val="008C607E"/>
    <w:rsid w:val="008C7D7A"/>
    <w:rsid w:val="008D23C6"/>
    <w:rsid w:val="008D2C49"/>
    <w:rsid w:val="008D769E"/>
    <w:rsid w:val="008D77D8"/>
    <w:rsid w:val="008E06CD"/>
    <w:rsid w:val="008F17E6"/>
    <w:rsid w:val="008F3F20"/>
    <w:rsid w:val="00902C28"/>
    <w:rsid w:val="00912141"/>
    <w:rsid w:val="009134AB"/>
    <w:rsid w:val="00917023"/>
    <w:rsid w:val="00917481"/>
    <w:rsid w:val="00923103"/>
    <w:rsid w:val="00932F46"/>
    <w:rsid w:val="00936E63"/>
    <w:rsid w:val="009478B9"/>
    <w:rsid w:val="00953459"/>
    <w:rsid w:val="009574A0"/>
    <w:rsid w:val="00960922"/>
    <w:rsid w:val="00975565"/>
    <w:rsid w:val="00982525"/>
    <w:rsid w:val="00982550"/>
    <w:rsid w:val="00983B6C"/>
    <w:rsid w:val="009C225C"/>
    <w:rsid w:val="009C2A2E"/>
    <w:rsid w:val="009C41C4"/>
    <w:rsid w:val="009C5014"/>
    <w:rsid w:val="009D11B2"/>
    <w:rsid w:val="009D3494"/>
    <w:rsid w:val="009D408A"/>
    <w:rsid w:val="009E21D8"/>
    <w:rsid w:val="009E5BCB"/>
    <w:rsid w:val="009E6657"/>
    <w:rsid w:val="009F6FEE"/>
    <w:rsid w:val="00A01031"/>
    <w:rsid w:val="00A25A55"/>
    <w:rsid w:val="00A3292F"/>
    <w:rsid w:val="00A33E04"/>
    <w:rsid w:val="00A35D11"/>
    <w:rsid w:val="00A42F16"/>
    <w:rsid w:val="00A52E36"/>
    <w:rsid w:val="00A531F5"/>
    <w:rsid w:val="00A53B1D"/>
    <w:rsid w:val="00A638A6"/>
    <w:rsid w:val="00AA2044"/>
    <w:rsid w:val="00AA26A6"/>
    <w:rsid w:val="00AB182B"/>
    <w:rsid w:val="00AB501C"/>
    <w:rsid w:val="00AC0089"/>
    <w:rsid w:val="00AC3489"/>
    <w:rsid w:val="00AC63B4"/>
    <w:rsid w:val="00AD173A"/>
    <w:rsid w:val="00AD5DAF"/>
    <w:rsid w:val="00AE1377"/>
    <w:rsid w:val="00AE1426"/>
    <w:rsid w:val="00B20E02"/>
    <w:rsid w:val="00B21218"/>
    <w:rsid w:val="00B2169A"/>
    <w:rsid w:val="00B21B24"/>
    <w:rsid w:val="00B50F25"/>
    <w:rsid w:val="00B52992"/>
    <w:rsid w:val="00B61888"/>
    <w:rsid w:val="00B65F28"/>
    <w:rsid w:val="00B67B54"/>
    <w:rsid w:val="00B741D4"/>
    <w:rsid w:val="00B83696"/>
    <w:rsid w:val="00B92F2A"/>
    <w:rsid w:val="00B957A1"/>
    <w:rsid w:val="00B95AE9"/>
    <w:rsid w:val="00BA3A33"/>
    <w:rsid w:val="00BB3F81"/>
    <w:rsid w:val="00BC3D22"/>
    <w:rsid w:val="00BD039C"/>
    <w:rsid w:val="00BE2829"/>
    <w:rsid w:val="00BF2FA2"/>
    <w:rsid w:val="00C0251F"/>
    <w:rsid w:val="00C06DF0"/>
    <w:rsid w:val="00C112A4"/>
    <w:rsid w:val="00C16B1F"/>
    <w:rsid w:val="00C25CC6"/>
    <w:rsid w:val="00C31BC7"/>
    <w:rsid w:val="00C324CE"/>
    <w:rsid w:val="00C50749"/>
    <w:rsid w:val="00C53074"/>
    <w:rsid w:val="00C533DD"/>
    <w:rsid w:val="00C62F6C"/>
    <w:rsid w:val="00C65BED"/>
    <w:rsid w:val="00C711F7"/>
    <w:rsid w:val="00C90838"/>
    <w:rsid w:val="00C92033"/>
    <w:rsid w:val="00CA1A06"/>
    <w:rsid w:val="00CA1B06"/>
    <w:rsid w:val="00CA6176"/>
    <w:rsid w:val="00CA7EBA"/>
    <w:rsid w:val="00CB740B"/>
    <w:rsid w:val="00CC56D4"/>
    <w:rsid w:val="00CD7A44"/>
    <w:rsid w:val="00CD7F37"/>
    <w:rsid w:val="00CF1077"/>
    <w:rsid w:val="00CF3A12"/>
    <w:rsid w:val="00CF42AB"/>
    <w:rsid w:val="00CF59EC"/>
    <w:rsid w:val="00CF7EE8"/>
    <w:rsid w:val="00D010D3"/>
    <w:rsid w:val="00D15C09"/>
    <w:rsid w:val="00D221A4"/>
    <w:rsid w:val="00D274D3"/>
    <w:rsid w:val="00D352EF"/>
    <w:rsid w:val="00D42199"/>
    <w:rsid w:val="00D4501B"/>
    <w:rsid w:val="00D55F1E"/>
    <w:rsid w:val="00D727FF"/>
    <w:rsid w:val="00D75351"/>
    <w:rsid w:val="00D90FA7"/>
    <w:rsid w:val="00DA22AA"/>
    <w:rsid w:val="00DB0DF3"/>
    <w:rsid w:val="00DB327D"/>
    <w:rsid w:val="00DB33F6"/>
    <w:rsid w:val="00DB6E0B"/>
    <w:rsid w:val="00DD6C28"/>
    <w:rsid w:val="00DF3A6B"/>
    <w:rsid w:val="00DF5BD8"/>
    <w:rsid w:val="00E10461"/>
    <w:rsid w:val="00E207AB"/>
    <w:rsid w:val="00E21B69"/>
    <w:rsid w:val="00E240B7"/>
    <w:rsid w:val="00E33113"/>
    <w:rsid w:val="00E424AE"/>
    <w:rsid w:val="00E832FA"/>
    <w:rsid w:val="00E84426"/>
    <w:rsid w:val="00E95798"/>
    <w:rsid w:val="00EA4BCE"/>
    <w:rsid w:val="00EA7611"/>
    <w:rsid w:val="00EA7978"/>
    <w:rsid w:val="00EB7EC7"/>
    <w:rsid w:val="00EF0A8C"/>
    <w:rsid w:val="00F21D5F"/>
    <w:rsid w:val="00F35AE2"/>
    <w:rsid w:val="00F36C21"/>
    <w:rsid w:val="00F51E6D"/>
    <w:rsid w:val="00F56B08"/>
    <w:rsid w:val="00F84AE6"/>
    <w:rsid w:val="00F92EBD"/>
    <w:rsid w:val="00F96A06"/>
    <w:rsid w:val="00FA38F7"/>
    <w:rsid w:val="00FB15D0"/>
    <w:rsid w:val="00FB2B07"/>
    <w:rsid w:val="00FC35D4"/>
    <w:rsid w:val="00FC47E5"/>
    <w:rsid w:val="00FC66BA"/>
    <w:rsid w:val="00FD6043"/>
    <w:rsid w:val="00FF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BC6C"/>
  <w15:docId w15:val="{88D08321-5023-49AD-BA10-B8C7ED22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6B08"/>
    <w:rPr>
      <w:rFonts w:ascii="Times New Roman" w:eastAsia="Times New Roman" w:hAnsi="Times New Roman" w:cs="Times New Roman"/>
    </w:rPr>
  </w:style>
  <w:style w:type="paragraph" w:styleId="Heading1">
    <w:name w:val="heading 1"/>
    <w:basedOn w:val="Normal"/>
    <w:uiPriority w:val="1"/>
    <w:qFormat/>
    <w:pPr>
      <w:ind w:left="360"/>
      <w:jc w:val="center"/>
      <w:outlineLvl w:val="0"/>
    </w:pPr>
    <w:rPr>
      <w:b/>
      <w:bCs/>
      <w:sz w:val="24"/>
      <w:szCs w:val="24"/>
    </w:rPr>
  </w:style>
  <w:style w:type="paragraph" w:styleId="Heading2">
    <w:name w:val="heading 2"/>
    <w:basedOn w:val="Normal"/>
    <w:uiPriority w:val="1"/>
    <w:qFormat/>
    <w:pPr>
      <w:ind w:left="1080" w:hanging="721"/>
      <w:outlineLvl w:val="1"/>
    </w:pPr>
    <w:rPr>
      <w:b/>
      <w:bCs/>
      <w:u w:val="single" w:color="000000"/>
    </w:rPr>
  </w:style>
  <w:style w:type="paragraph" w:styleId="Heading3">
    <w:name w:val="heading 3"/>
    <w:basedOn w:val="Normal"/>
    <w:uiPriority w:val="1"/>
    <w:qFormat/>
    <w:pPr>
      <w:ind w:left="360"/>
      <w:outlineLvl w:val="2"/>
    </w:pPr>
    <w:rPr>
      <w:b/>
      <w:bCs/>
    </w:rPr>
  </w:style>
  <w:style w:type="paragraph" w:styleId="Heading4">
    <w:name w:val="heading 4"/>
    <w:basedOn w:val="Normal"/>
    <w:next w:val="Normal"/>
    <w:link w:val="Heading4Char"/>
    <w:uiPriority w:val="9"/>
    <w:unhideWhenUsed/>
    <w:qFormat/>
    <w:rsid w:val="006D08F2"/>
    <w:pPr>
      <w:keepNext/>
      <w:keepLines/>
      <w:spacing w:before="40" w:after="240"/>
      <w:outlineLvl w:val="3"/>
    </w:pPr>
    <w:rPr>
      <w:rFonts w:asciiTheme="minorHAnsi" w:eastAsiaTheme="majorEastAsia" w:hAnsiTheme="minorHAnsi" w:cstheme="minorHAnsi"/>
      <w:b/>
      <w:bCs/>
    </w:rPr>
  </w:style>
  <w:style w:type="paragraph" w:styleId="Heading5">
    <w:name w:val="heading 5"/>
    <w:basedOn w:val="Normal"/>
    <w:next w:val="Normal"/>
    <w:link w:val="Heading5Char"/>
    <w:uiPriority w:val="9"/>
    <w:unhideWhenUsed/>
    <w:qFormat/>
    <w:rsid w:val="00307236"/>
    <w:pPr>
      <w:widowControl/>
      <w:autoSpaceDE/>
      <w:autoSpaceDN/>
      <w:outlineLvl w:val="4"/>
    </w:pPr>
    <w:rPr>
      <w:rFonts w:ascii="Calibri" w:hAnsi="Calibri" w:cs="Calibri"/>
      <w:b/>
      <w:bCs/>
      <w:color w:val="44546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4"/>
      <w:ind w:left="1080" w:hanging="721"/>
    </w:pPr>
    <w:rPr>
      <w:sz w:val="24"/>
      <w:szCs w:val="24"/>
      <w:u w:val="single" w:color="000000"/>
    </w:rPr>
  </w:style>
  <w:style w:type="paragraph" w:styleId="TOC2">
    <w:name w:val="toc 2"/>
    <w:basedOn w:val="Normal"/>
    <w:uiPriority w:val="1"/>
    <w:qFormat/>
    <w:pPr>
      <w:spacing w:before="251"/>
      <w:ind w:left="1080" w:hanging="721"/>
    </w:pPr>
    <w:rPr>
      <w:u w:val="single" w:color="000000"/>
    </w:rPr>
  </w:style>
  <w:style w:type="paragraph" w:styleId="TOC3">
    <w:name w:val="toc 3"/>
    <w:basedOn w:val="Normal"/>
    <w:uiPriority w:val="1"/>
    <w:qFormat/>
    <w:pPr>
      <w:spacing w:line="252" w:lineRule="exact"/>
      <w:ind w:left="1800" w:hanging="721"/>
    </w:pPr>
  </w:style>
  <w:style w:type="paragraph" w:styleId="TOC4">
    <w:name w:val="toc 4"/>
    <w:basedOn w:val="Normal"/>
    <w:uiPriority w:val="1"/>
    <w:qFormat/>
    <w:pPr>
      <w:spacing w:before="2"/>
      <w:ind w:left="1800"/>
    </w:pPr>
  </w:style>
  <w:style w:type="paragraph" w:styleId="BodyText">
    <w:name w:val="Body Text"/>
    <w:basedOn w:val="Normal"/>
    <w:link w:val="BodyTextChar"/>
    <w:uiPriority w:val="1"/>
    <w:qFormat/>
  </w:style>
  <w:style w:type="paragraph" w:styleId="Title">
    <w:name w:val="Title"/>
    <w:basedOn w:val="Normal"/>
    <w:uiPriority w:val="1"/>
    <w:qFormat/>
    <w:pPr>
      <w:spacing w:before="1"/>
      <w:ind w:left="1549" w:right="1886"/>
      <w:jc w:val="center"/>
    </w:pPr>
    <w:rPr>
      <w:b/>
      <w:bCs/>
      <w:sz w:val="48"/>
      <w:szCs w:val="48"/>
    </w:rPr>
  </w:style>
  <w:style w:type="paragraph" w:styleId="ListParagraph">
    <w:name w:val="List Paragraph"/>
    <w:basedOn w:val="Normal"/>
    <w:uiPriority w:val="34"/>
    <w:qFormat/>
    <w:pPr>
      <w:ind w:left="1080" w:hanging="361"/>
    </w:pPr>
  </w:style>
  <w:style w:type="paragraph" w:customStyle="1" w:styleId="TableParagraph">
    <w:name w:val="Table Paragraph"/>
    <w:basedOn w:val="Normal"/>
    <w:uiPriority w:val="1"/>
    <w:qFormat/>
    <w:pPr>
      <w:ind w:left="107"/>
    </w:pPr>
    <w:rPr>
      <w:rFonts w:ascii="Arial" w:eastAsia="Arial" w:hAnsi="Arial" w:cs="Arial"/>
    </w:rPr>
  </w:style>
  <w:style w:type="character" w:styleId="Hyperlink">
    <w:name w:val="Hyperlink"/>
    <w:basedOn w:val="DefaultParagraphFont"/>
    <w:unhideWhenUsed/>
    <w:rsid w:val="00107593"/>
    <w:rPr>
      <w:color w:val="0000FF"/>
      <w:u w:val="single"/>
    </w:rPr>
  </w:style>
  <w:style w:type="paragraph" w:styleId="Header">
    <w:name w:val="header"/>
    <w:basedOn w:val="Normal"/>
    <w:link w:val="HeaderChar"/>
    <w:uiPriority w:val="99"/>
    <w:unhideWhenUsed/>
    <w:rsid w:val="00310AF4"/>
    <w:pPr>
      <w:tabs>
        <w:tab w:val="center" w:pos="4680"/>
        <w:tab w:val="right" w:pos="9360"/>
      </w:tabs>
    </w:pPr>
  </w:style>
  <w:style w:type="character" w:customStyle="1" w:styleId="HeaderChar">
    <w:name w:val="Header Char"/>
    <w:basedOn w:val="DefaultParagraphFont"/>
    <w:link w:val="Header"/>
    <w:uiPriority w:val="99"/>
    <w:rsid w:val="00310AF4"/>
    <w:rPr>
      <w:rFonts w:ascii="Times New Roman" w:eastAsia="Times New Roman" w:hAnsi="Times New Roman" w:cs="Times New Roman"/>
    </w:rPr>
  </w:style>
  <w:style w:type="paragraph" w:styleId="Footer">
    <w:name w:val="footer"/>
    <w:basedOn w:val="Normal"/>
    <w:link w:val="FooterChar"/>
    <w:uiPriority w:val="99"/>
    <w:unhideWhenUsed/>
    <w:rsid w:val="00310AF4"/>
    <w:pPr>
      <w:tabs>
        <w:tab w:val="center" w:pos="4680"/>
        <w:tab w:val="right" w:pos="9360"/>
      </w:tabs>
    </w:pPr>
  </w:style>
  <w:style w:type="character" w:customStyle="1" w:styleId="FooterChar">
    <w:name w:val="Footer Char"/>
    <w:basedOn w:val="DefaultParagraphFont"/>
    <w:link w:val="Footer"/>
    <w:uiPriority w:val="99"/>
    <w:rsid w:val="00310AF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574A0"/>
    <w:rPr>
      <w:sz w:val="16"/>
      <w:szCs w:val="16"/>
    </w:rPr>
  </w:style>
  <w:style w:type="paragraph" w:styleId="CommentText">
    <w:name w:val="annotation text"/>
    <w:basedOn w:val="Normal"/>
    <w:link w:val="CommentTextChar"/>
    <w:uiPriority w:val="99"/>
    <w:semiHidden/>
    <w:unhideWhenUsed/>
    <w:rsid w:val="009574A0"/>
    <w:rPr>
      <w:sz w:val="20"/>
      <w:szCs w:val="20"/>
    </w:rPr>
  </w:style>
  <w:style w:type="character" w:customStyle="1" w:styleId="CommentTextChar">
    <w:name w:val="Comment Text Char"/>
    <w:basedOn w:val="DefaultParagraphFont"/>
    <w:link w:val="CommentText"/>
    <w:uiPriority w:val="99"/>
    <w:semiHidden/>
    <w:rsid w:val="009574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4A0"/>
    <w:rPr>
      <w:b/>
      <w:bCs/>
    </w:rPr>
  </w:style>
  <w:style w:type="character" w:customStyle="1" w:styleId="CommentSubjectChar">
    <w:name w:val="Comment Subject Char"/>
    <w:basedOn w:val="CommentTextChar"/>
    <w:link w:val="CommentSubject"/>
    <w:uiPriority w:val="99"/>
    <w:semiHidden/>
    <w:rsid w:val="009574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7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4A0"/>
    <w:rPr>
      <w:rFonts w:ascii="Segoe UI" w:eastAsia="Times New Roman" w:hAnsi="Segoe UI" w:cs="Segoe UI"/>
      <w:sz w:val="18"/>
      <w:szCs w:val="18"/>
    </w:rPr>
  </w:style>
  <w:style w:type="paragraph" w:styleId="NormalWeb">
    <w:name w:val="Normal (Web)"/>
    <w:basedOn w:val="Normal"/>
    <w:uiPriority w:val="99"/>
    <w:semiHidden/>
    <w:unhideWhenUsed/>
    <w:rsid w:val="001F21E0"/>
    <w:pPr>
      <w:widowControl/>
      <w:autoSpaceDE/>
      <w:autoSpaceDN/>
      <w:spacing w:before="100" w:beforeAutospacing="1" w:after="100" w:afterAutospacing="1"/>
    </w:pPr>
    <w:rPr>
      <w:sz w:val="24"/>
      <w:szCs w:val="24"/>
    </w:rPr>
  </w:style>
  <w:style w:type="table" w:styleId="TableGrid">
    <w:name w:val="Table Grid"/>
    <w:basedOn w:val="TableNormal"/>
    <w:uiPriority w:val="39"/>
    <w:rsid w:val="00126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6FB6"/>
    <w:rPr>
      <w:color w:val="800080" w:themeColor="followedHyperlink"/>
      <w:u w:val="single"/>
    </w:rPr>
  </w:style>
  <w:style w:type="character" w:styleId="UnresolvedMention">
    <w:name w:val="Unresolved Mention"/>
    <w:basedOn w:val="DefaultParagraphFont"/>
    <w:uiPriority w:val="99"/>
    <w:semiHidden/>
    <w:unhideWhenUsed/>
    <w:rsid w:val="006F6FB6"/>
    <w:rPr>
      <w:color w:val="605E5C"/>
      <w:shd w:val="clear" w:color="auto" w:fill="E1DFDD"/>
    </w:rPr>
  </w:style>
  <w:style w:type="paragraph" w:styleId="Revision">
    <w:name w:val="Revision"/>
    <w:hidden/>
    <w:uiPriority w:val="99"/>
    <w:semiHidden/>
    <w:rsid w:val="00C62F6C"/>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51A84"/>
    <w:rPr>
      <w:rFonts w:ascii="Times New Roman" w:eastAsia="Times New Roman" w:hAnsi="Times New Roman" w:cs="Times New Roman"/>
    </w:rPr>
  </w:style>
  <w:style w:type="character" w:customStyle="1" w:styleId="Heading4Char">
    <w:name w:val="Heading 4 Char"/>
    <w:basedOn w:val="DefaultParagraphFont"/>
    <w:link w:val="Heading4"/>
    <w:uiPriority w:val="9"/>
    <w:rsid w:val="006D08F2"/>
    <w:rPr>
      <w:rFonts w:eastAsiaTheme="majorEastAsia" w:cstheme="minorHAnsi"/>
      <w:b/>
      <w:bCs/>
    </w:rPr>
  </w:style>
  <w:style w:type="character" w:customStyle="1" w:styleId="Heading5Char">
    <w:name w:val="Heading 5 Char"/>
    <w:basedOn w:val="DefaultParagraphFont"/>
    <w:link w:val="Heading5"/>
    <w:uiPriority w:val="9"/>
    <w:rsid w:val="00307236"/>
    <w:rPr>
      <w:rFonts w:ascii="Calibri" w:eastAsia="Times New Roman" w:hAnsi="Calibri" w:cs="Calibri"/>
      <w:b/>
      <w:bCs/>
      <w:color w:val="44546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6044">
      <w:bodyDiv w:val="1"/>
      <w:marLeft w:val="0"/>
      <w:marRight w:val="0"/>
      <w:marTop w:val="0"/>
      <w:marBottom w:val="0"/>
      <w:divBdr>
        <w:top w:val="none" w:sz="0" w:space="0" w:color="auto"/>
        <w:left w:val="none" w:sz="0" w:space="0" w:color="auto"/>
        <w:bottom w:val="none" w:sz="0" w:space="0" w:color="auto"/>
        <w:right w:val="none" w:sz="0" w:space="0" w:color="auto"/>
      </w:divBdr>
    </w:div>
    <w:div w:id="291904193">
      <w:bodyDiv w:val="1"/>
      <w:marLeft w:val="0"/>
      <w:marRight w:val="0"/>
      <w:marTop w:val="0"/>
      <w:marBottom w:val="0"/>
      <w:divBdr>
        <w:top w:val="none" w:sz="0" w:space="0" w:color="auto"/>
        <w:left w:val="none" w:sz="0" w:space="0" w:color="auto"/>
        <w:bottom w:val="none" w:sz="0" w:space="0" w:color="auto"/>
        <w:right w:val="none" w:sz="0" w:space="0" w:color="auto"/>
      </w:divBdr>
    </w:div>
    <w:div w:id="366833870">
      <w:bodyDiv w:val="1"/>
      <w:marLeft w:val="0"/>
      <w:marRight w:val="0"/>
      <w:marTop w:val="0"/>
      <w:marBottom w:val="0"/>
      <w:divBdr>
        <w:top w:val="none" w:sz="0" w:space="0" w:color="auto"/>
        <w:left w:val="none" w:sz="0" w:space="0" w:color="auto"/>
        <w:bottom w:val="none" w:sz="0" w:space="0" w:color="auto"/>
        <w:right w:val="none" w:sz="0" w:space="0" w:color="auto"/>
      </w:divBdr>
    </w:div>
    <w:div w:id="895823428">
      <w:bodyDiv w:val="1"/>
      <w:marLeft w:val="0"/>
      <w:marRight w:val="0"/>
      <w:marTop w:val="0"/>
      <w:marBottom w:val="0"/>
      <w:divBdr>
        <w:top w:val="none" w:sz="0" w:space="0" w:color="auto"/>
        <w:left w:val="none" w:sz="0" w:space="0" w:color="auto"/>
        <w:bottom w:val="none" w:sz="0" w:space="0" w:color="auto"/>
        <w:right w:val="none" w:sz="0" w:space="0" w:color="auto"/>
      </w:divBdr>
    </w:div>
    <w:div w:id="1337883697">
      <w:bodyDiv w:val="1"/>
      <w:marLeft w:val="0"/>
      <w:marRight w:val="0"/>
      <w:marTop w:val="0"/>
      <w:marBottom w:val="0"/>
      <w:divBdr>
        <w:top w:val="none" w:sz="0" w:space="0" w:color="auto"/>
        <w:left w:val="none" w:sz="0" w:space="0" w:color="auto"/>
        <w:bottom w:val="none" w:sz="0" w:space="0" w:color="auto"/>
        <w:right w:val="none" w:sz="0" w:space="0" w:color="auto"/>
      </w:divBdr>
    </w:div>
    <w:div w:id="1522624276">
      <w:bodyDiv w:val="1"/>
      <w:marLeft w:val="0"/>
      <w:marRight w:val="0"/>
      <w:marTop w:val="0"/>
      <w:marBottom w:val="0"/>
      <w:divBdr>
        <w:top w:val="none" w:sz="0" w:space="0" w:color="auto"/>
        <w:left w:val="none" w:sz="0" w:space="0" w:color="auto"/>
        <w:bottom w:val="none" w:sz="0" w:space="0" w:color="auto"/>
        <w:right w:val="none" w:sz="0" w:space="0" w:color="auto"/>
      </w:divBdr>
    </w:div>
    <w:div w:id="1717002159">
      <w:bodyDiv w:val="1"/>
      <w:marLeft w:val="0"/>
      <w:marRight w:val="0"/>
      <w:marTop w:val="0"/>
      <w:marBottom w:val="0"/>
      <w:divBdr>
        <w:top w:val="none" w:sz="0" w:space="0" w:color="auto"/>
        <w:left w:val="none" w:sz="0" w:space="0" w:color="auto"/>
        <w:bottom w:val="none" w:sz="0" w:space="0" w:color="auto"/>
        <w:right w:val="none" w:sz="0" w:space="0" w:color="auto"/>
      </w:divBdr>
    </w:div>
    <w:div w:id="1717194317">
      <w:bodyDiv w:val="1"/>
      <w:marLeft w:val="0"/>
      <w:marRight w:val="0"/>
      <w:marTop w:val="0"/>
      <w:marBottom w:val="0"/>
      <w:divBdr>
        <w:top w:val="none" w:sz="0" w:space="0" w:color="auto"/>
        <w:left w:val="none" w:sz="0" w:space="0" w:color="auto"/>
        <w:bottom w:val="none" w:sz="0" w:space="0" w:color="auto"/>
        <w:right w:val="none" w:sz="0" w:space="0" w:color="auto"/>
      </w:divBdr>
    </w:div>
    <w:div w:id="1777285023">
      <w:bodyDiv w:val="1"/>
      <w:marLeft w:val="0"/>
      <w:marRight w:val="0"/>
      <w:marTop w:val="0"/>
      <w:marBottom w:val="0"/>
      <w:divBdr>
        <w:top w:val="none" w:sz="0" w:space="0" w:color="auto"/>
        <w:left w:val="none" w:sz="0" w:space="0" w:color="auto"/>
        <w:bottom w:val="none" w:sz="0" w:space="0" w:color="auto"/>
        <w:right w:val="none" w:sz="0" w:space="0" w:color="auto"/>
      </w:divBdr>
    </w:div>
    <w:div w:id="1951010309">
      <w:bodyDiv w:val="1"/>
      <w:marLeft w:val="0"/>
      <w:marRight w:val="0"/>
      <w:marTop w:val="0"/>
      <w:marBottom w:val="0"/>
      <w:divBdr>
        <w:top w:val="none" w:sz="0" w:space="0" w:color="auto"/>
        <w:left w:val="none" w:sz="0" w:space="0" w:color="auto"/>
        <w:bottom w:val="none" w:sz="0" w:space="0" w:color="auto"/>
        <w:right w:val="none" w:sz="0" w:space="0" w:color="auto"/>
      </w:divBdr>
    </w:div>
    <w:div w:id="205535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Howard.Eckstein@vdh.virginia.gov" TargetMode="External"/><Relationship Id="rId26" Type="http://schemas.openxmlformats.org/officeDocument/2006/relationships/header" Target="header2.xml"/><Relationship Id="rId39" Type="http://schemas.openxmlformats.org/officeDocument/2006/relationships/hyperlink" Target="https://www.vdh.virginia.gov/content/uploads/sites/14/2019/01/F-Income-Survey-Template.docx" TargetMode="External"/><Relationship Id="rId21" Type="http://schemas.openxmlformats.org/officeDocument/2006/relationships/hyperlink" Target="mailto:Brianna.Cornett@vdh.virginia.gov" TargetMode="External"/><Relationship Id="rId34" Type="http://schemas.openxmlformats.org/officeDocument/2006/relationships/hyperlink" Target="https://www.vdh.virginia.gov/content/uploads/sites/14/2023/01/2023-Instructions_Plan-Design-Fund_FINAL.pdf" TargetMode="External"/><Relationship Id="rId42" Type="http://schemas.openxmlformats.org/officeDocument/2006/relationships/hyperlink" Target="https://www.vdh.virginia.gov/content/uploads/sites/14/2019/01/I-Building-Financial-Sustainability.docx" TargetMode="External"/><Relationship Id="rId47" Type="http://schemas.openxmlformats.org/officeDocument/2006/relationships/hyperlink" Target="https://www.vdh.virginia.gov/content/uploads/sites/14/2022/01/UEI-Resources.zip" TargetMode="External"/><Relationship Id="rId50" Type="http://schemas.openxmlformats.org/officeDocument/2006/relationships/hyperlink" Target="https://www.epa.gov/cwsrf/state-revolving-fund-american-iron-and-steel-ais-requirement" TargetMode="External"/><Relationship Id="rId55" Type="http://schemas.openxmlformats.org/officeDocument/2006/relationships/hyperlink" Target="https://apps.vdh.virginia.gov/omhhe/hoi/youth-well-being-inde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eith.Kornegay@vdh.virginia.gov" TargetMode="External"/><Relationship Id="rId29" Type="http://schemas.openxmlformats.org/officeDocument/2006/relationships/hyperlink" Target="https://www.vdh.virginia.gov/content/uploads/sites/14/2023/02/Construction-Funds-Application-2024-fillable-form-final.pdf" TargetMode="External"/><Relationship Id="rId11" Type="http://schemas.openxmlformats.org/officeDocument/2006/relationships/hyperlink" Target="http://www.vdh.virginia.gov/drinking-water/financial-construction-assistance-programs/" TargetMode="External"/><Relationship Id="rId24" Type="http://schemas.openxmlformats.org/officeDocument/2006/relationships/hyperlink" Target="mailto:Christian.Michael@vdh.virginia.gov" TargetMode="External"/><Relationship Id="rId32" Type="http://schemas.openxmlformats.org/officeDocument/2006/relationships/hyperlink" Target="https://www.vdh.virginia.gov/content/uploads/sites/14/2023/02/LEAP-App_Instructions-FY24-final.pdf" TargetMode="External"/><Relationship Id="rId37" Type="http://schemas.openxmlformats.org/officeDocument/2006/relationships/hyperlink" Target="https://www.vdh.virginia.gov/content/uploads/sites/14/2021/03/A.1-Program-Comment-and-Set-Aside-Suggestion-1.pdf" TargetMode="External"/><Relationship Id="rId40" Type="http://schemas.openxmlformats.org/officeDocument/2006/relationships/hyperlink" Target="https://www.vdh.virginia.gov/content/uploads/sites/14/2019/01/E-Example-Resolution.docx" TargetMode="External"/><Relationship Id="rId45" Type="http://schemas.openxmlformats.org/officeDocument/2006/relationships/hyperlink" Target="https://www.vdh.virginia.gov/content/uploads/sites/14/2019/01/G-Factsheet-MBE-WBE-1.docx" TargetMode="External"/><Relationship Id="rId53" Type="http://schemas.openxmlformats.org/officeDocument/2006/relationships/footer" Target="footer4.xml"/><Relationship Id="rId58" Type="http://schemas.openxmlformats.org/officeDocument/2006/relationships/hyperlink" Target="https://www.vdh.virginia.gov/drinking-water/fcap/leap/localities-waterworks/" TargetMode="External"/><Relationship Id="rId5" Type="http://schemas.openxmlformats.org/officeDocument/2006/relationships/webSettings" Target="webSettings.xml"/><Relationship Id="rId19" Type="http://schemas.openxmlformats.org/officeDocument/2006/relationships/hyperlink" Target="mailto:Christine.Latino@vdh.virgini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Brad.Humphrey@vdh.virginia.gov" TargetMode="External"/><Relationship Id="rId27" Type="http://schemas.openxmlformats.org/officeDocument/2006/relationships/footer" Target="footer3.xml"/><Relationship Id="rId30" Type="http://schemas.openxmlformats.org/officeDocument/2006/relationships/hyperlink" Target="https://www.vdh.virginia.gov/content/uploads/sites/14/2023/02/Construction-Funds-Application-Instructions-2024-final.pdf" TargetMode="External"/><Relationship Id="rId35" Type="http://schemas.openxmlformats.org/officeDocument/2006/relationships/hyperlink" Target="https://www.vdh.virginia.gov/content/uploads/sites/14/2019/01/05a-Refinance-Purchase-Loan-Application.pdf" TargetMode="External"/><Relationship Id="rId43" Type="http://schemas.openxmlformats.org/officeDocument/2006/relationships/hyperlink" Target="https://www.vdh.virginia.gov/content/uploads/sites/14/2019/01/B.1-Construction-Project-Schedule.xlsx" TargetMode="External"/><Relationship Id="rId48" Type="http://schemas.openxmlformats.org/officeDocument/2006/relationships/hyperlink" Target="https://www.vdh.virginia.gov/drinking-water/fcap/drinking-water-funding-program/" TargetMode="External"/><Relationship Id="rId56" Type="http://schemas.openxmlformats.org/officeDocument/2006/relationships/hyperlink" Target="https://apps.vdh.virginia.gov/omhhe/hoi/youth-well-being-index" TargetMode="External"/><Relationship Id="rId8" Type="http://schemas.openxmlformats.org/officeDocument/2006/relationships/image" Target="media/image1.png"/><Relationship Id="rId51" Type="http://schemas.openxmlformats.org/officeDocument/2006/relationships/hyperlink" Target="https://www.dol.gov/whd/contracts/dbra.htm" TargetMode="External"/><Relationship Id="rId3" Type="http://schemas.openxmlformats.org/officeDocument/2006/relationships/styles" Target="styles.xml"/><Relationship Id="rId12" Type="http://schemas.openxmlformats.org/officeDocument/2006/relationships/hyperlink" Target="https://www.vdh.virginia.gov/drinking-water/fcap/" TargetMode="External"/><Relationship Id="rId17" Type="http://schemas.openxmlformats.org/officeDocument/2006/relationships/hyperlink" Target="mailto:Theresa.Hewlett@vdh.virginia.gov" TargetMode="External"/><Relationship Id="rId25" Type="http://schemas.openxmlformats.org/officeDocument/2006/relationships/hyperlink" Target="mailto:Sarah.Rowe@vdh.virginia.gov" TargetMode="External"/><Relationship Id="rId33" Type="http://schemas.openxmlformats.org/officeDocument/2006/relationships/hyperlink" Target="https://www.vdh.virginia.gov/content/uploads/sites/14/2023/01/2023-Application_Plan-Design-Fund_FINAL.pdf" TargetMode="External"/><Relationship Id="rId38" Type="http://schemas.openxmlformats.org/officeDocument/2006/relationships/hyperlink" Target="https://www.vdh.virginia.gov/drinking-water/fcap/drinking-water-funding-program/" TargetMode="External"/><Relationship Id="rId46" Type="http://schemas.openxmlformats.org/officeDocument/2006/relationships/hyperlink" Target="https://www.vdh.virginia.gov/content/uploads/sites/14/2019/01/D-Resources-Available.docx" TargetMode="External"/><Relationship Id="rId59" Type="http://schemas.openxmlformats.org/officeDocument/2006/relationships/fontTable" Target="fontTable.xml"/><Relationship Id="rId20" Type="http://schemas.openxmlformats.org/officeDocument/2006/relationships/hyperlink" Target="mailto:Leonardo.SuarezParada@vdh.virginia.gov" TargetMode="External"/><Relationship Id="rId41" Type="http://schemas.openxmlformats.org/officeDocument/2006/relationships/hyperlink" Target="https://www.vdh.virginia.gov/content/uploads/sites/14/2019/01/H-Certification-Regarding-Lobbying.docx" TargetMode="External"/><Relationship Id="rId54" Type="http://schemas.openxmlformats.org/officeDocument/2006/relationships/hyperlink" Target="https://apps.vdh.virginia.gov/omhhe/hoi/youth-well-being-inde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nthony.Hess@vdh.virginia.gov" TargetMode="External"/><Relationship Id="rId23" Type="http://schemas.openxmlformats.org/officeDocument/2006/relationships/hyperlink" Target="mailto:Jeanean.Bustamante@vdh.virginia.gov" TargetMode="External"/><Relationship Id="rId28" Type="http://schemas.openxmlformats.org/officeDocument/2006/relationships/hyperlink" Target="https://www.vdh.virginia.gov/drinking-water/fcap/drinking-water-funding-program/" TargetMode="External"/><Relationship Id="rId36" Type="http://schemas.openxmlformats.org/officeDocument/2006/relationships/hyperlink" Target="https://www.vdh.virginia.gov/content/uploads/sites/14/2019/01/08a-Source-Water-Applications.pdf" TargetMode="External"/><Relationship Id="rId49" Type="http://schemas.openxmlformats.org/officeDocument/2006/relationships/hyperlink" Target="https://www.vdh.virginia.gov/drinking-water/capacity-development/" TargetMode="External"/><Relationship Id="rId57" Type="http://schemas.openxmlformats.org/officeDocument/2006/relationships/hyperlink" Target="https://apps.vdh.virginia.gov/omhhe/hoi/youth-well-being-index" TargetMode="External"/><Relationship Id="rId10" Type="http://schemas.openxmlformats.org/officeDocument/2006/relationships/footer" Target="footer1.xml"/><Relationship Id="rId31" Type="http://schemas.openxmlformats.org/officeDocument/2006/relationships/hyperlink" Target="https://www.vdh.virginia.gov/content/uploads/sites/14/2023/02/LEAP-Application-FY24-fillable-form-final.pdf" TargetMode="External"/><Relationship Id="rId44" Type="http://schemas.openxmlformats.org/officeDocument/2006/relationships/hyperlink" Target="https://www.vdh.virginia.gov/content/uploads/sites/14/2022/02/J-User-Rate-Analysis-v2.28.2022.xlsx" TargetMode="External"/><Relationship Id="rId52" Type="http://schemas.openxmlformats.org/officeDocument/2006/relationships/header" Target="header3.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DC8D-1A68-4738-979D-250B1A00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34</Pages>
  <Words>14590</Words>
  <Characters>81418</Characters>
  <Application>Microsoft Office Word</Application>
  <DocSecurity>0</DocSecurity>
  <Lines>1732</Lines>
  <Paragraphs>872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FCAP Program Design Manual</dc:title>
  <dc:creator>Hess, Anthony (VDH);Matt.Beyer@vdh.virginia.gov</dc:creator>
  <cp:lastModifiedBy>Beyer, Matt (VDH)</cp:lastModifiedBy>
  <cp:revision>105</cp:revision>
  <cp:lastPrinted>2026-02-23T14:27:00Z</cp:lastPrinted>
  <dcterms:created xsi:type="dcterms:W3CDTF">2023-02-15T22:01:00Z</dcterms:created>
  <dcterms:modified xsi:type="dcterms:W3CDTF">2026-03-24T19:04:00Z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LastSaved">
    <vt:filetime>2022-01-06T00:00:00Z</vt:filetime>
  </property>
</Properties>
</file>