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DDC33" w14:textId="77777777" w:rsidR="00D21F70" w:rsidRDefault="00D21F70" w:rsidP="004F40CF">
      <w:pPr>
        <w:ind w:left="-540" w:right="-540"/>
        <w:jc w:val="center"/>
        <w:rPr>
          <w:rFonts w:eastAsia="Calibri"/>
          <w:b/>
          <w:sz w:val="32"/>
          <w:szCs w:val="32"/>
        </w:rPr>
      </w:pPr>
      <w:r>
        <w:rPr>
          <w:rFonts w:eastAsia="Calibri"/>
          <w:b/>
          <w:sz w:val="32"/>
          <w:szCs w:val="32"/>
        </w:rPr>
        <w:t>Consumer Notice</w:t>
      </w:r>
    </w:p>
    <w:p w14:paraId="12855397" w14:textId="77777777" w:rsidR="0072023B" w:rsidRDefault="00D21F70" w:rsidP="00151574">
      <w:pPr>
        <w:spacing w:after="120"/>
        <w:ind w:left="-547" w:right="-547"/>
        <w:jc w:val="center"/>
        <w:rPr>
          <w:color w:val="000000"/>
          <w:szCs w:val="22"/>
        </w:rPr>
      </w:pPr>
      <w:r w:rsidRPr="006D0070">
        <w:rPr>
          <w:rFonts w:eastAsia="Calibri"/>
          <w:b/>
          <w:sz w:val="32"/>
          <w:szCs w:val="32"/>
        </w:rPr>
        <w:t>LEAD IN DRINKING WATER</w:t>
      </w:r>
    </w:p>
    <w:p w14:paraId="1FE49123" w14:textId="77777777" w:rsidR="00F953C0" w:rsidRPr="00BB203D" w:rsidRDefault="00776AF2" w:rsidP="00FB27F3">
      <w:pPr>
        <w:autoSpaceDE w:val="0"/>
        <w:autoSpaceDN w:val="0"/>
        <w:adjustRightInd w:val="0"/>
        <w:spacing w:line="241" w:lineRule="atLeast"/>
        <w:jc w:val="both"/>
        <w:rPr>
          <w:color w:val="000000"/>
          <w:szCs w:val="22"/>
        </w:rPr>
      </w:pPr>
      <w:r>
        <w:rPr>
          <w:color w:val="000000"/>
          <w:szCs w:val="22"/>
        </w:rPr>
        <w:t>The</w:t>
      </w:r>
      <w:r w:rsidR="00F953C0" w:rsidRPr="00BB203D">
        <w:rPr>
          <w:color w:val="000000"/>
          <w:szCs w:val="22"/>
        </w:rPr>
        <w:t xml:space="preserve"> </w:t>
      </w:r>
      <w:r w:rsidR="00F953C0" w:rsidRPr="00BB203D">
        <w:rPr>
          <w:i/>
          <w:iCs/>
          <w:color w:val="000000"/>
          <w:szCs w:val="22"/>
        </w:rPr>
        <w:t xml:space="preserve">[name of your facility] </w:t>
      </w:r>
      <w:r w:rsidR="00F953C0" w:rsidRPr="00BB203D">
        <w:rPr>
          <w:color w:val="000000"/>
          <w:szCs w:val="22"/>
        </w:rPr>
        <w:t xml:space="preserve">is a public water system </w:t>
      </w:r>
      <w:r w:rsidR="004A6539">
        <w:rPr>
          <w:color w:val="000000"/>
          <w:szCs w:val="22"/>
        </w:rPr>
        <w:t>and</w:t>
      </w:r>
      <w:r w:rsidR="004A6539" w:rsidRPr="00BB203D">
        <w:rPr>
          <w:color w:val="000000"/>
          <w:szCs w:val="22"/>
        </w:rPr>
        <w:t xml:space="preserve"> </w:t>
      </w:r>
      <w:r w:rsidR="00F953C0" w:rsidRPr="00BB203D">
        <w:rPr>
          <w:color w:val="000000"/>
          <w:szCs w:val="22"/>
        </w:rPr>
        <w:t xml:space="preserve">we are responsible for providing you with water at this location and ensuring that the drinking water we provide to you meets state and federal standards.  We recently collected drinking water samples to test for lead and copper.  The results of this testing are as follows:      </w:t>
      </w:r>
    </w:p>
    <w:p w14:paraId="1EA0B7EB" w14:textId="77777777" w:rsidR="00F953C0" w:rsidRPr="00BB203D" w:rsidRDefault="00F953C0" w:rsidP="004F40CF">
      <w:pPr>
        <w:ind w:left="-540" w:right="-540"/>
        <w:rPr>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7"/>
        <w:gridCol w:w="1511"/>
        <w:gridCol w:w="2245"/>
        <w:gridCol w:w="2220"/>
      </w:tblGrid>
      <w:tr w:rsidR="00F953C0" w:rsidRPr="00BB203D" w14:paraId="77E8D4F5" w14:textId="77777777" w:rsidTr="00151574">
        <w:trPr>
          <w:jc w:val="center"/>
        </w:trPr>
        <w:tc>
          <w:tcPr>
            <w:tcW w:w="2557" w:type="dxa"/>
            <w:tcBorders>
              <w:top w:val="single" w:sz="4" w:space="0" w:color="auto"/>
              <w:left w:val="single" w:sz="4" w:space="0" w:color="auto"/>
              <w:bottom w:val="single" w:sz="4" w:space="0" w:color="auto"/>
              <w:right w:val="single" w:sz="4" w:space="0" w:color="auto"/>
            </w:tcBorders>
            <w:hideMark/>
          </w:tcPr>
          <w:p w14:paraId="16BC81CC" w14:textId="77777777" w:rsidR="00057059" w:rsidRPr="00BB203D" w:rsidRDefault="00F953C0" w:rsidP="004F40CF">
            <w:pPr>
              <w:ind w:left="-540" w:right="-540"/>
              <w:jc w:val="center"/>
              <w:rPr>
                <w:b/>
                <w:szCs w:val="22"/>
              </w:rPr>
            </w:pPr>
            <w:r w:rsidRPr="00BB203D">
              <w:rPr>
                <w:b/>
                <w:szCs w:val="22"/>
              </w:rPr>
              <w:t>Sample</w:t>
            </w:r>
          </w:p>
          <w:p w14:paraId="58CC3744" w14:textId="77777777" w:rsidR="00F953C0" w:rsidRPr="00BB203D" w:rsidRDefault="00F953C0" w:rsidP="004F40CF">
            <w:pPr>
              <w:ind w:left="-540" w:right="-540"/>
              <w:jc w:val="center"/>
              <w:rPr>
                <w:b/>
                <w:szCs w:val="22"/>
              </w:rPr>
            </w:pPr>
            <w:r w:rsidRPr="00BB203D">
              <w:rPr>
                <w:b/>
                <w:szCs w:val="22"/>
              </w:rPr>
              <w:t xml:space="preserve"> Location</w:t>
            </w:r>
          </w:p>
        </w:tc>
        <w:tc>
          <w:tcPr>
            <w:tcW w:w="1511" w:type="dxa"/>
            <w:tcBorders>
              <w:top w:val="single" w:sz="4" w:space="0" w:color="auto"/>
              <w:left w:val="single" w:sz="4" w:space="0" w:color="auto"/>
              <w:bottom w:val="single" w:sz="4" w:space="0" w:color="auto"/>
              <w:right w:val="single" w:sz="4" w:space="0" w:color="auto"/>
            </w:tcBorders>
            <w:hideMark/>
          </w:tcPr>
          <w:p w14:paraId="2D710279" w14:textId="77777777" w:rsidR="00057059" w:rsidRPr="00BB203D" w:rsidRDefault="00F953C0" w:rsidP="004F40CF">
            <w:pPr>
              <w:ind w:left="-540" w:right="-540"/>
              <w:jc w:val="center"/>
              <w:rPr>
                <w:b/>
                <w:szCs w:val="22"/>
              </w:rPr>
            </w:pPr>
            <w:r w:rsidRPr="00BB203D">
              <w:rPr>
                <w:b/>
                <w:szCs w:val="22"/>
              </w:rPr>
              <w:t xml:space="preserve">Sample </w:t>
            </w:r>
          </w:p>
          <w:p w14:paraId="63789C78" w14:textId="77777777" w:rsidR="00F953C0" w:rsidRPr="00BB203D" w:rsidRDefault="00F953C0" w:rsidP="004F40CF">
            <w:pPr>
              <w:ind w:left="-540" w:right="-540"/>
              <w:jc w:val="center"/>
              <w:rPr>
                <w:b/>
                <w:szCs w:val="22"/>
              </w:rPr>
            </w:pPr>
            <w:r w:rsidRPr="00BB203D">
              <w:rPr>
                <w:b/>
                <w:szCs w:val="22"/>
              </w:rPr>
              <w:t>Date</w:t>
            </w:r>
          </w:p>
        </w:tc>
        <w:tc>
          <w:tcPr>
            <w:tcW w:w="2245" w:type="dxa"/>
            <w:tcBorders>
              <w:top w:val="single" w:sz="4" w:space="0" w:color="auto"/>
              <w:left w:val="single" w:sz="4" w:space="0" w:color="auto"/>
              <w:bottom w:val="single" w:sz="4" w:space="0" w:color="auto"/>
              <w:right w:val="single" w:sz="4" w:space="0" w:color="auto"/>
            </w:tcBorders>
            <w:hideMark/>
          </w:tcPr>
          <w:p w14:paraId="2517907F" w14:textId="77777777" w:rsidR="00F953C0" w:rsidRPr="00BB203D" w:rsidRDefault="00A040EC" w:rsidP="00151574">
            <w:pPr>
              <w:ind w:left="-540" w:right="-540"/>
              <w:jc w:val="center"/>
              <w:rPr>
                <w:b/>
                <w:szCs w:val="22"/>
              </w:rPr>
            </w:pPr>
            <w:r>
              <w:rPr>
                <w:b/>
                <w:szCs w:val="22"/>
              </w:rPr>
              <w:t>Lead</w:t>
            </w:r>
            <w:r w:rsidRPr="00BB203D">
              <w:rPr>
                <w:b/>
                <w:szCs w:val="22"/>
              </w:rPr>
              <w:t xml:space="preserve"> </w:t>
            </w:r>
            <w:r w:rsidR="00F953C0" w:rsidRPr="00BB203D">
              <w:rPr>
                <w:b/>
                <w:szCs w:val="22"/>
              </w:rPr>
              <w:t>Concentration</w:t>
            </w:r>
          </w:p>
          <w:p w14:paraId="140F1701" w14:textId="77777777" w:rsidR="00F953C0" w:rsidRPr="00BB203D" w:rsidRDefault="002C3A18" w:rsidP="00A12D64">
            <w:pPr>
              <w:ind w:left="-540" w:right="-45" w:firstLine="449"/>
              <w:jc w:val="center"/>
              <w:rPr>
                <w:b/>
                <w:szCs w:val="22"/>
              </w:rPr>
            </w:pPr>
            <w:r w:rsidRPr="00BB203D">
              <w:rPr>
                <w:b/>
                <w:i/>
                <w:szCs w:val="22"/>
              </w:rPr>
              <w:t>[Select one]</w:t>
            </w:r>
            <w:r w:rsidRPr="00BB203D">
              <w:rPr>
                <w:b/>
                <w:szCs w:val="22"/>
              </w:rPr>
              <w:t xml:space="preserve"> (ppb) or </w:t>
            </w:r>
            <w:r w:rsidR="00422A9D" w:rsidRPr="00BB203D">
              <w:rPr>
                <w:b/>
                <w:szCs w:val="22"/>
              </w:rPr>
              <w:t>(</w:t>
            </w:r>
            <w:r w:rsidR="00F953C0" w:rsidRPr="00BB203D">
              <w:rPr>
                <w:b/>
                <w:szCs w:val="22"/>
              </w:rPr>
              <w:t>mg/L</w:t>
            </w:r>
            <w:r w:rsidR="00422A9D" w:rsidRPr="00BB203D">
              <w:rPr>
                <w:b/>
                <w:szCs w:val="22"/>
              </w:rPr>
              <w:t>)</w:t>
            </w:r>
          </w:p>
        </w:tc>
        <w:tc>
          <w:tcPr>
            <w:tcW w:w="2220" w:type="dxa"/>
            <w:tcBorders>
              <w:top w:val="single" w:sz="4" w:space="0" w:color="auto"/>
              <w:left w:val="single" w:sz="4" w:space="0" w:color="auto"/>
              <w:bottom w:val="single" w:sz="4" w:space="0" w:color="auto"/>
              <w:right w:val="single" w:sz="4" w:space="0" w:color="auto"/>
            </w:tcBorders>
            <w:hideMark/>
          </w:tcPr>
          <w:p w14:paraId="21F2440D" w14:textId="77777777" w:rsidR="00057059" w:rsidRPr="00BB203D" w:rsidRDefault="00A040EC" w:rsidP="00151574">
            <w:pPr>
              <w:ind w:left="-540" w:right="-75" w:firstLine="457"/>
              <w:jc w:val="center"/>
              <w:rPr>
                <w:b/>
                <w:szCs w:val="22"/>
              </w:rPr>
            </w:pPr>
            <w:r>
              <w:rPr>
                <w:b/>
                <w:i/>
                <w:szCs w:val="22"/>
              </w:rPr>
              <w:t xml:space="preserve">Optional:  </w:t>
            </w:r>
            <w:r>
              <w:rPr>
                <w:b/>
                <w:szCs w:val="22"/>
              </w:rPr>
              <w:t>Copper</w:t>
            </w:r>
          </w:p>
          <w:p w14:paraId="66297386" w14:textId="77777777" w:rsidR="00F953C0" w:rsidRPr="00BB203D" w:rsidRDefault="00F953C0" w:rsidP="00151574">
            <w:pPr>
              <w:ind w:left="-540" w:right="-75" w:firstLine="457"/>
              <w:jc w:val="center"/>
              <w:rPr>
                <w:b/>
                <w:szCs w:val="22"/>
              </w:rPr>
            </w:pPr>
            <w:r w:rsidRPr="00BB203D">
              <w:rPr>
                <w:b/>
                <w:szCs w:val="22"/>
              </w:rPr>
              <w:t>Concentration</w:t>
            </w:r>
          </w:p>
          <w:p w14:paraId="5F41BC7C" w14:textId="77777777" w:rsidR="00F953C0" w:rsidRPr="00BB203D" w:rsidRDefault="002C3A18" w:rsidP="00151574">
            <w:pPr>
              <w:ind w:left="-540" w:right="-75" w:firstLine="457"/>
              <w:jc w:val="center"/>
              <w:rPr>
                <w:b/>
                <w:szCs w:val="22"/>
              </w:rPr>
            </w:pPr>
            <w:r w:rsidRPr="00BB203D">
              <w:rPr>
                <w:b/>
                <w:szCs w:val="22"/>
              </w:rPr>
              <w:t>(</w:t>
            </w:r>
            <w:r w:rsidR="00CF0A25" w:rsidRPr="00BB203D" w:rsidDel="00CF0A25">
              <w:rPr>
                <w:b/>
                <w:szCs w:val="22"/>
              </w:rPr>
              <w:t xml:space="preserve"> </w:t>
            </w:r>
            <w:r w:rsidR="00422A9D" w:rsidRPr="00BB203D">
              <w:rPr>
                <w:b/>
                <w:szCs w:val="22"/>
              </w:rPr>
              <w:t>mg/L)</w:t>
            </w:r>
          </w:p>
        </w:tc>
      </w:tr>
      <w:tr w:rsidR="00F953C0" w:rsidRPr="00BB203D" w14:paraId="63F54101" w14:textId="77777777" w:rsidTr="00151574">
        <w:trPr>
          <w:jc w:val="center"/>
        </w:trPr>
        <w:tc>
          <w:tcPr>
            <w:tcW w:w="2557" w:type="dxa"/>
            <w:tcBorders>
              <w:top w:val="single" w:sz="4" w:space="0" w:color="auto"/>
              <w:left w:val="single" w:sz="4" w:space="0" w:color="auto"/>
              <w:bottom w:val="single" w:sz="4" w:space="0" w:color="auto"/>
              <w:right w:val="single" w:sz="4" w:space="0" w:color="auto"/>
            </w:tcBorders>
          </w:tcPr>
          <w:p w14:paraId="3A3EBB22" w14:textId="77777777" w:rsidR="00F953C0" w:rsidRPr="00BB203D" w:rsidRDefault="00F953C0" w:rsidP="004F40CF">
            <w:pPr>
              <w:ind w:left="-540" w:right="-540"/>
              <w:jc w:val="center"/>
              <w:rPr>
                <w:szCs w:val="22"/>
              </w:rPr>
            </w:pPr>
          </w:p>
        </w:tc>
        <w:tc>
          <w:tcPr>
            <w:tcW w:w="1511" w:type="dxa"/>
            <w:tcBorders>
              <w:top w:val="single" w:sz="4" w:space="0" w:color="auto"/>
              <w:left w:val="single" w:sz="4" w:space="0" w:color="auto"/>
              <w:bottom w:val="single" w:sz="4" w:space="0" w:color="auto"/>
              <w:right w:val="single" w:sz="4" w:space="0" w:color="auto"/>
            </w:tcBorders>
          </w:tcPr>
          <w:p w14:paraId="139DD235" w14:textId="77777777" w:rsidR="00F953C0" w:rsidRPr="00BB203D" w:rsidRDefault="00F953C0" w:rsidP="004F40CF">
            <w:pPr>
              <w:ind w:left="-540" w:right="-540"/>
              <w:jc w:val="center"/>
              <w:rPr>
                <w:szCs w:val="22"/>
              </w:rPr>
            </w:pPr>
          </w:p>
        </w:tc>
        <w:tc>
          <w:tcPr>
            <w:tcW w:w="2245" w:type="dxa"/>
            <w:tcBorders>
              <w:top w:val="single" w:sz="4" w:space="0" w:color="auto"/>
              <w:left w:val="single" w:sz="4" w:space="0" w:color="auto"/>
              <w:bottom w:val="single" w:sz="4" w:space="0" w:color="auto"/>
              <w:right w:val="single" w:sz="4" w:space="0" w:color="auto"/>
            </w:tcBorders>
          </w:tcPr>
          <w:p w14:paraId="28960057" w14:textId="77777777" w:rsidR="00F953C0" w:rsidRPr="00BB203D" w:rsidRDefault="00F953C0" w:rsidP="004F40CF">
            <w:pPr>
              <w:ind w:left="-540" w:right="-540"/>
              <w:jc w:val="center"/>
              <w:rPr>
                <w:szCs w:val="22"/>
              </w:rPr>
            </w:pPr>
          </w:p>
        </w:tc>
        <w:tc>
          <w:tcPr>
            <w:tcW w:w="2220" w:type="dxa"/>
            <w:tcBorders>
              <w:top w:val="single" w:sz="4" w:space="0" w:color="auto"/>
              <w:left w:val="single" w:sz="4" w:space="0" w:color="auto"/>
              <w:bottom w:val="single" w:sz="4" w:space="0" w:color="auto"/>
              <w:right w:val="single" w:sz="4" w:space="0" w:color="auto"/>
            </w:tcBorders>
          </w:tcPr>
          <w:p w14:paraId="1D97CF37" w14:textId="77777777" w:rsidR="00F953C0" w:rsidRPr="00BB203D" w:rsidRDefault="00F953C0" w:rsidP="004F40CF">
            <w:pPr>
              <w:ind w:left="-540" w:right="-540"/>
              <w:jc w:val="center"/>
              <w:rPr>
                <w:szCs w:val="22"/>
              </w:rPr>
            </w:pPr>
          </w:p>
        </w:tc>
      </w:tr>
      <w:tr w:rsidR="00F953C0" w:rsidRPr="00BB203D" w14:paraId="2ACC34AD" w14:textId="77777777" w:rsidTr="00151574">
        <w:trPr>
          <w:jc w:val="center"/>
        </w:trPr>
        <w:tc>
          <w:tcPr>
            <w:tcW w:w="2557" w:type="dxa"/>
            <w:tcBorders>
              <w:top w:val="single" w:sz="4" w:space="0" w:color="auto"/>
              <w:left w:val="single" w:sz="4" w:space="0" w:color="auto"/>
              <w:bottom w:val="single" w:sz="4" w:space="0" w:color="auto"/>
              <w:right w:val="single" w:sz="4" w:space="0" w:color="auto"/>
            </w:tcBorders>
          </w:tcPr>
          <w:p w14:paraId="52CB9CE7" w14:textId="77777777" w:rsidR="00F953C0" w:rsidRPr="00BB203D" w:rsidRDefault="00F953C0" w:rsidP="004F40CF">
            <w:pPr>
              <w:ind w:left="-540" w:right="-540"/>
              <w:jc w:val="center"/>
              <w:rPr>
                <w:szCs w:val="22"/>
              </w:rPr>
            </w:pPr>
          </w:p>
        </w:tc>
        <w:tc>
          <w:tcPr>
            <w:tcW w:w="1511" w:type="dxa"/>
            <w:tcBorders>
              <w:top w:val="single" w:sz="4" w:space="0" w:color="auto"/>
              <w:left w:val="single" w:sz="4" w:space="0" w:color="auto"/>
              <w:bottom w:val="single" w:sz="4" w:space="0" w:color="auto"/>
              <w:right w:val="single" w:sz="4" w:space="0" w:color="auto"/>
            </w:tcBorders>
          </w:tcPr>
          <w:p w14:paraId="684F2614" w14:textId="77777777" w:rsidR="00F953C0" w:rsidRPr="00BB203D" w:rsidRDefault="00F953C0" w:rsidP="004F40CF">
            <w:pPr>
              <w:ind w:left="-540" w:right="-540"/>
              <w:jc w:val="center"/>
              <w:rPr>
                <w:szCs w:val="22"/>
              </w:rPr>
            </w:pPr>
          </w:p>
        </w:tc>
        <w:tc>
          <w:tcPr>
            <w:tcW w:w="2245" w:type="dxa"/>
            <w:tcBorders>
              <w:top w:val="single" w:sz="4" w:space="0" w:color="auto"/>
              <w:left w:val="single" w:sz="4" w:space="0" w:color="auto"/>
              <w:bottom w:val="single" w:sz="4" w:space="0" w:color="auto"/>
              <w:right w:val="single" w:sz="4" w:space="0" w:color="auto"/>
            </w:tcBorders>
          </w:tcPr>
          <w:p w14:paraId="3F74B724" w14:textId="77777777" w:rsidR="00F953C0" w:rsidRPr="00BB203D" w:rsidRDefault="00F953C0" w:rsidP="004F40CF">
            <w:pPr>
              <w:ind w:left="-540" w:right="-540"/>
              <w:jc w:val="center"/>
              <w:rPr>
                <w:szCs w:val="22"/>
              </w:rPr>
            </w:pPr>
          </w:p>
        </w:tc>
        <w:tc>
          <w:tcPr>
            <w:tcW w:w="2220" w:type="dxa"/>
            <w:tcBorders>
              <w:top w:val="single" w:sz="4" w:space="0" w:color="auto"/>
              <w:left w:val="single" w:sz="4" w:space="0" w:color="auto"/>
              <w:bottom w:val="single" w:sz="4" w:space="0" w:color="auto"/>
              <w:right w:val="single" w:sz="4" w:space="0" w:color="auto"/>
            </w:tcBorders>
          </w:tcPr>
          <w:p w14:paraId="7BA2ACCD" w14:textId="77777777" w:rsidR="00F953C0" w:rsidRPr="00BB203D" w:rsidRDefault="00F953C0" w:rsidP="004F40CF">
            <w:pPr>
              <w:ind w:left="-540" w:right="-540"/>
              <w:jc w:val="center"/>
              <w:rPr>
                <w:szCs w:val="22"/>
              </w:rPr>
            </w:pPr>
          </w:p>
        </w:tc>
      </w:tr>
      <w:tr w:rsidR="00F953C0" w:rsidRPr="00BB203D" w14:paraId="10DB7051" w14:textId="77777777" w:rsidTr="00151574">
        <w:trPr>
          <w:jc w:val="center"/>
        </w:trPr>
        <w:tc>
          <w:tcPr>
            <w:tcW w:w="2557" w:type="dxa"/>
            <w:tcBorders>
              <w:top w:val="single" w:sz="4" w:space="0" w:color="auto"/>
              <w:left w:val="single" w:sz="4" w:space="0" w:color="auto"/>
              <w:bottom w:val="single" w:sz="4" w:space="0" w:color="auto"/>
              <w:right w:val="single" w:sz="4" w:space="0" w:color="auto"/>
            </w:tcBorders>
          </w:tcPr>
          <w:p w14:paraId="770DA297" w14:textId="77777777" w:rsidR="00F953C0" w:rsidRPr="00BB203D" w:rsidRDefault="00F953C0" w:rsidP="004F40CF">
            <w:pPr>
              <w:ind w:left="-540" w:right="-540"/>
              <w:jc w:val="center"/>
              <w:rPr>
                <w:szCs w:val="22"/>
              </w:rPr>
            </w:pPr>
          </w:p>
        </w:tc>
        <w:tc>
          <w:tcPr>
            <w:tcW w:w="1511" w:type="dxa"/>
            <w:tcBorders>
              <w:top w:val="single" w:sz="4" w:space="0" w:color="auto"/>
              <w:left w:val="single" w:sz="4" w:space="0" w:color="auto"/>
              <w:bottom w:val="single" w:sz="4" w:space="0" w:color="auto"/>
              <w:right w:val="single" w:sz="4" w:space="0" w:color="auto"/>
            </w:tcBorders>
          </w:tcPr>
          <w:p w14:paraId="61238193" w14:textId="77777777" w:rsidR="00F953C0" w:rsidRPr="00BB203D" w:rsidRDefault="00F953C0" w:rsidP="004F40CF">
            <w:pPr>
              <w:ind w:left="-540" w:right="-540"/>
              <w:jc w:val="center"/>
              <w:rPr>
                <w:szCs w:val="22"/>
              </w:rPr>
            </w:pPr>
          </w:p>
        </w:tc>
        <w:tc>
          <w:tcPr>
            <w:tcW w:w="2245" w:type="dxa"/>
            <w:tcBorders>
              <w:top w:val="single" w:sz="4" w:space="0" w:color="auto"/>
              <w:left w:val="single" w:sz="4" w:space="0" w:color="auto"/>
              <w:bottom w:val="single" w:sz="4" w:space="0" w:color="auto"/>
              <w:right w:val="single" w:sz="4" w:space="0" w:color="auto"/>
            </w:tcBorders>
          </w:tcPr>
          <w:p w14:paraId="2A2ED505" w14:textId="77777777" w:rsidR="00F953C0" w:rsidRPr="00BB203D" w:rsidRDefault="00F953C0" w:rsidP="004F40CF">
            <w:pPr>
              <w:ind w:left="-540" w:right="-540"/>
              <w:jc w:val="center"/>
              <w:rPr>
                <w:szCs w:val="22"/>
              </w:rPr>
            </w:pPr>
          </w:p>
        </w:tc>
        <w:tc>
          <w:tcPr>
            <w:tcW w:w="2220" w:type="dxa"/>
            <w:tcBorders>
              <w:top w:val="single" w:sz="4" w:space="0" w:color="auto"/>
              <w:left w:val="single" w:sz="4" w:space="0" w:color="auto"/>
              <w:bottom w:val="single" w:sz="4" w:space="0" w:color="auto"/>
              <w:right w:val="single" w:sz="4" w:space="0" w:color="auto"/>
            </w:tcBorders>
          </w:tcPr>
          <w:p w14:paraId="61AEFAE1" w14:textId="77777777" w:rsidR="00F953C0" w:rsidRPr="00BB203D" w:rsidRDefault="00F953C0" w:rsidP="004F40CF">
            <w:pPr>
              <w:ind w:left="-540" w:right="-540"/>
              <w:jc w:val="center"/>
              <w:rPr>
                <w:szCs w:val="22"/>
              </w:rPr>
            </w:pPr>
          </w:p>
        </w:tc>
      </w:tr>
      <w:tr w:rsidR="00F953C0" w:rsidRPr="00BB203D" w14:paraId="6C1E02DB" w14:textId="77777777" w:rsidTr="00151574">
        <w:trPr>
          <w:jc w:val="center"/>
        </w:trPr>
        <w:tc>
          <w:tcPr>
            <w:tcW w:w="2557" w:type="dxa"/>
            <w:tcBorders>
              <w:top w:val="single" w:sz="4" w:space="0" w:color="auto"/>
              <w:left w:val="single" w:sz="4" w:space="0" w:color="auto"/>
              <w:bottom w:val="single" w:sz="4" w:space="0" w:color="auto"/>
              <w:right w:val="single" w:sz="4" w:space="0" w:color="auto"/>
            </w:tcBorders>
          </w:tcPr>
          <w:p w14:paraId="4D70A074" w14:textId="77777777" w:rsidR="00F953C0" w:rsidRPr="00BB203D" w:rsidRDefault="00F953C0" w:rsidP="004F40CF">
            <w:pPr>
              <w:ind w:left="-540" w:right="-540"/>
              <w:jc w:val="center"/>
              <w:rPr>
                <w:szCs w:val="22"/>
              </w:rPr>
            </w:pPr>
          </w:p>
        </w:tc>
        <w:tc>
          <w:tcPr>
            <w:tcW w:w="1511" w:type="dxa"/>
            <w:tcBorders>
              <w:top w:val="single" w:sz="4" w:space="0" w:color="auto"/>
              <w:left w:val="single" w:sz="4" w:space="0" w:color="auto"/>
              <w:bottom w:val="single" w:sz="4" w:space="0" w:color="auto"/>
              <w:right w:val="single" w:sz="4" w:space="0" w:color="auto"/>
            </w:tcBorders>
          </w:tcPr>
          <w:p w14:paraId="74C8517D" w14:textId="77777777" w:rsidR="00F953C0" w:rsidRPr="00BB203D" w:rsidRDefault="00F953C0" w:rsidP="004F40CF">
            <w:pPr>
              <w:ind w:left="-540" w:right="-540"/>
              <w:jc w:val="center"/>
              <w:rPr>
                <w:szCs w:val="22"/>
              </w:rPr>
            </w:pPr>
          </w:p>
        </w:tc>
        <w:tc>
          <w:tcPr>
            <w:tcW w:w="2245" w:type="dxa"/>
            <w:tcBorders>
              <w:top w:val="single" w:sz="4" w:space="0" w:color="auto"/>
              <w:left w:val="single" w:sz="4" w:space="0" w:color="auto"/>
              <w:bottom w:val="single" w:sz="4" w:space="0" w:color="auto"/>
              <w:right w:val="single" w:sz="4" w:space="0" w:color="auto"/>
            </w:tcBorders>
          </w:tcPr>
          <w:p w14:paraId="43EB0FF6" w14:textId="77777777" w:rsidR="00F953C0" w:rsidRPr="00BB203D" w:rsidRDefault="00F953C0" w:rsidP="004F40CF">
            <w:pPr>
              <w:ind w:left="-540" w:right="-540"/>
              <w:jc w:val="center"/>
              <w:rPr>
                <w:szCs w:val="22"/>
              </w:rPr>
            </w:pPr>
          </w:p>
        </w:tc>
        <w:tc>
          <w:tcPr>
            <w:tcW w:w="2220" w:type="dxa"/>
            <w:tcBorders>
              <w:top w:val="single" w:sz="4" w:space="0" w:color="auto"/>
              <w:left w:val="single" w:sz="4" w:space="0" w:color="auto"/>
              <w:bottom w:val="single" w:sz="4" w:space="0" w:color="auto"/>
              <w:right w:val="single" w:sz="4" w:space="0" w:color="auto"/>
            </w:tcBorders>
          </w:tcPr>
          <w:p w14:paraId="2BD02B68" w14:textId="77777777" w:rsidR="00F953C0" w:rsidRPr="00BB203D" w:rsidRDefault="00F953C0" w:rsidP="004F40CF">
            <w:pPr>
              <w:ind w:left="-540" w:right="-540"/>
              <w:jc w:val="center"/>
              <w:rPr>
                <w:szCs w:val="22"/>
              </w:rPr>
            </w:pPr>
          </w:p>
        </w:tc>
      </w:tr>
      <w:tr w:rsidR="00F953C0" w:rsidRPr="00BB203D" w14:paraId="73938A18" w14:textId="77777777" w:rsidTr="00151574">
        <w:trPr>
          <w:jc w:val="center"/>
        </w:trPr>
        <w:tc>
          <w:tcPr>
            <w:tcW w:w="2557" w:type="dxa"/>
            <w:tcBorders>
              <w:top w:val="single" w:sz="4" w:space="0" w:color="auto"/>
              <w:left w:val="single" w:sz="4" w:space="0" w:color="auto"/>
              <w:bottom w:val="single" w:sz="4" w:space="0" w:color="auto"/>
              <w:right w:val="single" w:sz="4" w:space="0" w:color="auto"/>
            </w:tcBorders>
          </w:tcPr>
          <w:p w14:paraId="56606FBD" w14:textId="77777777" w:rsidR="00F953C0" w:rsidRPr="00BB203D" w:rsidRDefault="00F953C0" w:rsidP="004F40CF">
            <w:pPr>
              <w:ind w:left="-540" w:right="-540"/>
              <w:jc w:val="center"/>
              <w:rPr>
                <w:szCs w:val="22"/>
              </w:rPr>
            </w:pPr>
          </w:p>
        </w:tc>
        <w:tc>
          <w:tcPr>
            <w:tcW w:w="1511" w:type="dxa"/>
            <w:tcBorders>
              <w:top w:val="single" w:sz="4" w:space="0" w:color="auto"/>
              <w:left w:val="single" w:sz="4" w:space="0" w:color="auto"/>
              <w:bottom w:val="single" w:sz="4" w:space="0" w:color="auto"/>
              <w:right w:val="single" w:sz="4" w:space="0" w:color="auto"/>
            </w:tcBorders>
          </w:tcPr>
          <w:p w14:paraId="4CAB79F4" w14:textId="77777777" w:rsidR="00F953C0" w:rsidRPr="00BB203D" w:rsidRDefault="00F953C0" w:rsidP="004F40CF">
            <w:pPr>
              <w:ind w:left="-540" w:right="-540"/>
              <w:jc w:val="center"/>
              <w:rPr>
                <w:szCs w:val="22"/>
              </w:rPr>
            </w:pPr>
          </w:p>
        </w:tc>
        <w:tc>
          <w:tcPr>
            <w:tcW w:w="2245" w:type="dxa"/>
            <w:tcBorders>
              <w:top w:val="single" w:sz="4" w:space="0" w:color="auto"/>
              <w:left w:val="single" w:sz="4" w:space="0" w:color="auto"/>
              <w:bottom w:val="single" w:sz="4" w:space="0" w:color="auto"/>
              <w:right w:val="single" w:sz="4" w:space="0" w:color="auto"/>
            </w:tcBorders>
          </w:tcPr>
          <w:p w14:paraId="69726CBD" w14:textId="77777777" w:rsidR="00F953C0" w:rsidRPr="00BB203D" w:rsidRDefault="00F953C0" w:rsidP="004F40CF">
            <w:pPr>
              <w:ind w:left="-540" w:right="-540"/>
              <w:jc w:val="center"/>
              <w:rPr>
                <w:szCs w:val="22"/>
              </w:rPr>
            </w:pPr>
          </w:p>
        </w:tc>
        <w:tc>
          <w:tcPr>
            <w:tcW w:w="2220" w:type="dxa"/>
            <w:tcBorders>
              <w:top w:val="single" w:sz="4" w:space="0" w:color="auto"/>
              <w:left w:val="single" w:sz="4" w:space="0" w:color="auto"/>
              <w:bottom w:val="single" w:sz="4" w:space="0" w:color="auto"/>
              <w:right w:val="single" w:sz="4" w:space="0" w:color="auto"/>
            </w:tcBorders>
          </w:tcPr>
          <w:p w14:paraId="65C28C76" w14:textId="77777777" w:rsidR="00F953C0" w:rsidRPr="00BB203D" w:rsidRDefault="00F953C0" w:rsidP="004F40CF">
            <w:pPr>
              <w:ind w:left="-540" w:right="-540"/>
              <w:jc w:val="center"/>
              <w:rPr>
                <w:szCs w:val="22"/>
              </w:rPr>
            </w:pPr>
          </w:p>
        </w:tc>
      </w:tr>
    </w:tbl>
    <w:p w14:paraId="7E25A4E4" w14:textId="77777777" w:rsidR="00F953C0" w:rsidRPr="00BB203D" w:rsidRDefault="00F953C0" w:rsidP="00FB27F3">
      <w:pPr>
        <w:autoSpaceDE w:val="0"/>
        <w:autoSpaceDN w:val="0"/>
        <w:adjustRightInd w:val="0"/>
        <w:spacing w:line="241" w:lineRule="atLeast"/>
        <w:jc w:val="both"/>
        <w:rPr>
          <w:szCs w:val="22"/>
        </w:rPr>
      </w:pPr>
    </w:p>
    <w:p w14:paraId="0533A782" w14:textId="77777777" w:rsidR="007F0E0B" w:rsidRDefault="007F0E0B" w:rsidP="00FB27F3">
      <w:pPr>
        <w:spacing w:after="120"/>
        <w:rPr>
          <w:rFonts w:eastAsia="Calibri"/>
          <w:b/>
          <w:szCs w:val="22"/>
        </w:rPr>
      </w:pPr>
      <w:r>
        <w:rPr>
          <w:rFonts w:eastAsia="Calibri"/>
          <w:b/>
          <w:szCs w:val="22"/>
        </w:rPr>
        <w:t>Definitions</w:t>
      </w:r>
    </w:p>
    <w:p w14:paraId="29ADD043" w14:textId="4AD71630" w:rsidR="00F92FCA" w:rsidRDefault="007F0E0B" w:rsidP="00FB27F3">
      <w:pPr>
        <w:autoSpaceDE w:val="0"/>
        <w:autoSpaceDN w:val="0"/>
        <w:adjustRightInd w:val="0"/>
        <w:spacing w:line="241" w:lineRule="atLeast"/>
        <w:jc w:val="both"/>
        <w:rPr>
          <w:szCs w:val="22"/>
        </w:rPr>
      </w:pPr>
      <w:r w:rsidRPr="00944197">
        <w:rPr>
          <w:szCs w:val="22"/>
        </w:rPr>
        <w:t xml:space="preserve">Under the </w:t>
      </w:r>
      <w:r w:rsidRPr="00FB27F3">
        <w:rPr>
          <w:color w:val="000000"/>
          <w:szCs w:val="22"/>
        </w:rPr>
        <w:t>authority</w:t>
      </w:r>
      <w:r w:rsidRPr="00944197">
        <w:rPr>
          <w:szCs w:val="22"/>
        </w:rPr>
        <w:t xml:space="preserve"> of the Safe Drinking Water Act, the </w:t>
      </w:r>
      <w:r w:rsidR="00F92FCA">
        <w:rPr>
          <w:szCs w:val="22"/>
        </w:rPr>
        <w:t xml:space="preserve">U.S. </w:t>
      </w:r>
      <w:r w:rsidRPr="00944197">
        <w:rPr>
          <w:szCs w:val="22"/>
        </w:rPr>
        <w:t xml:space="preserve">Environmental Protection Agency (EPA) set the Action Level </w:t>
      </w:r>
      <w:r>
        <w:rPr>
          <w:szCs w:val="22"/>
        </w:rPr>
        <w:t xml:space="preserve">(AL) </w:t>
      </w:r>
      <w:r w:rsidRPr="00944197">
        <w:rPr>
          <w:szCs w:val="22"/>
        </w:rPr>
        <w:t>for lead in drinking water at 15 p</w:t>
      </w:r>
      <w:r w:rsidR="00F92FCA">
        <w:rPr>
          <w:szCs w:val="22"/>
        </w:rPr>
        <w:t xml:space="preserve">arts </w:t>
      </w:r>
      <w:r w:rsidRPr="00944197">
        <w:rPr>
          <w:szCs w:val="22"/>
        </w:rPr>
        <w:t>p</w:t>
      </w:r>
      <w:r w:rsidR="00F92FCA">
        <w:rPr>
          <w:szCs w:val="22"/>
        </w:rPr>
        <w:t xml:space="preserve">er </w:t>
      </w:r>
      <w:r w:rsidRPr="00944197">
        <w:rPr>
          <w:szCs w:val="22"/>
        </w:rPr>
        <w:t>b</w:t>
      </w:r>
      <w:r w:rsidR="00F92FCA">
        <w:rPr>
          <w:szCs w:val="22"/>
        </w:rPr>
        <w:t>illion (ppb)</w:t>
      </w:r>
      <w:r w:rsidRPr="00944197">
        <w:rPr>
          <w:szCs w:val="22"/>
        </w:rPr>
        <w:t xml:space="preserve"> (or 0.015 m</w:t>
      </w:r>
      <w:r w:rsidR="00F92FCA">
        <w:rPr>
          <w:szCs w:val="22"/>
        </w:rPr>
        <w:t>illi</w:t>
      </w:r>
      <w:r w:rsidRPr="00944197">
        <w:rPr>
          <w:szCs w:val="22"/>
        </w:rPr>
        <w:t>g</w:t>
      </w:r>
      <w:r w:rsidR="00F92FCA">
        <w:rPr>
          <w:szCs w:val="22"/>
        </w:rPr>
        <w:t>rams</w:t>
      </w:r>
      <w:r w:rsidRPr="00944197">
        <w:rPr>
          <w:szCs w:val="22"/>
        </w:rPr>
        <w:t>/L</w:t>
      </w:r>
      <w:r w:rsidR="00F92FCA">
        <w:rPr>
          <w:szCs w:val="22"/>
        </w:rPr>
        <w:t>iter (mg/L)</w:t>
      </w:r>
      <w:r w:rsidRPr="00944197">
        <w:rPr>
          <w:szCs w:val="22"/>
        </w:rPr>
        <w:t xml:space="preserve">). </w:t>
      </w:r>
      <w:r w:rsidR="00A11D80">
        <w:rPr>
          <w:szCs w:val="22"/>
        </w:rPr>
        <w:t xml:space="preserve">The AL for copper in drinking water is 1.3 mg/L. </w:t>
      </w:r>
    </w:p>
    <w:p w14:paraId="0C1B705C" w14:textId="77777777" w:rsidR="00F92FCA" w:rsidRDefault="00F92FCA" w:rsidP="00FB27F3">
      <w:pPr>
        <w:autoSpaceDE w:val="0"/>
        <w:autoSpaceDN w:val="0"/>
        <w:adjustRightInd w:val="0"/>
        <w:spacing w:line="241" w:lineRule="atLeast"/>
        <w:jc w:val="both"/>
        <w:rPr>
          <w:szCs w:val="22"/>
        </w:rPr>
      </w:pPr>
    </w:p>
    <w:p w14:paraId="13B240FB" w14:textId="0DBD1275" w:rsidR="007F0E0B" w:rsidRPr="00944197" w:rsidRDefault="00F92FCA" w:rsidP="00FB27F3">
      <w:pPr>
        <w:autoSpaceDE w:val="0"/>
        <w:autoSpaceDN w:val="0"/>
        <w:adjustRightInd w:val="0"/>
        <w:spacing w:line="241" w:lineRule="atLeast"/>
        <w:jc w:val="both"/>
        <w:rPr>
          <w:szCs w:val="22"/>
        </w:rPr>
      </w:pPr>
      <w:r>
        <w:rPr>
          <w:szCs w:val="22"/>
        </w:rPr>
        <w:t>Public water systems</w:t>
      </w:r>
      <w:r w:rsidR="007F0E0B" w:rsidRPr="00944197">
        <w:rPr>
          <w:szCs w:val="22"/>
        </w:rPr>
        <w:t xml:space="preserve"> must ensure that water from the customer’s tap does not exceed th</w:t>
      </w:r>
      <w:r>
        <w:rPr>
          <w:szCs w:val="22"/>
        </w:rPr>
        <w:t>e</w:t>
      </w:r>
      <w:r w:rsidR="007F0E0B" w:rsidRPr="00944197">
        <w:rPr>
          <w:szCs w:val="22"/>
        </w:rPr>
        <w:t xml:space="preserve"> </w:t>
      </w:r>
      <w:r>
        <w:rPr>
          <w:szCs w:val="22"/>
        </w:rPr>
        <w:t>AL</w:t>
      </w:r>
      <w:r w:rsidR="007F0E0B" w:rsidRPr="00944197">
        <w:rPr>
          <w:szCs w:val="22"/>
        </w:rPr>
        <w:t xml:space="preserve"> in at least 90 percent of the locations sampled (this is referred to as the 90</w:t>
      </w:r>
      <w:r w:rsidR="007F0E0B" w:rsidRPr="00944197">
        <w:rPr>
          <w:szCs w:val="22"/>
          <w:vertAlign w:val="superscript"/>
        </w:rPr>
        <w:t>th</w:t>
      </w:r>
      <w:r w:rsidR="007F0E0B" w:rsidRPr="00944197">
        <w:rPr>
          <w:szCs w:val="22"/>
        </w:rPr>
        <w:t xml:space="preserve"> percentile value). The </w:t>
      </w:r>
      <w:r>
        <w:rPr>
          <w:szCs w:val="22"/>
        </w:rPr>
        <w:t>AL</w:t>
      </w:r>
      <w:r w:rsidR="007F0E0B" w:rsidRPr="00944197">
        <w:rPr>
          <w:szCs w:val="22"/>
        </w:rPr>
        <w:t xml:space="preserve"> is </w:t>
      </w:r>
      <w:r w:rsidR="007F0E0B" w:rsidRPr="00944197">
        <w:rPr>
          <w:iCs/>
          <w:szCs w:val="22"/>
        </w:rPr>
        <w:t xml:space="preserve">the concentration of a contaminant which, if exceeded, triggers treatment or other requirements which a water system must follow. </w:t>
      </w:r>
    </w:p>
    <w:p w14:paraId="3873A291" w14:textId="77777777" w:rsidR="007F0E0B" w:rsidRPr="00944197" w:rsidRDefault="007F0E0B" w:rsidP="00FB27F3">
      <w:pPr>
        <w:autoSpaceDE w:val="0"/>
        <w:autoSpaceDN w:val="0"/>
        <w:adjustRightInd w:val="0"/>
        <w:spacing w:line="241" w:lineRule="atLeast"/>
        <w:jc w:val="both"/>
        <w:rPr>
          <w:szCs w:val="22"/>
        </w:rPr>
      </w:pPr>
    </w:p>
    <w:p w14:paraId="47307628" w14:textId="77777777" w:rsidR="007F0E0B" w:rsidRPr="00944197" w:rsidRDefault="007F0E0B" w:rsidP="00FB27F3">
      <w:pPr>
        <w:autoSpaceDE w:val="0"/>
        <w:autoSpaceDN w:val="0"/>
        <w:adjustRightInd w:val="0"/>
        <w:spacing w:line="241" w:lineRule="atLeast"/>
        <w:jc w:val="both"/>
        <w:rPr>
          <w:iCs/>
          <w:szCs w:val="22"/>
        </w:rPr>
      </w:pPr>
      <w:r w:rsidRPr="00944197">
        <w:rPr>
          <w:szCs w:val="22"/>
        </w:rPr>
        <w:t xml:space="preserve">Because lead may pose serious health risks, the EPA also set a Maximum Contaminant Level Goal (MCLG) for lead of zero.  The MCLG is </w:t>
      </w:r>
      <w:r w:rsidRPr="00944197">
        <w:rPr>
          <w:iCs/>
          <w:szCs w:val="22"/>
        </w:rPr>
        <w:t xml:space="preserve">the level of a contaminant in drinking water below which there is no known or expected risk to health.  MCLGs allow for a margin of safety. </w:t>
      </w:r>
    </w:p>
    <w:p w14:paraId="2931C26F" w14:textId="77777777" w:rsidR="00D21F70" w:rsidRPr="00424FC4" w:rsidRDefault="00D21F70" w:rsidP="00FB27F3">
      <w:pPr>
        <w:autoSpaceDE w:val="0"/>
        <w:autoSpaceDN w:val="0"/>
        <w:adjustRightInd w:val="0"/>
        <w:spacing w:line="241" w:lineRule="atLeast"/>
        <w:jc w:val="both"/>
        <w:rPr>
          <w:rFonts w:eastAsia="Calibri"/>
          <w:b/>
          <w:szCs w:val="22"/>
        </w:rPr>
      </w:pPr>
    </w:p>
    <w:p w14:paraId="74FCF75C" w14:textId="77777777" w:rsidR="00D21F70" w:rsidRPr="00424FC4" w:rsidRDefault="00D21F70" w:rsidP="00FB27F3">
      <w:pPr>
        <w:spacing w:after="120"/>
        <w:rPr>
          <w:rFonts w:eastAsia="Calibri"/>
          <w:szCs w:val="22"/>
        </w:rPr>
      </w:pPr>
      <w:r w:rsidRPr="00424FC4">
        <w:rPr>
          <w:rFonts w:eastAsia="Calibri"/>
          <w:b/>
          <w:szCs w:val="22"/>
        </w:rPr>
        <w:t xml:space="preserve">Health Effects of Lead </w:t>
      </w:r>
    </w:p>
    <w:p w14:paraId="41CF4B08" w14:textId="77777777" w:rsidR="007972C3" w:rsidRPr="007972C3" w:rsidRDefault="007972C3" w:rsidP="007972C3">
      <w:pPr>
        <w:autoSpaceDE w:val="0"/>
        <w:autoSpaceDN w:val="0"/>
        <w:adjustRightInd w:val="0"/>
        <w:spacing w:line="241" w:lineRule="atLeast"/>
        <w:jc w:val="both"/>
      </w:pPr>
      <w:r w:rsidRPr="007972C3">
        <w:t>Exposure to lead in drinking water can cause serious health effects in all age groups. Infants and children can have decreases in IQ and attention span. Lead exposure can lead to new learning and behavior problems or exacerbate existing learning and behavior problems. The children of women who are exposed to lead before or during pregnancy can have increased risk of these adverse health effects. Adults can have increased risks of heart disease, high blood pressure, kidney or nervous system problems.</w:t>
      </w:r>
    </w:p>
    <w:p w14:paraId="7ABE76AB" w14:textId="77777777" w:rsidR="007F0E0B" w:rsidRDefault="007F0E0B" w:rsidP="00FB27F3">
      <w:pPr>
        <w:autoSpaceDE w:val="0"/>
        <w:autoSpaceDN w:val="0"/>
        <w:adjustRightInd w:val="0"/>
        <w:spacing w:line="241" w:lineRule="atLeast"/>
        <w:jc w:val="both"/>
        <w:rPr>
          <w:rFonts w:eastAsia="Calibri"/>
          <w:b/>
          <w:szCs w:val="22"/>
        </w:rPr>
      </w:pPr>
    </w:p>
    <w:p w14:paraId="77DB80CB" w14:textId="77777777" w:rsidR="00D21F70" w:rsidRPr="006D0070" w:rsidRDefault="00D21F70" w:rsidP="00FB27F3">
      <w:pPr>
        <w:spacing w:after="120"/>
        <w:rPr>
          <w:rFonts w:eastAsia="Calibri"/>
          <w:szCs w:val="22"/>
        </w:rPr>
      </w:pPr>
      <w:r w:rsidRPr="006D0070">
        <w:rPr>
          <w:rFonts w:eastAsia="Calibri"/>
          <w:b/>
          <w:szCs w:val="22"/>
        </w:rPr>
        <w:t>Steps You Can Take To Reduce Your Exposure to Lead in Your Water</w:t>
      </w:r>
    </w:p>
    <w:p w14:paraId="3AE8E38F" w14:textId="77777777" w:rsidR="00D21F70" w:rsidRPr="00F076E8" w:rsidRDefault="00D21F70" w:rsidP="00FB27F3">
      <w:pPr>
        <w:numPr>
          <w:ilvl w:val="0"/>
          <w:numId w:val="4"/>
        </w:numPr>
        <w:tabs>
          <w:tab w:val="left" w:pos="0"/>
        </w:tabs>
        <w:autoSpaceDE w:val="0"/>
        <w:autoSpaceDN w:val="0"/>
        <w:adjustRightInd w:val="0"/>
        <w:spacing w:after="120"/>
        <w:jc w:val="both"/>
        <w:rPr>
          <w:color w:val="000000"/>
          <w:sz w:val="24"/>
          <w:szCs w:val="24"/>
        </w:rPr>
      </w:pPr>
      <w:r w:rsidRPr="006D0070">
        <w:rPr>
          <w:b/>
          <w:bCs/>
          <w:i/>
          <w:iCs/>
          <w:szCs w:val="22"/>
          <w:u w:val="single"/>
        </w:rPr>
        <w:t>Run your water to flush out lead</w:t>
      </w:r>
      <w:r w:rsidRPr="006D0070">
        <w:rPr>
          <w:b/>
          <w:bCs/>
          <w:i/>
          <w:iCs/>
          <w:szCs w:val="22"/>
        </w:rPr>
        <w:t xml:space="preserve">. </w:t>
      </w:r>
      <w:r w:rsidRPr="006D0070">
        <w:rPr>
          <w:szCs w:val="22"/>
        </w:rPr>
        <w:t>If water hasn’t been used for several hours, allow the water to run at the tap for 30 seconds to 2 minutes before using it for drinking or cooking.  This action flushes the lead-containing water from the pipes.  The water you run from drinking water taps does not have to be wasted.  You can use this water for cleaning purposes or for watering plants.  You may want to keep a container of drinking water in your refrigerator, so you don’t have to run water every time you need it.</w:t>
      </w:r>
    </w:p>
    <w:p w14:paraId="136EA983" w14:textId="77777777" w:rsidR="00D21F70" w:rsidRPr="00F076E8" w:rsidRDefault="00D21F70" w:rsidP="00FB27F3">
      <w:pPr>
        <w:numPr>
          <w:ilvl w:val="0"/>
          <w:numId w:val="4"/>
        </w:numPr>
        <w:tabs>
          <w:tab w:val="left" w:pos="0"/>
        </w:tabs>
        <w:autoSpaceDE w:val="0"/>
        <w:autoSpaceDN w:val="0"/>
        <w:adjustRightInd w:val="0"/>
        <w:spacing w:after="120"/>
        <w:jc w:val="both"/>
        <w:rPr>
          <w:color w:val="000000"/>
          <w:sz w:val="24"/>
          <w:szCs w:val="24"/>
        </w:rPr>
      </w:pPr>
      <w:r w:rsidRPr="006D0070">
        <w:rPr>
          <w:b/>
          <w:bCs/>
          <w:i/>
          <w:iCs/>
          <w:szCs w:val="22"/>
          <w:u w:val="single"/>
        </w:rPr>
        <w:t>Use water from the cold water tap for cooking and preparing baby formula</w:t>
      </w:r>
      <w:r w:rsidRPr="006D0070">
        <w:rPr>
          <w:b/>
          <w:bCs/>
          <w:i/>
          <w:iCs/>
          <w:szCs w:val="22"/>
        </w:rPr>
        <w:t xml:space="preserve">. </w:t>
      </w:r>
      <w:r w:rsidRPr="006D0070">
        <w:rPr>
          <w:szCs w:val="22"/>
        </w:rPr>
        <w:t>Do not cook with or drink water from the hot water tap; lead dissolves more easily in hot water. Do not use water from the hot water tap to make baby formula.</w:t>
      </w:r>
    </w:p>
    <w:p w14:paraId="1769C1C9" w14:textId="77777777" w:rsidR="00D21F70" w:rsidRPr="00F076E8" w:rsidRDefault="00D21F70" w:rsidP="00FB27F3">
      <w:pPr>
        <w:numPr>
          <w:ilvl w:val="0"/>
          <w:numId w:val="4"/>
        </w:numPr>
        <w:tabs>
          <w:tab w:val="left" w:pos="0"/>
        </w:tabs>
        <w:autoSpaceDE w:val="0"/>
        <w:autoSpaceDN w:val="0"/>
        <w:adjustRightInd w:val="0"/>
        <w:spacing w:after="120"/>
        <w:jc w:val="both"/>
        <w:rPr>
          <w:color w:val="000000"/>
          <w:sz w:val="24"/>
          <w:szCs w:val="24"/>
        </w:rPr>
      </w:pPr>
      <w:r w:rsidRPr="006D0070">
        <w:rPr>
          <w:b/>
          <w:bCs/>
          <w:i/>
          <w:iCs/>
          <w:szCs w:val="22"/>
          <w:u w:val="single"/>
        </w:rPr>
        <w:lastRenderedPageBreak/>
        <w:t>Do not boil water to remove lead.</w:t>
      </w:r>
      <w:r w:rsidRPr="006D0070">
        <w:rPr>
          <w:b/>
          <w:bCs/>
          <w:i/>
          <w:iCs/>
          <w:szCs w:val="22"/>
        </w:rPr>
        <w:t xml:space="preserve"> </w:t>
      </w:r>
      <w:r w:rsidRPr="006D0070">
        <w:rPr>
          <w:szCs w:val="22"/>
        </w:rPr>
        <w:t>Boiling water will not reduce or remove lead.</w:t>
      </w:r>
    </w:p>
    <w:p w14:paraId="4F3C0287" w14:textId="77777777" w:rsidR="00D21F70" w:rsidRPr="00F076E8" w:rsidRDefault="00D21F70" w:rsidP="00FB27F3">
      <w:pPr>
        <w:numPr>
          <w:ilvl w:val="0"/>
          <w:numId w:val="4"/>
        </w:numPr>
        <w:tabs>
          <w:tab w:val="left" w:pos="0"/>
        </w:tabs>
        <w:autoSpaceDE w:val="0"/>
        <w:autoSpaceDN w:val="0"/>
        <w:adjustRightInd w:val="0"/>
        <w:spacing w:after="120"/>
        <w:jc w:val="both"/>
        <w:rPr>
          <w:color w:val="000000"/>
          <w:sz w:val="24"/>
          <w:szCs w:val="24"/>
        </w:rPr>
      </w:pPr>
      <w:r w:rsidRPr="006D0070">
        <w:rPr>
          <w:b/>
          <w:bCs/>
          <w:i/>
          <w:iCs/>
          <w:szCs w:val="22"/>
          <w:u w:val="single"/>
        </w:rPr>
        <w:t>Consider installing a filter</w:t>
      </w:r>
      <w:r w:rsidRPr="006D0070">
        <w:rPr>
          <w:b/>
          <w:bCs/>
          <w:iCs/>
          <w:szCs w:val="22"/>
          <w:u w:val="single"/>
        </w:rPr>
        <w:t>.</w:t>
      </w:r>
      <w:r w:rsidRPr="006D0070">
        <w:rPr>
          <w:b/>
          <w:bCs/>
          <w:iCs/>
          <w:szCs w:val="22"/>
        </w:rPr>
        <w:t xml:space="preserve"> </w:t>
      </w:r>
      <w:r w:rsidRPr="006D0070">
        <w:rPr>
          <w:szCs w:val="22"/>
        </w:rPr>
        <w:t xml:space="preserve">You may want to consider installing a water filter.  Ensure that the filter is approved to reduce lead or contact the National Sanitation Foundation at 800-NSF-8010 or </w:t>
      </w:r>
      <w:r w:rsidRPr="006D0070">
        <w:rPr>
          <w:b/>
          <w:szCs w:val="22"/>
        </w:rPr>
        <w:t>www.nsf.org</w:t>
      </w:r>
      <w:r w:rsidRPr="006D0070">
        <w:rPr>
          <w:szCs w:val="22"/>
        </w:rPr>
        <w:t xml:space="preserve"> for information on performance standards for these types of water filters.  If you choose to install a lead removal filter, be sure to maintain and replace the filter in accordance with the manufacturer’s instructions to protect water quality.</w:t>
      </w:r>
    </w:p>
    <w:p w14:paraId="4C39CBF6" w14:textId="77777777" w:rsidR="00D21F70" w:rsidRPr="00F076E8" w:rsidRDefault="00D21F70" w:rsidP="00FB27F3">
      <w:pPr>
        <w:numPr>
          <w:ilvl w:val="0"/>
          <w:numId w:val="4"/>
        </w:numPr>
        <w:tabs>
          <w:tab w:val="left" w:pos="0"/>
        </w:tabs>
        <w:autoSpaceDE w:val="0"/>
        <w:autoSpaceDN w:val="0"/>
        <w:adjustRightInd w:val="0"/>
        <w:spacing w:after="120"/>
        <w:jc w:val="both"/>
        <w:rPr>
          <w:color w:val="000000"/>
          <w:sz w:val="24"/>
          <w:szCs w:val="24"/>
        </w:rPr>
      </w:pPr>
      <w:r w:rsidRPr="006D0070">
        <w:rPr>
          <w:b/>
          <w:bCs/>
          <w:i/>
          <w:iCs/>
          <w:szCs w:val="22"/>
          <w:u w:val="single"/>
        </w:rPr>
        <w:t>Get your child tested.</w:t>
      </w:r>
      <w:r w:rsidRPr="006D0070">
        <w:rPr>
          <w:b/>
          <w:bCs/>
          <w:i/>
          <w:iCs/>
          <w:szCs w:val="22"/>
        </w:rPr>
        <w:t xml:space="preserve"> </w:t>
      </w:r>
      <w:r w:rsidRPr="006D0070">
        <w:rPr>
          <w:szCs w:val="22"/>
        </w:rPr>
        <w:t>Contact your local health department or healthcare provider to find out how you can get your child’s blood tested for lead if you are concerned about exposure.</w:t>
      </w:r>
    </w:p>
    <w:p w14:paraId="60526AD1" w14:textId="067FB7F3" w:rsidR="00D21F70" w:rsidRPr="00F076E8" w:rsidRDefault="00D21F70" w:rsidP="00FB27F3">
      <w:pPr>
        <w:numPr>
          <w:ilvl w:val="0"/>
          <w:numId w:val="4"/>
        </w:numPr>
        <w:tabs>
          <w:tab w:val="left" w:pos="0"/>
        </w:tabs>
        <w:autoSpaceDE w:val="0"/>
        <w:autoSpaceDN w:val="0"/>
        <w:adjustRightInd w:val="0"/>
        <w:spacing w:after="120"/>
        <w:jc w:val="both"/>
        <w:rPr>
          <w:rFonts w:eastAsia="Calibri"/>
          <w:szCs w:val="22"/>
        </w:rPr>
      </w:pPr>
      <w:r w:rsidRPr="00D21F70">
        <w:rPr>
          <w:b/>
          <w:bCs/>
          <w:i/>
          <w:iCs/>
          <w:szCs w:val="22"/>
          <w:u w:val="single"/>
        </w:rPr>
        <w:t>Identify and replace any plumbing fixtures that contain lead.</w:t>
      </w:r>
      <w:r w:rsidRPr="00D21F70">
        <w:rPr>
          <w:b/>
          <w:bCs/>
          <w:i/>
          <w:iCs/>
          <w:szCs w:val="22"/>
        </w:rPr>
        <w:t xml:space="preserve"> </w:t>
      </w:r>
      <w:r w:rsidRPr="00D21F70">
        <w:rPr>
          <w:szCs w:val="22"/>
        </w:rPr>
        <w:t xml:space="preserve">Brass </w:t>
      </w:r>
      <w:r>
        <w:rPr>
          <w:szCs w:val="22"/>
        </w:rPr>
        <w:t xml:space="preserve">faucets, fittings, and valves </w:t>
      </w:r>
      <w:r w:rsidRPr="00D21F70">
        <w:rPr>
          <w:szCs w:val="22"/>
        </w:rPr>
        <w:t xml:space="preserve">manufactured </w:t>
      </w:r>
      <w:r w:rsidRPr="00D21F70">
        <w:rPr>
          <w:i/>
          <w:szCs w:val="22"/>
        </w:rPr>
        <w:t>before January 4, 2014,</w:t>
      </w:r>
      <w:r w:rsidRPr="00D21F70">
        <w:rPr>
          <w:szCs w:val="22"/>
        </w:rPr>
        <w:t xml:space="preserve"> may contribute lead to drinking water, including those advertised as “lead-free.” Under current law, “lead</w:t>
      </w:r>
      <w:r w:rsidR="005905E0">
        <w:rPr>
          <w:szCs w:val="22"/>
        </w:rPr>
        <w:t>-</w:t>
      </w:r>
      <w:r w:rsidRPr="00D21F70">
        <w:rPr>
          <w:szCs w:val="22"/>
        </w:rPr>
        <w:t xml:space="preserve">free” means no more than 0.2% lead in solder and flux, and 0.25% lead for pipe, pipe fittings, and components. Visit the National Sanitation Foundation </w:t>
      </w:r>
      <w:r w:rsidR="005905E0">
        <w:rPr>
          <w:szCs w:val="22"/>
        </w:rPr>
        <w:t>w</w:t>
      </w:r>
      <w:r w:rsidRPr="00D21F70">
        <w:rPr>
          <w:szCs w:val="22"/>
        </w:rPr>
        <w:t xml:space="preserve">ebsite at </w:t>
      </w:r>
      <w:r w:rsidRPr="00D21F70">
        <w:rPr>
          <w:b/>
          <w:szCs w:val="22"/>
        </w:rPr>
        <w:t>www.nsf.org</w:t>
      </w:r>
      <w:r w:rsidRPr="00D21F70">
        <w:rPr>
          <w:szCs w:val="22"/>
        </w:rPr>
        <w:t xml:space="preserve"> to learn more about lead-containing plumbing fixtures.</w:t>
      </w:r>
    </w:p>
    <w:p w14:paraId="54D8B495" w14:textId="77777777" w:rsidR="007F0E0B" w:rsidRPr="00FB27F3" w:rsidRDefault="007F0E0B" w:rsidP="00FB27F3">
      <w:pPr>
        <w:rPr>
          <w:rFonts w:eastAsia="Calibri"/>
          <w:b/>
          <w:szCs w:val="22"/>
        </w:rPr>
      </w:pPr>
      <w:r>
        <w:rPr>
          <w:rFonts w:eastAsia="Calibri"/>
          <w:b/>
          <w:i/>
          <w:szCs w:val="22"/>
        </w:rPr>
        <w:t>[Optional:]</w:t>
      </w:r>
    </w:p>
    <w:p w14:paraId="18949E1C" w14:textId="77777777" w:rsidR="007F0E0B" w:rsidRPr="00151574" w:rsidRDefault="007F0E0B" w:rsidP="00FB27F3">
      <w:pPr>
        <w:spacing w:after="120"/>
        <w:rPr>
          <w:rFonts w:eastAsia="Calibri"/>
          <w:b/>
          <w:szCs w:val="22"/>
        </w:rPr>
      </w:pPr>
      <w:r w:rsidRPr="00151574">
        <w:rPr>
          <w:rFonts w:eastAsia="Calibri"/>
          <w:b/>
          <w:szCs w:val="22"/>
        </w:rPr>
        <w:t>Copper</w:t>
      </w:r>
    </w:p>
    <w:p w14:paraId="188253D1" w14:textId="0854E4A8" w:rsidR="007F0E0B" w:rsidRPr="00151574" w:rsidRDefault="007F0E0B" w:rsidP="00FB27F3">
      <w:pPr>
        <w:autoSpaceDE w:val="0"/>
        <w:autoSpaceDN w:val="0"/>
        <w:adjustRightInd w:val="0"/>
        <w:spacing w:line="241" w:lineRule="atLeast"/>
        <w:jc w:val="both"/>
        <w:rPr>
          <w:color w:val="202124"/>
          <w:szCs w:val="22"/>
          <w:shd w:val="clear" w:color="auto" w:fill="FFFFFF"/>
        </w:rPr>
      </w:pPr>
      <w:r w:rsidRPr="00151574">
        <w:rPr>
          <w:color w:val="202124"/>
          <w:szCs w:val="22"/>
          <w:shd w:val="clear" w:color="auto" w:fill="FFFFFF"/>
        </w:rPr>
        <w:t xml:space="preserve">Copper is an </w:t>
      </w:r>
      <w:r w:rsidRPr="00FB27F3">
        <w:rPr>
          <w:color w:val="000000"/>
          <w:szCs w:val="22"/>
        </w:rPr>
        <w:t>essential</w:t>
      </w:r>
      <w:r w:rsidRPr="00151574">
        <w:rPr>
          <w:color w:val="202124"/>
          <w:szCs w:val="22"/>
          <w:shd w:val="clear" w:color="auto" w:fill="FFFFFF"/>
        </w:rPr>
        <w:t xml:space="preserve"> nutrient, but some people who drink water containing copper in excess of the </w:t>
      </w:r>
      <w:r w:rsidR="005905E0">
        <w:rPr>
          <w:color w:val="202124"/>
          <w:szCs w:val="22"/>
          <w:shd w:val="clear" w:color="auto" w:fill="FFFFFF"/>
        </w:rPr>
        <w:t>AL</w:t>
      </w:r>
      <w:r w:rsidRPr="00151574">
        <w:rPr>
          <w:color w:val="202124"/>
          <w:szCs w:val="22"/>
          <w:shd w:val="clear" w:color="auto" w:fill="FFFFFF"/>
        </w:rPr>
        <w:t xml:space="preserve"> over a relatively short amount of time could experience gastrointestinal distress. Some people who drink water containing copper in excess of the </w:t>
      </w:r>
      <w:r w:rsidR="005905E0">
        <w:rPr>
          <w:color w:val="202124"/>
          <w:szCs w:val="22"/>
          <w:shd w:val="clear" w:color="auto" w:fill="FFFFFF"/>
        </w:rPr>
        <w:t>AL</w:t>
      </w:r>
      <w:r w:rsidRPr="00151574">
        <w:rPr>
          <w:color w:val="202124"/>
          <w:szCs w:val="22"/>
          <w:shd w:val="clear" w:color="auto" w:fill="FFFFFF"/>
        </w:rPr>
        <w:t xml:space="preserve"> over many years could suffer liver or kidney damage. People with Wilson's Disease should consult their personal doctor.</w:t>
      </w:r>
    </w:p>
    <w:p w14:paraId="5AD642E1" w14:textId="77777777" w:rsidR="00D21F70" w:rsidRPr="00944197" w:rsidRDefault="00D21F70" w:rsidP="004F40CF">
      <w:pPr>
        <w:ind w:left="-540" w:right="-540"/>
        <w:rPr>
          <w:rFonts w:eastAsia="Calibri"/>
          <w:b/>
          <w:szCs w:val="22"/>
        </w:rPr>
      </w:pPr>
    </w:p>
    <w:p w14:paraId="68D0964A" w14:textId="77777777" w:rsidR="00D21F70" w:rsidRPr="00134238" w:rsidRDefault="00D21F70" w:rsidP="00FB27F3">
      <w:pPr>
        <w:spacing w:after="120"/>
        <w:rPr>
          <w:rFonts w:eastAsia="Calibri"/>
          <w:szCs w:val="22"/>
        </w:rPr>
      </w:pPr>
      <w:r w:rsidRPr="00134238">
        <w:rPr>
          <w:rFonts w:eastAsia="Calibri"/>
          <w:b/>
          <w:szCs w:val="22"/>
        </w:rPr>
        <w:t>For More Information</w:t>
      </w:r>
    </w:p>
    <w:p w14:paraId="25228BF2" w14:textId="0BA58693" w:rsidR="00D21F70" w:rsidRPr="00134238" w:rsidRDefault="004526A4" w:rsidP="00FB27F3">
      <w:pPr>
        <w:ind w:right="-540"/>
        <w:jc w:val="both"/>
        <w:rPr>
          <w:rFonts w:eastAsia="Calibri"/>
          <w:szCs w:val="22"/>
        </w:rPr>
      </w:pPr>
      <w:r w:rsidRPr="004526A4">
        <w:rPr>
          <w:rFonts w:eastAsia="Calibri"/>
          <w:szCs w:val="22"/>
        </w:rPr>
        <w:t xml:space="preserve">Call us at </w:t>
      </w:r>
      <w:r w:rsidRPr="004526A4">
        <w:rPr>
          <w:rFonts w:eastAsia="Calibri"/>
          <w:i/>
          <w:szCs w:val="22"/>
        </w:rPr>
        <w:t>[Insert Waterworks Owner’s Contact Phone Number],</w:t>
      </w:r>
      <w:r w:rsidRPr="004526A4">
        <w:rPr>
          <w:rFonts w:eastAsia="Calibri"/>
          <w:szCs w:val="22"/>
        </w:rPr>
        <w:t xml:space="preserve"> or </w:t>
      </w:r>
      <w:r w:rsidRPr="004526A4">
        <w:rPr>
          <w:rFonts w:eastAsia="Calibri"/>
          <w:i/>
          <w:szCs w:val="22"/>
        </w:rPr>
        <w:t>[if applicable]</w:t>
      </w:r>
      <w:r w:rsidRPr="004526A4">
        <w:rPr>
          <w:rFonts w:eastAsia="Calibri"/>
          <w:szCs w:val="22"/>
        </w:rPr>
        <w:t xml:space="preserve"> visit our Website at </w:t>
      </w:r>
      <w:r w:rsidRPr="004526A4">
        <w:rPr>
          <w:rFonts w:eastAsia="Calibri"/>
          <w:i/>
          <w:szCs w:val="22"/>
        </w:rPr>
        <w:t xml:space="preserve">[insert Waterworks Website Here]. </w:t>
      </w:r>
      <w:r w:rsidR="00D21F70" w:rsidRPr="00134238">
        <w:rPr>
          <w:rFonts w:eastAsia="Calibri"/>
          <w:i/>
          <w:szCs w:val="22"/>
        </w:rPr>
        <w:t xml:space="preserve"> </w:t>
      </w:r>
      <w:r w:rsidR="00D21F70" w:rsidRPr="00134238">
        <w:rPr>
          <w:rFonts w:eastAsia="Calibri"/>
          <w:szCs w:val="22"/>
        </w:rPr>
        <w:t>For more information on reducing lead exposure around your home/building and the health effects of lead:</w:t>
      </w:r>
    </w:p>
    <w:p w14:paraId="395F8E71" w14:textId="77777777" w:rsidR="00D21F70" w:rsidRPr="00134238" w:rsidRDefault="00D21F70" w:rsidP="00FB27F3">
      <w:pPr>
        <w:numPr>
          <w:ilvl w:val="0"/>
          <w:numId w:val="5"/>
        </w:numPr>
        <w:ind w:left="0" w:right="-540" w:firstLine="0"/>
        <w:jc w:val="both"/>
        <w:rPr>
          <w:rFonts w:eastAsia="Calibri"/>
          <w:szCs w:val="22"/>
        </w:rPr>
      </w:pPr>
      <w:r w:rsidRPr="00134238">
        <w:rPr>
          <w:rFonts w:eastAsia="Calibri"/>
          <w:szCs w:val="22"/>
        </w:rPr>
        <w:t xml:space="preserve">Visit EPA’s website at </w:t>
      </w:r>
      <w:r w:rsidRPr="00134238">
        <w:rPr>
          <w:rFonts w:eastAsia="Calibri"/>
          <w:szCs w:val="22"/>
          <w:u w:val="single"/>
        </w:rPr>
        <w:t>http://</w:t>
      </w:r>
      <w:hyperlink r:id="rId8" w:history="1">
        <w:r w:rsidRPr="00134238">
          <w:rPr>
            <w:rFonts w:eastAsia="Calibri"/>
            <w:szCs w:val="22"/>
            <w:u w:val="single"/>
          </w:rPr>
          <w:t>www.epa.gov/lead</w:t>
        </w:r>
      </w:hyperlink>
      <w:r w:rsidRPr="00134238">
        <w:rPr>
          <w:rFonts w:eastAsia="Calibri"/>
          <w:szCs w:val="22"/>
          <w:u w:val="single"/>
        </w:rPr>
        <w:t>;</w:t>
      </w:r>
    </w:p>
    <w:p w14:paraId="21E8627D" w14:textId="77777777" w:rsidR="00A040EC" w:rsidRDefault="00A040EC" w:rsidP="00FB27F3">
      <w:pPr>
        <w:numPr>
          <w:ilvl w:val="0"/>
          <w:numId w:val="5"/>
        </w:numPr>
        <w:ind w:left="0" w:right="-540" w:firstLine="0"/>
        <w:jc w:val="both"/>
        <w:rPr>
          <w:rFonts w:eastAsia="Calibri"/>
          <w:szCs w:val="22"/>
        </w:rPr>
      </w:pPr>
      <w:r>
        <w:rPr>
          <w:rFonts w:eastAsia="Calibri"/>
          <w:szCs w:val="22"/>
        </w:rPr>
        <w:t xml:space="preserve">Visit VDH’s website at </w:t>
      </w:r>
      <w:r w:rsidRPr="007972C3">
        <w:rPr>
          <w:u w:val="single"/>
        </w:rPr>
        <w:t>http://www.vdh.virginia.gov/leadsafe/</w:t>
      </w:r>
    </w:p>
    <w:p w14:paraId="6B171C4A" w14:textId="77777777" w:rsidR="00D21F70" w:rsidRPr="00134238" w:rsidRDefault="00D21F70" w:rsidP="00FB27F3">
      <w:pPr>
        <w:numPr>
          <w:ilvl w:val="0"/>
          <w:numId w:val="5"/>
        </w:numPr>
        <w:ind w:left="0" w:right="-540" w:firstLine="0"/>
        <w:jc w:val="both"/>
        <w:rPr>
          <w:rFonts w:eastAsia="Calibri"/>
          <w:szCs w:val="22"/>
        </w:rPr>
      </w:pPr>
      <w:r w:rsidRPr="00134238">
        <w:rPr>
          <w:rFonts w:eastAsia="Calibri"/>
          <w:szCs w:val="22"/>
        </w:rPr>
        <w:t>Contact your health care provider;</w:t>
      </w:r>
    </w:p>
    <w:p w14:paraId="70A53CA3" w14:textId="77777777" w:rsidR="00D21F70" w:rsidRDefault="00D21F70" w:rsidP="00FB27F3">
      <w:pPr>
        <w:numPr>
          <w:ilvl w:val="0"/>
          <w:numId w:val="5"/>
        </w:numPr>
        <w:ind w:left="0" w:right="-540" w:firstLine="0"/>
        <w:jc w:val="both"/>
        <w:rPr>
          <w:rFonts w:eastAsia="Calibri"/>
          <w:szCs w:val="22"/>
        </w:rPr>
      </w:pPr>
      <w:r w:rsidRPr="00134238">
        <w:rPr>
          <w:rFonts w:eastAsia="Calibri"/>
          <w:szCs w:val="22"/>
        </w:rPr>
        <w:t>Contact the National Lead Information Center at 800-424-LEAD</w:t>
      </w:r>
    </w:p>
    <w:p w14:paraId="0E143FDD" w14:textId="77777777" w:rsidR="00D21F70" w:rsidRPr="00A660D1" w:rsidRDefault="00D21F70" w:rsidP="00FB27F3">
      <w:pPr>
        <w:spacing w:before="120"/>
        <w:ind w:right="-540"/>
        <w:rPr>
          <w:b/>
          <w:bCs/>
          <w:color w:val="000000"/>
          <w:szCs w:val="22"/>
        </w:rPr>
      </w:pPr>
      <w:r w:rsidRPr="006D0070">
        <w:rPr>
          <w:rFonts w:eastAsia="Calibri"/>
          <w:szCs w:val="22"/>
        </w:rPr>
        <w:t xml:space="preserve">This notice is brought to you by </w:t>
      </w:r>
      <w:r w:rsidRPr="006D0070">
        <w:rPr>
          <w:rFonts w:eastAsia="Calibri"/>
          <w:i/>
          <w:szCs w:val="22"/>
        </w:rPr>
        <w:t>[insert the name of your waterworks].</w:t>
      </w:r>
      <w:r w:rsidRPr="006D0070">
        <w:rPr>
          <w:rFonts w:eastAsia="Calibri"/>
          <w:szCs w:val="22"/>
        </w:rPr>
        <w:t xml:space="preserve">  State Water System ID# </w:t>
      </w:r>
      <w:r w:rsidRPr="006D0070">
        <w:rPr>
          <w:rFonts w:eastAsia="Calibri"/>
          <w:i/>
          <w:szCs w:val="22"/>
        </w:rPr>
        <w:t>[insert your water system’s ID number.</w:t>
      </w:r>
      <w:r w:rsidRPr="006D0070">
        <w:rPr>
          <w:rFonts w:eastAsia="Calibri"/>
          <w:szCs w:val="22"/>
        </w:rPr>
        <w:t xml:space="preserve">  Date </w:t>
      </w:r>
      <w:r w:rsidRPr="006D0070">
        <w:rPr>
          <w:rFonts w:eastAsia="Calibri"/>
          <w:i/>
          <w:szCs w:val="22"/>
        </w:rPr>
        <w:t>[Insert the date distributed]</w:t>
      </w:r>
    </w:p>
    <w:p w14:paraId="39E2C47F" w14:textId="77777777" w:rsidR="00CF0A25" w:rsidRDefault="00CF0A25" w:rsidP="00D21F70">
      <w:pPr>
        <w:rPr>
          <w:sz w:val="32"/>
          <w:szCs w:val="32"/>
        </w:rPr>
        <w:sectPr w:rsidR="00CF0A25" w:rsidSect="00FB27F3">
          <w:headerReference w:type="default" r:id="rId9"/>
          <w:footerReference w:type="default" r:id="rId10"/>
          <w:pgSz w:w="12240" w:h="15840"/>
          <w:pgMar w:top="1440" w:right="1440" w:bottom="1440" w:left="1440" w:header="720" w:footer="720" w:gutter="0"/>
          <w:cols w:space="720"/>
          <w:docGrid w:linePitch="360"/>
        </w:sectPr>
      </w:pPr>
    </w:p>
    <w:p w14:paraId="4B99135A" w14:textId="77777777" w:rsidR="0067522C" w:rsidRPr="00BB203D" w:rsidRDefault="00D21F70" w:rsidP="00D21F70">
      <w:pPr>
        <w:rPr>
          <w:sz w:val="24"/>
          <w:szCs w:val="24"/>
        </w:rPr>
      </w:pPr>
      <w:r w:rsidRPr="00A660D1">
        <w:rPr>
          <w:sz w:val="32"/>
          <w:szCs w:val="32"/>
        </w:rPr>
        <w:br w:type="page"/>
      </w:r>
    </w:p>
    <w:p w14:paraId="4A884E05" w14:textId="77777777" w:rsidR="002214E4" w:rsidRPr="007D75FD" w:rsidRDefault="002214E4" w:rsidP="002214E4">
      <w:pPr>
        <w:pStyle w:val="Default"/>
        <w:jc w:val="center"/>
        <w:rPr>
          <w:b/>
          <w:sz w:val="32"/>
          <w:szCs w:val="32"/>
        </w:rPr>
      </w:pPr>
      <w:r w:rsidRPr="007D75FD">
        <w:rPr>
          <w:b/>
          <w:sz w:val="32"/>
          <w:szCs w:val="32"/>
        </w:rPr>
        <w:lastRenderedPageBreak/>
        <w:t>Lead and Copper Results Delivery Certification</w:t>
      </w:r>
    </w:p>
    <w:p w14:paraId="6A25E5FD" w14:textId="77777777" w:rsidR="002214E4" w:rsidRPr="007D75FD" w:rsidRDefault="002214E4" w:rsidP="002214E4">
      <w:pPr>
        <w:pStyle w:val="Defaul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2214E4" w:rsidRPr="00D60324" w14:paraId="69661060" w14:textId="77777777" w:rsidTr="00FB27F3">
        <w:tc>
          <w:tcPr>
            <w:tcW w:w="9468" w:type="dxa"/>
            <w:shd w:val="clear" w:color="auto" w:fill="auto"/>
          </w:tcPr>
          <w:p w14:paraId="4AF50263" w14:textId="77777777" w:rsidR="002214E4" w:rsidRPr="00D60324" w:rsidRDefault="002214E4" w:rsidP="00007171">
            <w:pPr>
              <w:pStyle w:val="Default"/>
              <w:rPr>
                <w:sz w:val="20"/>
                <w:szCs w:val="20"/>
              </w:rPr>
            </w:pPr>
            <w:r w:rsidRPr="00D60324">
              <w:rPr>
                <w:b/>
                <w:sz w:val="20"/>
                <w:szCs w:val="20"/>
                <w:u w:val="single"/>
              </w:rPr>
              <w:t>INSTRUCTIONS:</w:t>
            </w:r>
            <w:r w:rsidRPr="00D60324">
              <w:rPr>
                <w:sz w:val="20"/>
                <w:szCs w:val="20"/>
              </w:rPr>
              <w:t xml:space="preserve"> Waterworks owner must </w:t>
            </w:r>
          </w:p>
          <w:p w14:paraId="346963E3" w14:textId="77777777" w:rsidR="002214E4" w:rsidRPr="00D60324" w:rsidRDefault="002214E4" w:rsidP="00D51B28">
            <w:pPr>
              <w:pStyle w:val="Default"/>
              <w:numPr>
                <w:ilvl w:val="0"/>
                <w:numId w:val="3"/>
              </w:numPr>
              <w:rPr>
                <w:sz w:val="20"/>
                <w:szCs w:val="20"/>
              </w:rPr>
            </w:pPr>
            <w:r w:rsidRPr="00D60324">
              <w:rPr>
                <w:sz w:val="20"/>
                <w:szCs w:val="20"/>
              </w:rPr>
              <w:t>Complete this form.</w:t>
            </w:r>
          </w:p>
          <w:p w14:paraId="4A29BFB9" w14:textId="77777777" w:rsidR="002214E4" w:rsidRPr="00D60324" w:rsidRDefault="002214E4" w:rsidP="00D51B28">
            <w:pPr>
              <w:pStyle w:val="Default"/>
              <w:numPr>
                <w:ilvl w:val="0"/>
                <w:numId w:val="3"/>
              </w:numPr>
              <w:rPr>
                <w:sz w:val="20"/>
                <w:szCs w:val="20"/>
              </w:rPr>
            </w:pPr>
            <w:r w:rsidRPr="00D60324">
              <w:rPr>
                <w:sz w:val="20"/>
                <w:szCs w:val="20"/>
              </w:rPr>
              <w:t>Attach a copy of the consumer noti</w:t>
            </w:r>
            <w:r w:rsidR="00CF0A25">
              <w:rPr>
                <w:sz w:val="20"/>
                <w:szCs w:val="20"/>
              </w:rPr>
              <w:t>ce</w:t>
            </w:r>
            <w:r w:rsidRPr="00D60324">
              <w:rPr>
                <w:sz w:val="20"/>
                <w:szCs w:val="20"/>
              </w:rPr>
              <w:t xml:space="preserve"> to this form.</w:t>
            </w:r>
          </w:p>
          <w:p w14:paraId="3EAD0841" w14:textId="77777777" w:rsidR="002214E4" w:rsidRPr="00D60324" w:rsidRDefault="002214E4" w:rsidP="00D51B28">
            <w:pPr>
              <w:pStyle w:val="Default"/>
              <w:numPr>
                <w:ilvl w:val="0"/>
                <w:numId w:val="3"/>
              </w:numPr>
              <w:rPr>
                <w:sz w:val="20"/>
                <w:szCs w:val="20"/>
              </w:rPr>
            </w:pPr>
            <w:r w:rsidRPr="00D60324">
              <w:rPr>
                <w:sz w:val="20"/>
                <w:szCs w:val="20"/>
              </w:rPr>
              <w:t xml:space="preserve">Within </w:t>
            </w:r>
            <w:r w:rsidR="00776AF2">
              <w:rPr>
                <w:sz w:val="20"/>
                <w:szCs w:val="20"/>
              </w:rPr>
              <w:t>three</w:t>
            </w:r>
            <w:r w:rsidRPr="00D60324">
              <w:rPr>
                <w:sz w:val="20"/>
                <w:szCs w:val="20"/>
              </w:rPr>
              <w:t xml:space="preserve"> months from the end of the monitoring period, mail</w:t>
            </w:r>
            <w:r w:rsidR="00CF0A25">
              <w:rPr>
                <w:sz w:val="20"/>
                <w:szCs w:val="20"/>
              </w:rPr>
              <w:t xml:space="preserve"> or email</w:t>
            </w:r>
            <w:r w:rsidRPr="00D60324">
              <w:rPr>
                <w:sz w:val="20"/>
                <w:szCs w:val="20"/>
              </w:rPr>
              <w:t xml:space="preserve"> this form to:</w:t>
            </w:r>
          </w:p>
          <w:p w14:paraId="0F227C9C" w14:textId="77777777" w:rsidR="00220B68" w:rsidRDefault="00220B68" w:rsidP="00220B68">
            <w:pPr>
              <w:pStyle w:val="Default"/>
              <w:ind w:left="1080"/>
              <w:rPr>
                <w:i/>
                <w:sz w:val="20"/>
                <w:szCs w:val="20"/>
              </w:rPr>
            </w:pPr>
            <w:r w:rsidRPr="00FC56C2">
              <w:rPr>
                <w:sz w:val="20"/>
                <w:szCs w:val="20"/>
              </w:rPr>
              <w:t xml:space="preserve">Email:  </w:t>
            </w:r>
            <w:r w:rsidRPr="00151574">
              <w:rPr>
                <w:sz w:val="20"/>
                <w:szCs w:val="20"/>
              </w:rPr>
              <w:t>ODWFieldOffice</w:t>
            </w:r>
            <w:r w:rsidRPr="00151574">
              <w:rPr>
                <w:i/>
                <w:sz w:val="20"/>
                <w:szCs w:val="20"/>
              </w:rPr>
              <w:t>#</w:t>
            </w:r>
            <w:r w:rsidRPr="00151574">
              <w:rPr>
                <w:sz w:val="20"/>
                <w:szCs w:val="20"/>
              </w:rPr>
              <w:t>@vdh.virginia.gov</w:t>
            </w:r>
            <w:r>
              <w:rPr>
                <w:sz w:val="20"/>
                <w:szCs w:val="20"/>
              </w:rPr>
              <w:t xml:space="preserve"> or:</w:t>
            </w:r>
          </w:p>
          <w:p w14:paraId="39131BBA" w14:textId="77777777" w:rsidR="002214E4" w:rsidRPr="00D60324" w:rsidRDefault="002214E4" w:rsidP="00007171">
            <w:pPr>
              <w:pStyle w:val="Default"/>
              <w:ind w:left="1080"/>
              <w:rPr>
                <w:b/>
                <w:sz w:val="20"/>
                <w:szCs w:val="20"/>
              </w:rPr>
            </w:pPr>
            <w:r w:rsidRPr="00D60324">
              <w:rPr>
                <w:b/>
                <w:sz w:val="20"/>
                <w:szCs w:val="20"/>
              </w:rPr>
              <w:t>VDH - Office of Drinking Water</w:t>
            </w:r>
          </w:p>
          <w:p w14:paraId="2D1B8B1C" w14:textId="77777777" w:rsidR="002214E4" w:rsidRPr="00D60324" w:rsidRDefault="00D51B28" w:rsidP="00007171">
            <w:pPr>
              <w:pStyle w:val="Default"/>
              <w:ind w:left="1080"/>
              <w:rPr>
                <w:b/>
                <w:sz w:val="20"/>
                <w:szCs w:val="20"/>
              </w:rPr>
            </w:pPr>
            <w:r>
              <w:rPr>
                <w:b/>
                <w:i/>
                <w:sz w:val="20"/>
                <w:szCs w:val="20"/>
              </w:rPr>
              <w:t>[</w:t>
            </w:r>
            <w:r w:rsidR="002214E4" w:rsidRPr="00D60324">
              <w:rPr>
                <w:b/>
                <w:i/>
                <w:sz w:val="20"/>
                <w:szCs w:val="20"/>
              </w:rPr>
              <w:t>Nam</w:t>
            </w:r>
            <w:r w:rsidR="00D21F70">
              <w:rPr>
                <w:b/>
                <w:i/>
                <w:sz w:val="20"/>
                <w:szCs w:val="20"/>
              </w:rPr>
              <w:t>e</w:t>
            </w:r>
            <w:r>
              <w:rPr>
                <w:b/>
                <w:i/>
                <w:sz w:val="20"/>
                <w:szCs w:val="20"/>
              </w:rPr>
              <w:t>]</w:t>
            </w:r>
            <w:r w:rsidR="002214E4" w:rsidRPr="00D60324">
              <w:rPr>
                <w:b/>
                <w:sz w:val="20"/>
                <w:szCs w:val="20"/>
              </w:rPr>
              <w:t xml:space="preserve"> Field Office</w:t>
            </w:r>
          </w:p>
          <w:p w14:paraId="14B4712A" w14:textId="77777777" w:rsidR="002214E4" w:rsidRPr="00D60324" w:rsidRDefault="00D51B28" w:rsidP="00007171">
            <w:pPr>
              <w:pStyle w:val="Default"/>
              <w:ind w:left="1080"/>
              <w:rPr>
                <w:b/>
                <w:u w:val="single"/>
              </w:rPr>
            </w:pPr>
            <w:r>
              <w:rPr>
                <w:b/>
                <w:i/>
                <w:sz w:val="20"/>
                <w:szCs w:val="20"/>
              </w:rPr>
              <w:t xml:space="preserve">[Field Office </w:t>
            </w:r>
            <w:r w:rsidR="002214E4" w:rsidRPr="00D60324">
              <w:rPr>
                <w:b/>
                <w:i/>
                <w:sz w:val="20"/>
                <w:szCs w:val="20"/>
              </w:rPr>
              <w:t>Address</w:t>
            </w:r>
            <w:r>
              <w:rPr>
                <w:b/>
                <w:i/>
                <w:sz w:val="20"/>
                <w:szCs w:val="20"/>
              </w:rPr>
              <w:t>]</w:t>
            </w:r>
          </w:p>
        </w:tc>
      </w:tr>
    </w:tbl>
    <w:p w14:paraId="0B8F34F4" w14:textId="77777777" w:rsidR="00CF0A25" w:rsidRDefault="00CF0A25" w:rsidP="0067522C">
      <w:pPr>
        <w:rPr>
          <w:szCs w:val="22"/>
        </w:rPr>
      </w:pPr>
    </w:p>
    <w:p w14:paraId="0FEF34B5" w14:textId="5212DD8A" w:rsidR="00424FC4" w:rsidRDefault="00DF5FC5" w:rsidP="0067522C">
      <w:pPr>
        <w:rPr>
          <w:szCs w:val="22"/>
          <w:u w:val="single"/>
        </w:rPr>
      </w:pPr>
      <w:r>
        <w:rPr>
          <w:szCs w:val="22"/>
        </w:rPr>
        <w:t>Waterworks</w:t>
      </w:r>
      <w:r w:rsidR="0067522C" w:rsidRPr="00BB203D">
        <w:rPr>
          <w:szCs w:val="22"/>
        </w:rPr>
        <w:t xml:space="preserve"> Name: </w:t>
      </w:r>
      <w:r w:rsidR="0067522C" w:rsidRPr="00BB203D">
        <w:rPr>
          <w:szCs w:val="22"/>
          <w:u w:val="single"/>
        </w:rPr>
        <w:t xml:space="preserve">                                             </w:t>
      </w:r>
      <w:r w:rsidR="0067522C" w:rsidRPr="00BB203D">
        <w:rPr>
          <w:szCs w:val="22"/>
        </w:rPr>
        <w:t xml:space="preserve">      PWSID: </w:t>
      </w:r>
      <w:r w:rsidR="008F3768" w:rsidRPr="00BB203D">
        <w:rPr>
          <w:szCs w:val="22"/>
        </w:rPr>
        <w:t>__________________________</w:t>
      </w:r>
      <w:r w:rsidR="0067522C" w:rsidRPr="00BB203D">
        <w:rPr>
          <w:szCs w:val="22"/>
          <w:u w:val="single"/>
        </w:rPr>
        <w:t xml:space="preserve"> </w:t>
      </w:r>
    </w:p>
    <w:p w14:paraId="66C5C2D7" w14:textId="77777777" w:rsidR="0067522C" w:rsidRPr="00BB203D" w:rsidRDefault="0067522C" w:rsidP="0067522C">
      <w:pPr>
        <w:rPr>
          <w:szCs w:val="22"/>
        </w:rPr>
      </w:pPr>
    </w:p>
    <w:p w14:paraId="4BD0B00F" w14:textId="77777777" w:rsidR="0067522C" w:rsidRPr="00BB203D" w:rsidRDefault="0067522C" w:rsidP="0067522C">
      <w:pPr>
        <w:rPr>
          <w:szCs w:val="22"/>
        </w:rPr>
      </w:pPr>
    </w:p>
    <w:p w14:paraId="1FFF1641" w14:textId="77777777" w:rsidR="0067522C" w:rsidRPr="00BB203D" w:rsidRDefault="0067522C" w:rsidP="0067522C">
      <w:pPr>
        <w:rPr>
          <w:b/>
          <w:szCs w:val="22"/>
        </w:rPr>
      </w:pPr>
      <w:r w:rsidRPr="00BB203D">
        <w:rPr>
          <w:b/>
          <w:szCs w:val="22"/>
        </w:rPr>
        <w:t>DELIVERY METHOD –</w:t>
      </w:r>
      <w:r w:rsidR="005905E0">
        <w:rPr>
          <w:b/>
          <w:szCs w:val="22"/>
        </w:rPr>
        <w:t xml:space="preserve"> </w:t>
      </w:r>
      <w:r w:rsidR="0078152D" w:rsidRPr="00BB203D">
        <w:rPr>
          <w:b/>
          <w:szCs w:val="22"/>
        </w:rPr>
        <w:t>Nontransient Noncommunity</w:t>
      </w:r>
      <w:r w:rsidR="00FB27F3">
        <w:rPr>
          <w:b/>
          <w:szCs w:val="22"/>
        </w:rPr>
        <w:t xml:space="preserve"> </w:t>
      </w:r>
      <w:r w:rsidRPr="00BB203D">
        <w:rPr>
          <w:b/>
          <w:szCs w:val="22"/>
        </w:rPr>
        <w:t>Waterworks</w:t>
      </w:r>
    </w:p>
    <w:p w14:paraId="1805772F" w14:textId="77777777" w:rsidR="0067522C" w:rsidRPr="00BB203D" w:rsidRDefault="0067522C" w:rsidP="0067522C">
      <w:pPr>
        <w:rPr>
          <w:b/>
          <w:szCs w:val="22"/>
        </w:rPr>
      </w:pPr>
    </w:p>
    <w:p w14:paraId="24BA0910" w14:textId="77777777" w:rsidR="0067522C" w:rsidRPr="00BB203D" w:rsidRDefault="0067522C" w:rsidP="0067522C">
      <w:pPr>
        <w:rPr>
          <w:szCs w:val="22"/>
        </w:rPr>
      </w:pPr>
      <w:r w:rsidRPr="00BB203D">
        <w:rPr>
          <w:b/>
          <w:szCs w:val="22"/>
        </w:rPr>
        <w:t>Either of the following is acceptable consumer notification:</w:t>
      </w:r>
    </w:p>
    <w:p w14:paraId="0FFA6D21" w14:textId="77777777" w:rsidR="0067522C" w:rsidRPr="00BB203D" w:rsidRDefault="0067522C" w:rsidP="0067522C">
      <w:pPr>
        <w:rPr>
          <w:szCs w:val="22"/>
        </w:rPr>
      </w:pPr>
    </w:p>
    <w:p w14:paraId="153934F3" w14:textId="77777777" w:rsidR="0067522C" w:rsidRPr="00BB203D" w:rsidRDefault="0067522C" w:rsidP="0067522C">
      <w:pPr>
        <w:tabs>
          <w:tab w:val="left" w:pos="0"/>
          <w:tab w:val="left" w:pos="360"/>
        </w:tabs>
        <w:ind w:left="360" w:hanging="360"/>
        <w:jc w:val="both"/>
      </w:pPr>
      <w:r w:rsidRPr="00BB203D">
        <w:rPr>
          <w:szCs w:val="22"/>
        </w:rPr>
        <w:sym w:font="Wingdings 2" w:char="F0A3"/>
      </w:r>
      <w:r w:rsidRPr="00BB203D">
        <w:rPr>
          <w:szCs w:val="22"/>
        </w:rPr>
        <w:tab/>
      </w:r>
      <w:r w:rsidR="00EF0EFF">
        <w:t>P</w:t>
      </w:r>
      <w:r w:rsidRPr="00BB203D">
        <w:t>oste</w:t>
      </w:r>
      <w:r w:rsidR="00EF0EFF">
        <w:t>d</w:t>
      </w:r>
      <w:r w:rsidRPr="00BB203D">
        <w:t xml:space="preserve"> </w:t>
      </w:r>
      <w:r w:rsidR="00EF0EFF">
        <w:t>in all</w:t>
      </w:r>
      <w:r w:rsidRPr="00BB203D">
        <w:t xml:space="preserve"> facilit</w:t>
      </w:r>
      <w:r w:rsidR="00EF0EFF">
        <w:t>ies</w:t>
      </w:r>
      <w:r w:rsidRPr="00BB203D">
        <w:t xml:space="preserve"> in which the samples were collected</w:t>
      </w:r>
      <w:r w:rsidR="00EF0EFF">
        <w:t xml:space="preserve"> within 30 days of receiving the laboratory results</w:t>
      </w:r>
      <w:r w:rsidRPr="00BB203D">
        <w:t>.</w:t>
      </w:r>
    </w:p>
    <w:p w14:paraId="4EB11D53" w14:textId="77777777" w:rsidR="0067522C" w:rsidRPr="00BB203D" w:rsidRDefault="0067522C" w:rsidP="0067522C">
      <w:pPr>
        <w:tabs>
          <w:tab w:val="left" w:pos="0"/>
          <w:tab w:val="left" w:pos="360"/>
        </w:tabs>
        <w:ind w:left="360" w:hanging="360"/>
        <w:jc w:val="both"/>
      </w:pPr>
    </w:p>
    <w:p w14:paraId="7BBEEB31" w14:textId="77777777" w:rsidR="008F3768" w:rsidRPr="00BB203D" w:rsidRDefault="0067522C" w:rsidP="00DD0523">
      <w:pPr>
        <w:tabs>
          <w:tab w:val="left" w:pos="0"/>
          <w:tab w:val="left" w:pos="360"/>
        </w:tabs>
        <w:ind w:left="360" w:hanging="360"/>
        <w:rPr>
          <w:szCs w:val="22"/>
        </w:rPr>
      </w:pPr>
      <w:r w:rsidRPr="00BB203D">
        <w:rPr>
          <w:szCs w:val="22"/>
        </w:rPr>
        <w:sym w:font="Wingdings 2" w:char="F0A3"/>
      </w:r>
      <w:r w:rsidRPr="00BB203D">
        <w:rPr>
          <w:szCs w:val="22"/>
        </w:rPr>
        <w:tab/>
        <w:t xml:space="preserve">All persons served </w:t>
      </w:r>
      <w:r w:rsidRPr="00BB203D">
        <w:t>within the facilit</w:t>
      </w:r>
      <w:r w:rsidR="00395BF4">
        <w:t>ies</w:t>
      </w:r>
      <w:r w:rsidRPr="00BB203D">
        <w:t xml:space="preserve"> in which the </w:t>
      </w:r>
      <w:r w:rsidR="0078152D" w:rsidRPr="00BB203D">
        <w:t xml:space="preserve">lead and copper </w:t>
      </w:r>
      <w:r w:rsidRPr="00BB203D">
        <w:t>samples were collected</w:t>
      </w:r>
      <w:r w:rsidRPr="00BB203D">
        <w:rPr>
          <w:szCs w:val="22"/>
        </w:rPr>
        <w:t xml:space="preserve"> were notified </w:t>
      </w:r>
      <w:r w:rsidR="00395BF4">
        <w:rPr>
          <w:szCs w:val="22"/>
        </w:rPr>
        <w:t>within 30 days of receiving the laboratory results.</w:t>
      </w:r>
      <w:r w:rsidRPr="00BB203D">
        <w:rPr>
          <w:szCs w:val="22"/>
        </w:rPr>
        <w:t xml:space="preserve">  Notification was made</w:t>
      </w:r>
      <w:r w:rsidR="007D1BB9" w:rsidRPr="00BB203D">
        <w:rPr>
          <w:szCs w:val="22"/>
        </w:rPr>
        <w:t xml:space="preserve"> </w:t>
      </w:r>
      <w:r w:rsidR="00CA65DD" w:rsidRPr="00BB203D">
        <w:rPr>
          <w:szCs w:val="22"/>
        </w:rPr>
        <w:t>by</w:t>
      </w:r>
      <w:r w:rsidR="007D1BB9" w:rsidRPr="00BB203D">
        <w:rPr>
          <w:szCs w:val="22"/>
        </w:rPr>
        <w:t>:</w:t>
      </w:r>
      <w:r w:rsidR="00CF0A25">
        <w:rPr>
          <w:szCs w:val="22"/>
        </w:rPr>
        <w:t xml:space="preserve"> (describe notification method) </w:t>
      </w:r>
      <w:r w:rsidR="007D1BB9" w:rsidRPr="00BB203D">
        <w:rPr>
          <w:szCs w:val="22"/>
        </w:rPr>
        <w:t>____________________</w:t>
      </w:r>
      <w:r w:rsidR="00DD0523" w:rsidRPr="00BB203D">
        <w:rPr>
          <w:szCs w:val="22"/>
        </w:rPr>
        <w:t>_____</w:t>
      </w:r>
      <w:r w:rsidR="00CF0A25">
        <w:rPr>
          <w:szCs w:val="22"/>
        </w:rPr>
        <w:t>_________________________</w:t>
      </w:r>
    </w:p>
    <w:p w14:paraId="6651A22C" w14:textId="77777777" w:rsidR="00FB27F3" w:rsidRPr="00E54C90" w:rsidRDefault="00FB27F3" w:rsidP="00FB27F3">
      <w:pPr>
        <w:pBdr>
          <w:bottom w:val="single" w:sz="4" w:space="1" w:color="auto"/>
        </w:pBdr>
        <w:jc w:val="both"/>
        <w:rPr>
          <w:b/>
          <w:bCs/>
        </w:rPr>
      </w:pPr>
    </w:p>
    <w:p w14:paraId="64C75710" w14:textId="77777777" w:rsidR="00FB27F3" w:rsidRDefault="00FB27F3" w:rsidP="00FB27F3">
      <w:pPr>
        <w:jc w:val="both"/>
        <w:rPr>
          <w:b/>
          <w:bCs/>
        </w:rPr>
      </w:pPr>
    </w:p>
    <w:p w14:paraId="4E63DBED" w14:textId="77777777" w:rsidR="00FB27F3" w:rsidRPr="00E54C90" w:rsidRDefault="00FB27F3" w:rsidP="00FB27F3">
      <w:pPr>
        <w:jc w:val="both"/>
        <w:rPr>
          <w:b/>
          <w:bCs/>
        </w:rPr>
      </w:pPr>
      <w:r w:rsidRPr="00E54C90">
        <w:rPr>
          <w:b/>
          <w:bCs/>
        </w:rPr>
        <w:t>Describe any additional consumer notification (ex. sent notification to parents/guardians, etc</w:t>
      </w:r>
      <w:r>
        <w:rPr>
          <w:b/>
          <w:bCs/>
        </w:rPr>
        <w:t>.</w:t>
      </w:r>
      <w:r w:rsidRPr="00E54C90">
        <w:rPr>
          <w:b/>
          <w:bCs/>
        </w:rPr>
        <w:t>):</w:t>
      </w:r>
    </w:p>
    <w:p w14:paraId="67F8E824" w14:textId="77777777" w:rsidR="00FB27F3" w:rsidRDefault="00FB27F3" w:rsidP="00FB27F3">
      <w:pPr>
        <w:tabs>
          <w:tab w:val="left" w:pos="0"/>
          <w:tab w:val="left" w:pos="360"/>
        </w:tabs>
        <w:ind w:left="360" w:hanging="360"/>
        <w:jc w:val="both"/>
        <w:rPr>
          <w:i/>
          <w:iCs/>
        </w:rPr>
      </w:pPr>
      <w:r>
        <w:rPr>
          <w:i/>
          <w:iCs/>
        </w:rPr>
        <w:t>______________________________________________________________________________</w:t>
      </w:r>
    </w:p>
    <w:p w14:paraId="52EE8D23" w14:textId="77777777" w:rsidR="00FB27F3" w:rsidRPr="0081727E" w:rsidRDefault="00FB27F3" w:rsidP="00FB27F3">
      <w:pPr>
        <w:tabs>
          <w:tab w:val="left" w:pos="0"/>
          <w:tab w:val="left" w:pos="360"/>
        </w:tabs>
        <w:ind w:left="360" w:hanging="360"/>
        <w:jc w:val="both"/>
      </w:pPr>
      <w:r>
        <w:t>______________________________________________________________________________</w:t>
      </w:r>
    </w:p>
    <w:p w14:paraId="24A94C50" w14:textId="77777777" w:rsidR="00FB27F3" w:rsidRPr="0081727E" w:rsidRDefault="00FB27F3" w:rsidP="00FB27F3">
      <w:pPr>
        <w:jc w:val="both"/>
      </w:pPr>
    </w:p>
    <w:p w14:paraId="0DE14F50" w14:textId="3536256B" w:rsidR="00CA65DD" w:rsidRPr="00BB203D" w:rsidRDefault="007972C3" w:rsidP="0067522C">
      <w:pPr>
        <w:jc w:val="both"/>
      </w:pPr>
      <w:r w:rsidRPr="00BB203D">
        <w:rPr>
          <w:noProof/>
        </w:rPr>
        <mc:AlternateContent>
          <mc:Choice Requires="wps">
            <w:drawing>
              <wp:anchor distT="0" distB="0" distL="114300" distR="114300" simplePos="0" relativeHeight="251657728" behindDoc="0" locked="0" layoutInCell="1" allowOverlap="1" wp14:anchorId="18B78DBC" wp14:editId="25512647">
                <wp:simplePos x="0" y="0"/>
                <wp:positionH relativeFrom="column">
                  <wp:posOffset>0</wp:posOffset>
                </wp:positionH>
                <wp:positionV relativeFrom="paragraph">
                  <wp:posOffset>78105</wp:posOffset>
                </wp:positionV>
                <wp:extent cx="5486400" cy="0"/>
                <wp:effectExtent l="9525" t="10160" r="9525" b="8890"/>
                <wp:wrapNone/>
                <wp:docPr id="86104266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F9FEDD" id="Line 6"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15pt" to="6in,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"/>
            </w:pict>
          </mc:Fallback>
        </mc:AlternateContent>
      </w:r>
    </w:p>
    <w:p w14:paraId="17AC7706" w14:textId="2F650086" w:rsidR="0067522C" w:rsidRPr="00BB203D" w:rsidRDefault="0067522C" w:rsidP="0067522C">
      <w:pPr>
        <w:jc w:val="both"/>
      </w:pPr>
      <w:r w:rsidRPr="00BB203D">
        <w:t>I certify that persons served at the location</w:t>
      </w:r>
      <w:r w:rsidR="008560AE">
        <w:t>s</w:t>
      </w:r>
      <w:r w:rsidRPr="00BB203D">
        <w:t xml:space="preserve"> from where </w:t>
      </w:r>
      <w:r w:rsidR="0078152D" w:rsidRPr="00BB203D">
        <w:t xml:space="preserve">the </w:t>
      </w:r>
      <w:r w:rsidRPr="00BB203D">
        <w:t>lead and copper tap water samples were collected have been informed of the lead and copper monitoring results</w:t>
      </w:r>
      <w:r w:rsidR="007F0E0B">
        <w:t xml:space="preserve"> within 30 days of receiving the laboratory results,</w:t>
      </w:r>
      <w:r w:rsidRPr="00BB203D">
        <w:t xml:space="preserve"> along wi</w:t>
      </w:r>
      <w:r w:rsidR="00151574">
        <w:t xml:space="preserve">th the following information: </w:t>
      </w:r>
      <w:r w:rsidRPr="00BB203D">
        <w:t>MCLGs, ALs and their definitions</w:t>
      </w:r>
      <w:r w:rsidR="005905E0">
        <w:t>;</w:t>
      </w:r>
      <w:r w:rsidRPr="00BB203D">
        <w:t xml:space="preserve"> a fact sheet on the health effects of lead which includes steps to reduce exposure to lead in drinking water</w:t>
      </w:r>
      <w:r w:rsidR="005905E0">
        <w:t>;</w:t>
      </w:r>
      <w:r w:rsidRPr="00BB203D">
        <w:t xml:space="preserve"> and contact information for the water </w:t>
      </w:r>
      <w:r w:rsidR="005905E0">
        <w:t>system</w:t>
      </w:r>
      <w:r w:rsidRPr="00BB203D">
        <w:t xml:space="preserve">.  </w:t>
      </w:r>
    </w:p>
    <w:p w14:paraId="4E5ED52E" w14:textId="77777777" w:rsidR="0067522C" w:rsidRPr="00BB203D" w:rsidRDefault="0067522C" w:rsidP="0067522C"/>
    <w:p w14:paraId="272521CD" w14:textId="77777777" w:rsidR="00D21F70" w:rsidRDefault="0067522C" w:rsidP="0067522C">
      <w:pPr>
        <w:rPr>
          <w:szCs w:val="22"/>
          <w:u w:val="single"/>
        </w:rPr>
      </w:pPr>
      <w:r w:rsidRPr="00BB203D">
        <w:rPr>
          <w:szCs w:val="22"/>
        </w:rPr>
        <w:t xml:space="preserve">Signature: </w:t>
      </w:r>
      <w:r w:rsidRPr="00BB203D">
        <w:rPr>
          <w:szCs w:val="22"/>
          <w:u w:val="single"/>
        </w:rPr>
        <w:t xml:space="preserve">                                                              </w:t>
      </w:r>
      <w:r w:rsidRPr="00BB203D">
        <w:rPr>
          <w:szCs w:val="22"/>
        </w:rPr>
        <w:t xml:space="preserve">     Print Name: </w:t>
      </w:r>
      <w:r w:rsidR="0078152D" w:rsidRPr="00BB203D">
        <w:rPr>
          <w:szCs w:val="22"/>
        </w:rPr>
        <w:t>__________________________</w:t>
      </w:r>
      <w:r w:rsidRPr="00BB203D">
        <w:rPr>
          <w:szCs w:val="22"/>
          <w:u w:val="single"/>
        </w:rPr>
        <w:t xml:space="preserve"> </w:t>
      </w:r>
    </w:p>
    <w:p w14:paraId="568E7203" w14:textId="77777777" w:rsidR="0067522C" w:rsidRPr="00BB203D" w:rsidRDefault="0067522C" w:rsidP="0067522C">
      <w:pPr>
        <w:rPr>
          <w:szCs w:val="22"/>
        </w:rPr>
      </w:pPr>
    </w:p>
    <w:p w14:paraId="31B8D44D" w14:textId="77777777" w:rsidR="0067522C" w:rsidRPr="00BB203D" w:rsidRDefault="0067522C" w:rsidP="0067522C">
      <w:pPr>
        <w:rPr>
          <w:szCs w:val="22"/>
        </w:rPr>
      </w:pPr>
    </w:p>
    <w:p w14:paraId="1AB56771" w14:textId="77777777" w:rsidR="00D21F70" w:rsidRDefault="0067522C" w:rsidP="0067522C">
      <w:pPr>
        <w:rPr>
          <w:szCs w:val="22"/>
          <w:u w:val="single"/>
        </w:rPr>
      </w:pPr>
      <w:r w:rsidRPr="00BB203D">
        <w:rPr>
          <w:szCs w:val="22"/>
        </w:rPr>
        <w:t xml:space="preserve">Title: </w:t>
      </w:r>
      <w:r w:rsidRPr="00BB203D">
        <w:rPr>
          <w:szCs w:val="22"/>
          <w:u w:val="single"/>
        </w:rPr>
        <w:t xml:space="preserve">                                            </w:t>
      </w:r>
      <w:r w:rsidRPr="00BB203D">
        <w:rPr>
          <w:szCs w:val="22"/>
        </w:rPr>
        <w:t xml:space="preserve">     Phone: </w:t>
      </w:r>
      <w:r w:rsidRPr="00BB203D">
        <w:rPr>
          <w:szCs w:val="22"/>
          <w:u w:val="single"/>
        </w:rPr>
        <w:t xml:space="preserve">                                        </w:t>
      </w:r>
      <w:r w:rsidRPr="00BB203D">
        <w:rPr>
          <w:szCs w:val="22"/>
        </w:rPr>
        <w:t xml:space="preserve">     Date: </w:t>
      </w:r>
      <w:r w:rsidR="0078152D" w:rsidRPr="00BB203D">
        <w:rPr>
          <w:szCs w:val="22"/>
        </w:rPr>
        <w:t>____________</w:t>
      </w:r>
      <w:r w:rsidRPr="00BB203D">
        <w:rPr>
          <w:szCs w:val="22"/>
          <w:u w:val="single"/>
        </w:rPr>
        <w:t xml:space="preserve">   </w:t>
      </w:r>
    </w:p>
    <w:p w14:paraId="3C4E08E2" w14:textId="77777777" w:rsidR="00DD026C" w:rsidRDefault="00DD026C"/>
    <w:sectPr w:rsidR="00DD026C" w:rsidSect="00FB27F3">
      <w:footerReference w:type="default" r:id="rId1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E7231" w14:textId="77777777" w:rsidR="000E7E40" w:rsidRDefault="000E7E40" w:rsidP="00D9383B">
      <w:r>
        <w:separator/>
      </w:r>
    </w:p>
  </w:endnote>
  <w:endnote w:type="continuationSeparator" w:id="0">
    <w:p w14:paraId="269DF7AC" w14:textId="77777777" w:rsidR="000E7E40" w:rsidRDefault="000E7E40" w:rsidP="00D938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umnst777 Blk BT">
    <w:altName w:val="Humnst777 Blk BT"/>
    <w:panose1 w:val="00000000000000000000"/>
    <w:charset w:val="00"/>
    <w:family w:val="swiss"/>
    <w:notTrueType/>
    <w:pitch w:val="default"/>
    <w:sig w:usb0="00000003" w:usb1="00000000" w:usb2="00000000" w:usb3="00000000" w:csb0="00000001" w:csb1="00000000"/>
  </w:font>
  <w:font w:name="Adobe Garamond">
    <w:altName w:val="Adobe Garamon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467F5" w14:textId="77777777" w:rsidR="009D082D" w:rsidRDefault="009D082D" w:rsidP="00151574">
    <w:pPr>
      <w:pStyle w:val="Footer"/>
      <w:jc w:val="center"/>
    </w:pPr>
    <w:r>
      <w:t xml:space="preserve">Page </w:t>
    </w:r>
    <w:r>
      <w:rPr>
        <w:b/>
      </w:rPr>
      <w:fldChar w:fldCharType="begin"/>
    </w:r>
    <w:r>
      <w:rPr>
        <w:b/>
      </w:rPr>
      <w:instrText xml:space="preserve"> PAGE  \* Arabic  \* MERGEFORMAT </w:instrText>
    </w:r>
    <w:r>
      <w:rPr>
        <w:b/>
      </w:rPr>
      <w:fldChar w:fldCharType="separate"/>
    </w:r>
    <w:r w:rsidR="006F5B11">
      <w:rPr>
        <w:b/>
        <w:noProof/>
      </w:rPr>
      <w:t>1</w:t>
    </w:r>
    <w:r>
      <w:rPr>
        <w:b/>
      </w:rPr>
      <w:fldChar w:fldCharType="end"/>
    </w:r>
    <w:r>
      <w:t xml:space="preserve"> of </w:t>
    </w:r>
    <w:r w:rsidR="00CF0A25">
      <w:rPr>
        <w:b/>
      </w:rPr>
      <w:t>2</w:t>
    </w:r>
  </w:p>
  <w:p w14:paraId="024518C5" w14:textId="77777777" w:rsidR="00CA65DD" w:rsidRDefault="00CA65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34B22" w14:textId="77777777" w:rsidR="00CF0A25" w:rsidRDefault="00CF0A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95990" w14:textId="77777777" w:rsidR="000E7E40" w:rsidRDefault="000E7E40" w:rsidP="00D9383B">
      <w:r>
        <w:separator/>
      </w:r>
    </w:p>
  </w:footnote>
  <w:footnote w:type="continuationSeparator" w:id="0">
    <w:p w14:paraId="3215D4F2" w14:textId="77777777" w:rsidR="000E7E40" w:rsidRDefault="000E7E40" w:rsidP="00D938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0A29D" w14:textId="77777777" w:rsidR="00D9383B" w:rsidRPr="009D3E3A" w:rsidRDefault="00CA65DD" w:rsidP="00CA65DD">
    <w:pPr>
      <w:rPr>
        <w:b/>
        <w:color w:val="0070C0"/>
        <w:szCs w:val="22"/>
      </w:rPr>
    </w:pPr>
    <w:r w:rsidRPr="009D3E3A">
      <w:rPr>
        <w:color w:val="0070C0"/>
        <w:szCs w:val="22"/>
        <w:u w:val="single"/>
      </w:rPr>
      <w:t>Sampling Manual</w:t>
    </w:r>
    <w:r w:rsidRPr="009D3E3A">
      <w:rPr>
        <w:color w:val="0070C0"/>
        <w:szCs w:val="22"/>
      </w:rPr>
      <w:t xml:space="preserve"> </w:t>
    </w:r>
    <w:r w:rsidR="00D9383B" w:rsidRPr="009D3E3A">
      <w:rPr>
        <w:color w:val="0070C0"/>
        <w:szCs w:val="22"/>
      </w:rPr>
      <w:t xml:space="preserve">Chapter 6, Attachment </w:t>
    </w:r>
    <w:r w:rsidR="002D7E38" w:rsidRPr="009D3E3A">
      <w:rPr>
        <w:color w:val="0070C0"/>
        <w:szCs w:val="22"/>
      </w:rPr>
      <w:t>D</w:t>
    </w:r>
    <w:r w:rsidR="00D9383B" w:rsidRPr="009D3E3A">
      <w:rPr>
        <w:color w:val="0070C0"/>
        <w:szCs w:val="22"/>
      </w:rPr>
      <w:t xml:space="preserve">.2. Example Consumer Notice - NTNC </w:t>
    </w:r>
  </w:p>
  <w:p w14:paraId="4F9B4823" w14:textId="77777777" w:rsidR="00051188" w:rsidRDefault="00F953C0" w:rsidP="00051188">
    <w:pPr>
      <w:tabs>
        <w:tab w:val="left" w:pos="360"/>
        <w:tab w:val="left" w:pos="5040"/>
        <w:tab w:val="right" w:pos="9936"/>
      </w:tabs>
      <w:spacing w:line="216" w:lineRule="auto"/>
      <w:jc w:val="both"/>
      <w:rPr>
        <w:color w:val="0070C0"/>
        <w:szCs w:val="22"/>
      </w:rPr>
    </w:pPr>
    <w:r w:rsidRPr="009D3E3A">
      <w:rPr>
        <w:b/>
        <w:color w:val="0070C0"/>
        <w:szCs w:val="22"/>
      </w:rPr>
      <w:t>Instructions:</w:t>
    </w:r>
    <w:r w:rsidRPr="009D3E3A">
      <w:rPr>
        <w:color w:val="0070C0"/>
        <w:szCs w:val="22"/>
      </w:rPr>
      <w:t xml:space="preserve"> Insert specific information where noted with </w:t>
    </w:r>
    <w:r w:rsidRPr="009D3E3A">
      <w:rPr>
        <w:i/>
        <w:color w:val="0070C0"/>
        <w:szCs w:val="22"/>
      </w:rPr>
      <w:t>[brackets and italics].</w:t>
    </w:r>
    <w:r w:rsidRPr="009D3E3A">
      <w:rPr>
        <w:color w:val="0070C0"/>
        <w:szCs w:val="22"/>
      </w:rPr>
      <w:t xml:space="preserve">  </w:t>
    </w:r>
  </w:p>
  <w:p w14:paraId="132B3E29" w14:textId="77777777" w:rsidR="00D9383B" w:rsidRPr="009D3E3A" w:rsidRDefault="00D9383B" w:rsidP="00F953C0">
    <w:pPr>
      <w:rPr>
        <w:color w:val="0070C0"/>
        <w:szCs w:val="22"/>
      </w:rPr>
    </w:pPr>
  </w:p>
  <w:p w14:paraId="7CFC5D65" w14:textId="77777777" w:rsidR="00F953C0" w:rsidRPr="00F953C0" w:rsidRDefault="00F953C0" w:rsidP="00F953C0">
    <w:pP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407C9"/>
    <w:multiLevelType w:val="hybridMultilevel"/>
    <w:tmpl w:val="C868EA0C"/>
    <w:lvl w:ilvl="0" w:tplc="543023CA">
      <w:start w:val="1"/>
      <w:numFmt w:val="decimal"/>
      <w:lvlText w:val="%1."/>
      <w:lvlJc w:val="left"/>
      <w:pPr>
        <w:ind w:left="360" w:hanging="360"/>
      </w:pPr>
      <w:rPr>
        <w:rFonts w:hint="default"/>
        <w:i w:val="0"/>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1350" w:hanging="360"/>
      </w:pPr>
    </w:lvl>
    <w:lvl w:ilvl="4" w:tplc="04090019" w:tentative="1">
      <w:start w:val="1"/>
      <w:numFmt w:val="lowerLetter"/>
      <w:lvlText w:val="%5."/>
      <w:lvlJc w:val="left"/>
      <w:pPr>
        <w:ind w:left="-630" w:hanging="360"/>
      </w:pPr>
    </w:lvl>
    <w:lvl w:ilvl="5" w:tplc="0409001B" w:tentative="1">
      <w:start w:val="1"/>
      <w:numFmt w:val="lowerRoman"/>
      <w:lvlText w:val="%6."/>
      <w:lvlJc w:val="right"/>
      <w:pPr>
        <w:ind w:left="90" w:hanging="180"/>
      </w:pPr>
    </w:lvl>
    <w:lvl w:ilvl="6" w:tplc="0409000F" w:tentative="1">
      <w:start w:val="1"/>
      <w:numFmt w:val="decimal"/>
      <w:lvlText w:val="%7."/>
      <w:lvlJc w:val="left"/>
      <w:pPr>
        <w:ind w:left="810" w:hanging="360"/>
      </w:pPr>
    </w:lvl>
    <w:lvl w:ilvl="7" w:tplc="04090019" w:tentative="1">
      <w:start w:val="1"/>
      <w:numFmt w:val="lowerLetter"/>
      <w:lvlText w:val="%8."/>
      <w:lvlJc w:val="left"/>
      <w:pPr>
        <w:ind w:left="1530" w:hanging="360"/>
      </w:pPr>
    </w:lvl>
    <w:lvl w:ilvl="8" w:tplc="0409001B" w:tentative="1">
      <w:start w:val="1"/>
      <w:numFmt w:val="lowerRoman"/>
      <w:lvlText w:val="%9."/>
      <w:lvlJc w:val="right"/>
      <w:pPr>
        <w:ind w:left="2250" w:hanging="180"/>
      </w:pPr>
    </w:lvl>
  </w:abstractNum>
  <w:abstractNum w:abstractNumId="1" w15:restartNumberingAfterBreak="0">
    <w:nsid w:val="075D3D86"/>
    <w:multiLevelType w:val="hybridMultilevel"/>
    <w:tmpl w:val="E40C5228"/>
    <w:lvl w:ilvl="0" w:tplc="0409001B">
      <w:start w:val="1"/>
      <w:numFmt w:val="lowerRoman"/>
      <w:lvlText w:val="%1."/>
      <w:lvlJc w:val="right"/>
      <w:pPr>
        <w:ind w:left="776" w:hanging="360"/>
      </w:pPr>
    </w:lvl>
    <w:lvl w:ilvl="1" w:tplc="04090019" w:tentative="1">
      <w:start w:val="1"/>
      <w:numFmt w:val="lowerLetter"/>
      <w:lvlText w:val="%2."/>
      <w:lvlJc w:val="left"/>
      <w:pPr>
        <w:ind w:left="1496" w:hanging="360"/>
      </w:pPr>
    </w:lvl>
    <w:lvl w:ilvl="2" w:tplc="0409001B" w:tentative="1">
      <w:start w:val="1"/>
      <w:numFmt w:val="lowerRoman"/>
      <w:lvlText w:val="%3."/>
      <w:lvlJc w:val="right"/>
      <w:pPr>
        <w:ind w:left="2216" w:hanging="180"/>
      </w:pPr>
    </w:lvl>
    <w:lvl w:ilvl="3" w:tplc="0409000F" w:tentative="1">
      <w:start w:val="1"/>
      <w:numFmt w:val="decimal"/>
      <w:lvlText w:val="%4."/>
      <w:lvlJc w:val="left"/>
      <w:pPr>
        <w:ind w:left="2936" w:hanging="360"/>
      </w:pPr>
    </w:lvl>
    <w:lvl w:ilvl="4" w:tplc="04090019" w:tentative="1">
      <w:start w:val="1"/>
      <w:numFmt w:val="lowerLetter"/>
      <w:lvlText w:val="%5."/>
      <w:lvlJc w:val="left"/>
      <w:pPr>
        <w:ind w:left="3656" w:hanging="360"/>
      </w:pPr>
    </w:lvl>
    <w:lvl w:ilvl="5" w:tplc="0409001B" w:tentative="1">
      <w:start w:val="1"/>
      <w:numFmt w:val="lowerRoman"/>
      <w:lvlText w:val="%6."/>
      <w:lvlJc w:val="right"/>
      <w:pPr>
        <w:ind w:left="4376" w:hanging="180"/>
      </w:pPr>
    </w:lvl>
    <w:lvl w:ilvl="6" w:tplc="0409000F" w:tentative="1">
      <w:start w:val="1"/>
      <w:numFmt w:val="decimal"/>
      <w:lvlText w:val="%7."/>
      <w:lvlJc w:val="left"/>
      <w:pPr>
        <w:ind w:left="5096" w:hanging="360"/>
      </w:pPr>
    </w:lvl>
    <w:lvl w:ilvl="7" w:tplc="04090019" w:tentative="1">
      <w:start w:val="1"/>
      <w:numFmt w:val="lowerLetter"/>
      <w:lvlText w:val="%8."/>
      <w:lvlJc w:val="left"/>
      <w:pPr>
        <w:ind w:left="5816" w:hanging="360"/>
      </w:pPr>
    </w:lvl>
    <w:lvl w:ilvl="8" w:tplc="0409001B" w:tentative="1">
      <w:start w:val="1"/>
      <w:numFmt w:val="lowerRoman"/>
      <w:lvlText w:val="%9."/>
      <w:lvlJc w:val="right"/>
      <w:pPr>
        <w:ind w:left="6536" w:hanging="180"/>
      </w:pPr>
    </w:lvl>
  </w:abstractNum>
  <w:abstractNum w:abstractNumId="2" w15:restartNumberingAfterBreak="0">
    <w:nsid w:val="1C2F686D"/>
    <w:multiLevelType w:val="hybridMultilevel"/>
    <w:tmpl w:val="8DFEF6A6"/>
    <w:lvl w:ilvl="0" w:tplc="0474170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BA5578"/>
    <w:multiLevelType w:val="hybridMultilevel"/>
    <w:tmpl w:val="6A328504"/>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F3F3325"/>
    <w:multiLevelType w:val="hybridMultilevel"/>
    <w:tmpl w:val="A78E801E"/>
    <w:lvl w:ilvl="0" w:tplc="04CC7B30">
      <w:start w:val="1"/>
      <w:numFmt w:val="decimal"/>
      <w:lvlText w:val="%1."/>
      <w:lvlJc w:val="left"/>
      <w:pPr>
        <w:ind w:left="776" w:hanging="360"/>
      </w:pPr>
      <w:rPr>
        <w:rFonts w:ascii="Times New Roman" w:hAnsi="Times New Roman" w:hint="default"/>
        <w:b w:val="0"/>
        <w:i w:val="0"/>
        <w:color w:val="auto"/>
        <w:sz w:val="22"/>
      </w:rPr>
    </w:lvl>
    <w:lvl w:ilvl="1" w:tplc="04090019" w:tentative="1">
      <w:start w:val="1"/>
      <w:numFmt w:val="lowerLetter"/>
      <w:lvlText w:val="%2."/>
      <w:lvlJc w:val="left"/>
      <w:pPr>
        <w:ind w:left="1496" w:hanging="360"/>
      </w:pPr>
    </w:lvl>
    <w:lvl w:ilvl="2" w:tplc="0409001B" w:tentative="1">
      <w:start w:val="1"/>
      <w:numFmt w:val="lowerRoman"/>
      <w:lvlText w:val="%3."/>
      <w:lvlJc w:val="right"/>
      <w:pPr>
        <w:ind w:left="2216" w:hanging="180"/>
      </w:pPr>
    </w:lvl>
    <w:lvl w:ilvl="3" w:tplc="0409000F" w:tentative="1">
      <w:start w:val="1"/>
      <w:numFmt w:val="decimal"/>
      <w:lvlText w:val="%4."/>
      <w:lvlJc w:val="left"/>
      <w:pPr>
        <w:ind w:left="2936" w:hanging="360"/>
      </w:pPr>
    </w:lvl>
    <w:lvl w:ilvl="4" w:tplc="04090019" w:tentative="1">
      <w:start w:val="1"/>
      <w:numFmt w:val="lowerLetter"/>
      <w:lvlText w:val="%5."/>
      <w:lvlJc w:val="left"/>
      <w:pPr>
        <w:ind w:left="3656" w:hanging="360"/>
      </w:pPr>
    </w:lvl>
    <w:lvl w:ilvl="5" w:tplc="0409001B" w:tentative="1">
      <w:start w:val="1"/>
      <w:numFmt w:val="lowerRoman"/>
      <w:lvlText w:val="%6."/>
      <w:lvlJc w:val="right"/>
      <w:pPr>
        <w:ind w:left="4376" w:hanging="180"/>
      </w:pPr>
    </w:lvl>
    <w:lvl w:ilvl="6" w:tplc="0409000F" w:tentative="1">
      <w:start w:val="1"/>
      <w:numFmt w:val="decimal"/>
      <w:lvlText w:val="%7."/>
      <w:lvlJc w:val="left"/>
      <w:pPr>
        <w:ind w:left="5096" w:hanging="360"/>
      </w:pPr>
    </w:lvl>
    <w:lvl w:ilvl="7" w:tplc="04090019" w:tentative="1">
      <w:start w:val="1"/>
      <w:numFmt w:val="lowerLetter"/>
      <w:lvlText w:val="%8."/>
      <w:lvlJc w:val="left"/>
      <w:pPr>
        <w:ind w:left="5816" w:hanging="360"/>
      </w:pPr>
    </w:lvl>
    <w:lvl w:ilvl="8" w:tplc="0409001B" w:tentative="1">
      <w:start w:val="1"/>
      <w:numFmt w:val="lowerRoman"/>
      <w:lvlText w:val="%9."/>
      <w:lvlJc w:val="right"/>
      <w:pPr>
        <w:ind w:left="6536" w:hanging="180"/>
      </w:pPr>
    </w:lvl>
  </w:abstractNum>
  <w:num w:numId="1" w16cid:durableId="587884343">
    <w:abstractNumId w:val="2"/>
  </w:num>
  <w:num w:numId="2" w16cid:durableId="1696543246">
    <w:abstractNumId w:val="1"/>
  </w:num>
  <w:num w:numId="3" w16cid:durableId="2009601084">
    <w:abstractNumId w:val="3"/>
  </w:num>
  <w:num w:numId="4" w16cid:durableId="21906553">
    <w:abstractNumId w:val="0"/>
  </w:num>
  <w:num w:numId="5" w16cid:durableId="3179294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B69"/>
    <w:rsid w:val="00007171"/>
    <w:rsid w:val="000400BF"/>
    <w:rsid w:val="00051188"/>
    <w:rsid w:val="000542FC"/>
    <w:rsid w:val="00057059"/>
    <w:rsid w:val="00075D51"/>
    <w:rsid w:val="000827A7"/>
    <w:rsid w:val="000C61EE"/>
    <w:rsid w:val="000E7E40"/>
    <w:rsid w:val="00106B0F"/>
    <w:rsid w:val="0011013B"/>
    <w:rsid w:val="001357DC"/>
    <w:rsid w:val="00151574"/>
    <w:rsid w:val="00160054"/>
    <w:rsid w:val="00171F9C"/>
    <w:rsid w:val="0019275E"/>
    <w:rsid w:val="0019364A"/>
    <w:rsid w:val="001B5B69"/>
    <w:rsid w:val="001F2540"/>
    <w:rsid w:val="001F6F30"/>
    <w:rsid w:val="00220B68"/>
    <w:rsid w:val="002214E4"/>
    <w:rsid w:val="00225B95"/>
    <w:rsid w:val="00232817"/>
    <w:rsid w:val="002648E7"/>
    <w:rsid w:val="00286688"/>
    <w:rsid w:val="002C3A18"/>
    <w:rsid w:val="002D7E38"/>
    <w:rsid w:val="002F4D9D"/>
    <w:rsid w:val="002F7B2F"/>
    <w:rsid w:val="003077F8"/>
    <w:rsid w:val="00314557"/>
    <w:rsid w:val="00321AE4"/>
    <w:rsid w:val="00333DC7"/>
    <w:rsid w:val="00337742"/>
    <w:rsid w:val="00356CFB"/>
    <w:rsid w:val="00360491"/>
    <w:rsid w:val="003824E5"/>
    <w:rsid w:val="00386A4D"/>
    <w:rsid w:val="0039431D"/>
    <w:rsid w:val="00395BF4"/>
    <w:rsid w:val="003D0225"/>
    <w:rsid w:val="003D3757"/>
    <w:rsid w:val="003F2600"/>
    <w:rsid w:val="00422A9D"/>
    <w:rsid w:val="00424FC4"/>
    <w:rsid w:val="004436FA"/>
    <w:rsid w:val="004501B7"/>
    <w:rsid w:val="004526A4"/>
    <w:rsid w:val="004730A2"/>
    <w:rsid w:val="00496D34"/>
    <w:rsid w:val="004A6539"/>
    <w:rsid w:val="004D58DC"/>
    <w:rsid w:val="004E1B01"/>
    <w:rsid w:val="004E3F32"/>
    <w:rsid w:val="004E6F20"/>
    <w:rsid w:val="004F3EF7"/>
    <w:rsid w:val="004F40CF"/>
    <w:rsid w:val="005001D1"/>
    <w:rsid w:val="005008D7"/>
    <w:rsid w:val="0050559D"/>
    <w:rsid w:val="005306B0"/>
    <w:rsid w:val="0054229F"/>
    <w:rsid w:val="0054528A"/>
    <w:rsid w:val="00552830"/>
    <w:rsid w:val="005552E5"/>
    <w:rsid w:val="005905E0"/>
    <w:rsid w:val="005A4812"/>
    <w:rsid w:val="005B2B25"/>
    <w:rsid w:val="005B6274"/>
    <w:rsid w:val="005C10A3"/>
    <w:rsid w:val="005C2F52"/>
    <w:rsid w:val="005D67B1"/>
    <w:rsid w:val="005D759F"/>
    <w:rsid w:val="005F4326"/>
    <w:rsid w:val="006101F0"/>
    <w:rsid w:val="006264C9"/>
    <w:rsid w:val="00632F85"/>
    <w:rsid w:val="0067522C"/>
    <w:rsid w:val="00677267"/>
    <w:rsid w:val="00680F74"/>
    <w:rsid w:val="0068789A"/>
    <w:rsid w:val="0069109C"/>
    <w:rsid w:val="006A7FA5"/>
    <w:rsid w:val="006B4F25"/>
    <w:rsid w:val="006C4CC3"/>
    <w:rsid w:val="006D4A34"/>
    <w:rsid w:val="006F5B11"/>
    <w:rsid w:val="006F7F8D"/>
    <w:rsid w:val="007044DE"/>
    <w:rsid w:val="0072023B"/>
    <w:rsid w:val="007426D9"/>
    <w:rsid w:val="0074494D"/>
    <w:rsid w:val="00776AF2"/>
    <w:rsid w:val="0078152D"/>
    <w:rsid w:val="007972C3"/>
    <w:rsid w:val="007A563A"/>
    <w:rsid w:val="007D1BB9"/>
    <w:rsid w:val="007E61C0"/>
    <w:rsid w:val="007F0E0B"/>
    <w:rsid w:val="007F7AD8"/>
    <w:rsid w:val="00837E4F"/>
    <w:rsid w:val="008560AE"/>
    <w:rsid w:val="00866989"/>
    <w:rsid w:val="008756AD"/>
    <w:rsid w:val="0088374A"/>
    <w:rsid w:val="008A2761"/>
    <w:rsid w:val="008B656E"/>
    <w:rsid w:val="008C6989"/>
    <w:rsid w:val="008D3613"/>
    <w:rsid w:val="008F3768"/>
    <w:rsid w:val="00910837"/>
    <w:rsid w:val="00925841"/>
    <w:rsid w:val="0095673D"/>
    <w:rsid w:val="00970166"/>
    <w:rsid w:val="00973A01"/>
    <w:rsid w:val="009A1908"/>
    <w:rsid w:val="009A1CF1"/>
    <w:rsid w:val="009D082D"/>
    <w:rsid w:val="009D3E3A"/>
    <w:rsid w:val="009E4D6A"/>
    <w:rsid w:val="00A040EC"/>
    <w:rsid w:val="00A11D80"/>
    <w:rsid w:val="00A12D64"/>
    <w:rsid w:val="00A2502B"/>
    <w:rsid w:val="00A52DA1"/>
    <w:rsid w:val="00A776CB"/>
    <w:rsid w:val="00AD021B"/>
    <w:rsid w:val="00AD3F9D"/>
    <w:rsid w:val="00AD7A42"/>
    <w:rsid w:val="00B00737"/>
    <w:rsid w:val="00B329F5"/>
    <w:rsid w:val="00B52C7B"/>
    <w:rsid w:val="00B849F3"/>
    <w:rsid w:val="00BA6AC2"/>
    <w:rsid w:val="00BB203D"/>
    <w:rsid w:val="00BC6518"/>
    <w:rsid w:val="00BD5D3E"/>
    <w:rsid w:val="00BD6C8B"/>
    <w:rsid w:val="00BE224C"/>
    <w:rsid w:val="00C105AB"/>
    <w:rsid w:val="00C21459"/>
    <w:rsid w:val="00C45139"/>
    <w:rsid w:val="00C50F8E"/>
    <w:rsid w:val="00C66D32"/>
    <w:rsid w:val="00C70C7F"/>
    <w:rsid w:val="00C755DB"/>
    <w:rsid w:val="00CA2599"/>
    <w:rsid w:val="00CA5AA0"/>
    <w:rsid w:val="00CA65DD"/>
    <w:rsid w:val="00CE5415"/>
    <w:rsid w:val="00CF0A25"/>
    <w:rsid w:val="00D21F70"/>
    <w:rsid w:val="00D230F1"/>
    <w:rsid w:val="00D328B2"/>
    <w:rsid w:val="00D51B28"/>
    <w:rsid w:val="00D634EB"/>
    <w:rsid w:val="00D6725E"/>
    <w:rsid w:val="00D746BA"/>
    <w:rsid w:val="00D9383B"/>
    <w:rsid w:val="00DC3522"/>
    <w:rsid w:val="00DD026C"/>
    <w:rsid w:val="00DD0523"/>
    <w:rsid w:val="00DE0AC4"/>
    <w:rsid w:val="00DE79D4"/>
    <w:rsid w:val="00DF5FC5"/>
    <w:rsid w:val="00E1088E"/>
    <w:rsid w:val="00E159B5"/>
    <w:rsid w:val="00E62D59"/>
    <w:rsid w:val="00E944C7"/>
    <w:rsid w:val="00E970A9"/>
    <w:rsid w:val="00EA0A36"/>
    <w:rsid w:val="00EA18BD"/>
    <w:rsid w:val="00EC035C"/>
    <w:rsid w:val="00EC5EE5"/>
    <w:rsid w:val="00ED0A60"/>
    <w:rsid w:val="00EF0EFF"/>
    <w:rsid w:val="00F076E8"/>
    <w:rsid w:val="00F32291"/>
    <w:rsid w:val="00F44C4C"/>
    <w:rsid w:val="00F75028"/>
    <w:rsid w:val="00F85C1C"/>
    <w:rsid w:val="00F92FCA"/>
    <w:rsid w:val="00F953C0"/>
    <w:rsid w:val="00FB27F3"/>
    <w:rsid w:val="00FE5A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7982E148"/>
  <w15:chartTrackingRefBased/>
  <w15:docId w15:val="{DB503B01-E163-44F8-A517-1217BD1D5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522C"/>
    <w:rPr>
      <w:sz w:val="22"/>
    </w:rPr>
  </w:style>
  <w:style w:type="paragraph" w:styleId="Heading2">
    <w:name w:val="heading 2"/>
    <w:basedOn w:val="Normal"/>
    <w:next w:val="Normal"/>
    <w:link w:val="Heading2Char"/>
    <w:autoRedefine/>
    <w:qFormat/>
    <w:rsid w:val="00D9383B"/>
    <w:pPr>
      <w:keepNext/>
      <w:ind w:right="-43"/>
      <w:outlineLvl w:val="1"/>
    </w:pPr>
    <w:rPr>
      <w:bCs/>
      <w:i/>
      <w:iCs/>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Default">
    <w:name w:val="Default"/>
    <w:rsid w:val="0067522C"/>
    <w:pPr>
      <w:autoSpaceDE w:val="0"/>
      <w:autoSpaceDN w:val="0"/>
      <w:adjustRightInd w:val="0"/>
    </w:pPr>
    <w:rPr>
      <w:color w:val="000000"/>
      <w:sz w:val="24"/>
      <w:szCs w:val="24"/>
    </w:rPr>
  </w:style>
  <w:style w:type="character" w:styleId="Hyperlink">
    <w:name w:val="Hyperlink"/>
    <w:rsid w:val="0067522C"/>
    <w:rPr>
      <w:color w:val="0000FF"/>
      <w:u w:val="single"/>
    </w:rPr>
  </w:style>
  <w:style w:type="character" w:customStyle="1" w:styleId="Heading2Char">
    <w:name w:val="Heading 2 Char"/>
    <w:link w:val="Heading2"/>
    <w:rsid w:val="00D9383B"/>
    <w:rPr>
      <w:bCs/>
      <w:i/>
      <w:iCs/>
      <w:sz w:val="22"/>
      <w:szCs w:val="22"/>
    </w:rPr>
  </w:style>
  <w:style w:type="table" w:styleId="TableGrid">
    <w:name w:val="Table Grid"/>
    <w:basedOn w:val="TableNormal"/>
    <w:rsid w:val="006752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5">
    <w:name w:val="Pa5"/>
    <w:basedOn w:val="Default"/>
    <w:next w:val="Default"/>
    <w:rsid w:val="0067522C"/>
    <w:pPr>
      <w:spacing w:line="241" w:lineRule="atLeast"/>
    </w:pPr>
    <w:rPr>
      <w:rFonts w:ascii="Humnst777 Blk BT" w:hAnsi="Humnst777 Blk BT"/>
      <w:color w:val="auto"/>
    </w:rPr>
  </w:style>
  <w:style w:type="paragraph" w:customStyle="1" w:styleId="Pa8">
    <w:name w:val="Pa8"/>
    <w:basedOn w:val="Default"/>
    <w:next w:val="Default"/>
    <w:rsid w:val="0067522C"/>
    <w:pPr>
      <w:spacing w:before="60" w:line="241" w:lineRule="atLeast"/>
    </w:pPr>
    <w:rPr>
      <w:rFonts w:ascii="Humnst777 Blk BT" w:hAnsi="Humnst777 Blk BT"/>
      <w:color w:val="auto"/>
    </w:rPr>
  </w:style>
  <w:style w:type="paragraph" w:customStyle="1" w:styleId="Pa31">
    <w:name w:val="Pa31"/>
    <w:basedOn w:val="Default"/>
    <w:next w:val="Default"/>
    <w:rsid w:val="0067522C"/>
    <w:pPr>
      <w:spacing w:before="80" w:line="241" w:lineRule="atLeast"/>
    </w:pPr>
    <w:rPr>
      <w:rFonts w:ascii="Adobe Garamond" w:hAnsi="Adobe Garamond"/>
      <w:color w:val="auto"/>
    </w:rPr>
  </w:style>
  <w:style w:type="paragraph" w:styleId="BalloonText">
    <w:name w:val="Balloon Text"/>
    <w:basedOn w:val="Normal"/>
    <w:link w:val="BalloonTextChar"/>
    <w:rsid w:val="0078152D"/>
    <w:rPr>
      <w:rFonts w:ascii="Tahoma" w:hAnsi="Tahoma" w:cs="Tahoma"/>
      <w:sz w:val="16"/>
      <w:szCs w:val="16"/>
    </w:rPr>
  </w:style>
  <w:style w:type="character" w:customStyle="1" w:styleId="BalloonTextChar">
    <w:name w:val="Balloon Text Char"/>
    <w:link w:val="BalloonText"/>
    <w:rsid w:val="0078152D"/>
    <w:rPr>
      <w:rFonts w:ascii="Tahoma" w:hAnsi="Tahoma" w:cs="Tahoma"/>
      <w:sz w:val="16"/>
      <w:szCs w:val="16"/>
    </w:rPr>
  </w:style>
  <w:style w:type="character" w:styleId="CommentReference">
    <w:name w:val="annotation reference"/>
    <w:rsid w:val="0078152D"/>
    <w:rPr>
      <w:sz w:val="16"/>
      <w:szCs w:val="16"/>
    </w:rPr>
  </w:style>
  <w:style w:type="paragraph" w:styleId="CommentText">
    <w:name w:val="annotation text"/>
    <w:basedOn w:val="Normal"/>
    <w:link w:val="CommentTextChar"/>
    <w:uiPriority w:val="99"/>
    <w:rsid w:val="0078152D"/>
    <w:rPr>
      <w:sz w:val="20"/>
    </w:rPr>
  </w:style>
  <w:style w:type="character" w:customStyle="1" w:styleId="CommentTextChar">
    <w:name w:val="Comment Text Char"/>
    <w:basedOn w:val="DefaultParagraphFont"/>
    <w:link w:val="CommentText"/>
    <w:uiPriority w:val="99"/>
    <w:rsid w:val="0078152D"/>
  </w:style>
  <w:style w:type="paragraph" w:styleId="CommentSubject">
    <w:name w:val="annotation subject"/>
    <w:basedOn w:val="CommentText"/>
    <w:next w:val="CommentText"/>
    <w:link w:val="CommentSubjectChar"/>
    <w:rsid w:val="0078152D"/>
    <w:rPr>
      <w:b/>
      <w:bCs/>
    </w:rPr>
  </w:style>
  <w:style w:type="character" w:customStyle="1" w:styleId="CommentSubjectChar">
    <w:name w:val="Comment Subject Char"/>
    <w:link w:val="CommentSubject"/>
    <w:rsid w:val="0078152D"/>
    <w:rPr>
      <w:b/>
      <w:bCs/>
    </w:rPr>
  </w:style>
  <w:style w:type="paragraph" w:styleId="Header">
    <w:name w:val="header"/>
    <w:basedOn w:val="Normal"/>
    <w:link w:val="HeaderChar"/>
    <w:uiPriority w:val="99"/>
    <w:rsid w:val="00D9383B"/>
    <w:pPr>
      <w:tabs>
        <w:tab w:val="center" w:pos="4680"/>
        <w:tab w:val="right" w:pos="9360"/>
      </w:tabs>
    </w:pPr>
  </w:style>
  <w:style w:type="character" w:customStyle="1" w:styleId="HeaderChar">
    <w:name w:val="Header Char"/>
    <w:link w:val="Header"/>
    <w:uiPriority w:val="99"/>
    <w:rsid w:val="00D9383B"/>
    <w:rPr>
      <w:sz w:val="22"/>
    </w:rPr>
  </w:style>
  <w:style w:type="paragraph" w:styleId="Footer">
    <w:name w:val="footer"/>
    <w:basedOn w:val="Normal"/>
    <w:link w:val="FooterChar"/>
    <w:uiPriority w:val="99"/>
    <w:rsid w:val="00D9383B"/>
    <w:pPr>
      <w:tabs>
        <w:tab w:val="center" w:pos="4680"/>
        <w:tab w:val="right" w:pos="9360"/>
      </w:tabs>
    </w:pPr>
  </w:style>
  <w:style w:type="character" w:customStyle="1" w:styleId="FooterChar">
    <w:name w:val="Footer Char"/>
    <w:link w:val="Footer"/>
    <w:uiPriority w:val="99"/>
    <w:rsid w:val="00D9383B"/>
    <w:rPr>
      <w:sz w:val="22"/>
    </w:rPr>
  </w:style>
  <w:style w:type="paragraph" w:customStyle="1" w:styleId="Pa0">
    <w:name w:val="Pa0"/>
    <w:basedOn w:val="Default"/>
    <w:next w:val="Default"/>
    <w:rsid w:val="00D21F70"/>
    <w:pPr>
      <w:spacing w:before="80" w:after="60" w:line="361" w:lineRule="atLeast"/>
    </w:pPr>
    <w:rPr>
      <w:rFonts w:ascii="Humnst777 Blk BT" w:hAnsi="Humnst777 Blk BT"/>
      <w:color w:val="auto"/>
    </w:rPr>
  </w:style>
  <w:style w:type="paragraph" w:styleId="Revision">
    <w:name w:val="Revision"/>
    <w:hidden/>
    <w:uiPriority w:val="99"/>
    <w:semiHidden/>
    <w:rsid w:val="00F92FCA"/>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8511378">
      <w:bodyDiv w:val="1"/>
      <w:marLeft w:val="0"/>
      <w:marRight w:val="0"/>
      <w:marTop w:val="0"/>
      <w:marBottom w:val="0"/>
      <w:divBdr>
        <w:top w:val="none" w:sz="0" w:space="0" w:color="auto"/>
        <w:left w:val="none" w:sz="0" w:space="0" w:color="auto"/>
        <w:bottom w:val="none" w:sz="0" w:space="0" w:color="auto"/>
        <w:right w:val="none" w:sz="0" w:space="0" w:color="auto"/>
      </w:divBdr>
    </w:div>
    <w:div w:id="781143722">
      <w:bodyDiv w:val="1"/>
      <w:marLeft w:val="0"/>
      <w:marRight w:val="0"/>
      <w:marTop w:val="0"/>
      <w:marBottom w:val="0"/>
      <w:divBdr>
        <w:top w:val="none" w:sz="0" w:space="0" w:color="auto"/>
        <w:left w:val="none" w:sz="0" w:space="0" w:color="auto"/>
        <w:bottom w:val="none" w:sz="0" w:space="0" w:color="auto"/>
        <w:right w:val="none" w:sz="0" w:space="0" w:color="auto"/>
      </w:divBdr>
    </w:div>
    <w:div w:id="1090546655">
      <w:bodyDiv w:val="1"/>
      <w:marLeft w:val="0"/>
      <w:marRight w:val="0"/>
      <w:marTop w:val="0"/>
      <w:marBottom w:val="0"/>
      <w:divBdr>
        <w:top w:val="none" w:sz="0" w:space="0" w:color="auto"/>
        <w:left w:val="none" w:sz="0" w:space="0" w:color="auto"/>
        <w:bottom w:val="none" w:sz="0" w:space="0" w:color="auto"/>
        <w:right w:val="none" w:sz="0" w:space="0" w:color="auto"/>
      </w:divBdr>
    </w:div>
    <w:div w:id="1867132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B16E4E-09D9-408E-A5D3-B9E8D24AA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1037</Words>
  <Characters>5919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Consumer Notification of Lead Tap Monitoring Results</vt:lpstr>
    </vt:vector>
  </TitlesOfParts>
  <Company>VDH ODW</Company>
  <LinksUpToDate>false</LinksUpToDate>
  <CharactersWithSpaces>6943</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 Notification of Lead Tap Monitoring Results</dc:title>
  <dc:subject>Lead and Copper Rule Tap Samples</dc:subject>
  <dc:creator>VDH ODW</dc:creator>
  <cp:keywords>Lead and Copper Rule, Consumer Notification</cp:keywords>
  <dc:description>Nontransient Noncommunity Waterworks</dc:description>
  <cp:lastModifiedBy>Edelman, Robert (VDH)</cp:lastModifiedBy>
  <cp:revision>3</cp:revision>
  <cp:lastPrinted>2016-09-19T17:31:00Z</cp:lastPrinted>
  <dcterms:created xsi:type="dcterms:W3CDTF">2025-03-14T14:46:00Z</dcterms:created>
  <dcterms:modified xsi:type="dcterms:W3CDTF">2025-03-14T14:48:00Z</dcterms:modified>
  <cp:category>Consumer Notice</cp:category>
  <cp:contentStatus>Final</cp:contentStatus>
</cp:coreProperties>
</file>