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206" w:rsidR="00AA58E6" w:rsidP="00AA58E6" w:rsidRDefault="00C23886" w14:paraId="1C0CE798" w14:textId="0309851C">
      <w:pPr>
        <w:pStyle w:val="Heading1"/>
        <w:spacing w:after="160"/>
        <w:jc w:val="center"/>
        <w:rPr>
          <w:rFonts w:ascii="Calibri" w:hAnsi="Calibri" w:eastAsia="Times New Roman"/>
          <w:color w:val="002060"/>
          <w:sz w:val="32"/>
        </w:rPr>
      </w:pPr>
      <w:r w:rsidRPr="002C4206">
        <w:rPr>
          <w:rFonts w:eastAsia="Times New Roman"/>
          <w:color w:val="002060"/>
          <w:sz w:val="32"/>
        </w:rPr>
        <w:t>Assisted Blood Glucose Monitoring</w:t>
      </w:r>
      <w:r w:rsidR="00DD1B8B">
        <w:rPr>
          <w:rFonts w:eastAsia="Times New Roman"/>
          <w:color w:val="002060"/>
          <w:sz w:val="32"/>
        </w:rPr>
        <w:t xml:space="preserve"> Safety</w:t>
      </w: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696"/>
        <w:gridCol w:w="6648"/>
      </w:tblGrid>
      <w:tr w:rsidR="00AA58E6" w14:paraId="54C6E5B7" w14:textId="77777777">
        <w:trPr>
          <w:trHeight w:val="30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AA58E6" w14:paraId="361D6DDD" w14:textId="77777777">
            <w:pPr>
              <w:spacing w:line="240" w:lineRule="auto"/>
              <w:rPr>
                <w:rFonts w:ascii="Times New Roman" w:hAnsi="Times New Roman" w:eastAsia="Times New Roman" w:cs="Times New Roman"/>
                <w:sz w:val="24"/>
                <w:szCs w:val="24"/>
              </w:rPr>
            </w:pPr>
            <w:r w:rsidRPr="1868A0F8">
              <w:rPr>
                <w:rFonts w:ascii="Calibri" w:hAnsi="Calibri" w:eastAsia="Times New Roman" w:cs="Calibri"/>
                <w:color w:val="000000" w:themeColor="text1"/>
              </w:rPr>
              <w:t>Initial Effective Date </w:t>
            </w:r>
          </w:p>
        </w:tc>
        <w:tc>
          <w:tcPr>
            <w:tcW w:w="7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AA58E6" w14:paraId="220C813E" w14:textId="77777777">
            <w:pPr>
              <w:spacing w:line="240" w:lineRule="auto"/>
              <w:rPr>
                <w:rFonts w:ascii="Times New Roman" w:hAnsi="Times New Roman" w:eastAsia="Times New Roman" w:cs="Times New Roman"/>
                <w:sz w:val="24"/>
                <w:szCs w:val="24"/>
              </w:rPr>
            </w:pPr>
            <w:r w:rsidRPr="1868A0F8">
              <w:rPr>
                <w:rFonts w:ascii="Calibri" w:hAnsi="Calibri" w:eastAsia="Times New Roman" w:cs="Calibri"/>
                <w:color w:val="000000" w:themeColor="text1"/>
              </w:rPr>
              <w:t>mm/dd/</w:t>
            </w:r>
            <w:proofErr w:type="spellStart"/>
            <w:r w:rsidRPr="1868A0F8">
              <w:rPr>
                <w:rFonts w:ascii="Calibri" w:hAnsi="Calibri" w:eastAsia="Times New Roman" w:cs="Calibri"/>
                <w:color w:val="000000" w:themeColor="text1"/>
              </w:rPr>
              <w:t>yyyy</w:t>
            </w:r>
            <w:proofErr w:type="spellEnd"/>
            <w:r w:rsidRPr="1868A0F8">
              <w:rPr>
                <w:rFonts w:ascii="Calibri" w:hAnsi="Calibri" w:eastAsia="Times New Roman" w:cs="Calibri"/>
                <w:color w:val="000000" w:themeColor="text1"/>
              </w:rPr>
              <w:t> </w:t>
            </w:r>
          </w:p>
        </w:tc>
      </w:tr>
      <w:tr w:rsidR="00AA58E6" w14:paraId="31C84F99" w14:textId="77777777">
        <w:trPr>
          <w:trHeight w:val="30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AA58E6" w14:paraId="6D676E2D" w14:textId="77777777">
            <w:pPr>
              <w:spacing w:line="240" w:lineRule="auto"/>
              <w:rPr>
                <w:rFonts w:ascii="Times New Roman" w:hAnsi="Times New Roman" w:eastAsia="Times New Roman" w:cs="Times New Roman"/>
                <w:sz w:val="24"/>
                <w:szCs w:val="24"/>
              </w:rPr>
            </w:pPr>
            <w:r w:rsidRPr="1868A0F8">
              <w:rPr>
                <w:rFonts w:ascii="Calibri" w:hAnsi="Calibri" w:eastAsia="Times New Roman" w:cs="Calibri"/>
                <w:color w:val="000000" w:themeColor="text1"/>
              </w:rPr>
              <w:t>Most Recent Revision Date </w:t>
            </w:r>
          </w:p>
        </w:tc>
        <w:tc>
          <w:tcPr>
            <w:tcW w:w="7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AA58E6" w14:paraId="33FAA63D" w14:textId="77777777">
            <w:pPr>
              <w:spacing w:line="240" w:lineRule="auto"/>
              <w:rPr>
                <w:rFonts w:ascii="Times New Roman" w:hAnsi="Times New Roman" w:eastAsia="Times New Roman" w:cs="Times New Roman"/>
                <w:sz w:val="24"/>
                <w:szCs w:val="24"/>
              </w:rPr>
            </w:pPr>
            <w:r w:rsidRPr="1868A0F8">
              <w:rPr>
                <w:rFonts w:ascii="Calibri" w:hAnsi="Calibri" w:eastAsia="Times New Roman" w:cs="Calibri"/>
                <w:color w:val="000000" w:themeColor="text1"/>
              </w:rPr>
              <w:t>mm/dd/</w:t>
            </w:r>
            <w:proofErr w:type="spellStart"/>
            <w:r w:rsidRPr="1868A0F8">
              <w:rPr>
                <w:rFonts w:ascii="Calibri" w:hAnsi="Calibri" w:eastAsia="Times New Roman" w:cs="Calibri"/>
                <w:color w:val="000000" w:themeColor="text1"/>
              </w:rPr>
              <w:t>yyyy</w:t>
            </w:r>
            <w:proofErr w:type="spellEnd"/>
            <w:r w:rsidRPr="1868A0F8">
              <w:rPr>
                <w:rFonts w:ascii="Calibri" w:hAnsi="Calibri" w:eastAsia="Times New Roman" w:cs="Calibri"/>
                <w:color w:val="000000" w:themeColor="text1"/>
              </w:rPr>
              <w:t> </w:t>
            </w:r>
          </w:p>
        </w:tc>
      </w:tr>
      <w:tr w:rsidR="00AA58E6" w14:paraId="0CC5C169" w14:textId="77777777">
        <w:trPr>
          <w:trHeight w:val="30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AA58E6" w14:paraId="6CA26776" w14:textId="77777777">
            <w:pPr>
              <w:spacing w:line="240" w:lineRule="auto"/>
              <w:rPr>
                <w:rFonts w:ascii="Times New Roman" w:hAnsi="Times New Roman" w:eastAsia="Times New Roman" w:cs="Times New Roman"/>
                <w:sz w:val="24"/>
                <w:szCs w:val="24"/>
              </w:rPr>
            </w:pPr>
            <w:r w:rsidRPr="1868A0F8">
              <w:rPr>
                <w:rFonts w:ascii="Calibri" w:hAnsi="Calibri" w:eastAsia="Times New Roman" w:cs="Calibri"/>
                <w:color w:val="000000" w:themeColor="text1"/>
              </w:rPr>
              <w:t>Authorized/Reviewed By </w:t>
            </w:r>
          </w:p>
        </w:tc>
        <w:tc>
          <w:tcPr>
            <w:tcW w:w="7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AA58E6" w:rsidRDefault="00453DE9" w14:paraId="2D6813A1" w14:textId="486B7C37">
            <w:pPr>
              <w:spacing w:line="240" w:lineRule="auto"/>
              <w:rPr>
                <w:rFonts w:ascii="Times New Roman" w:hAnsi="Times New Roman" w:eastAsia="Times New Roman" w:cs="Times New Roman"/>
                <w:sz w:val="24"/>
                <w:szCs w:val="24"/>
              </w:rPr>
            </w:pPr>
            <w:r>
              <w:rPr>
                <w:rFonts w:ascii="Calibri" w:hAnsi="Calibri" w:eastAsia="Times New Roman" w:cs="Calibri"/>
                <w:color w:val="000000" w:themeColor="text1"/>
              </w:rPr>
              <w:t xml:space="preserve">[Insert name of </w:t>
            </w:r>
            <w:r w:rsidRPr="00BA4725">
              <w:rPr>
                <w:rFonts w:ascii="Calibri" w:hAnsi="Calibri" w:eastAsia="Times New Roman" w:cs="Calibri"/>
                <w:color w:val="000000" w:themeColor="text1"/>
              </w:rPr>
              <w:t>department or individual who has that authority for the policy</w:t>
            </w:r>
            <w:r>
              <w:rPr>
                <w:rFonts w:ascii="Calibri" w:hAnsi="Calibri" w:eastAsia="Times New Roman" w:cs="Calibri"/>
                <w:color w:val="000000" w:themeColor="text1"/>
              </w:rPr>
              <w:t>]</w:t>
            </w:r>
          </w:p>
        </w:tc>
      </w:tr>
    </w:tbl>
    <w:p w:rsidR="00AA58E6" w:rsidP="00AA58E6" w:rsidRDefault="00AA58E6" w14:paraId="19999C48" w14:textId="77777777">
      <w:pPr>
        <w:spacing w:after="160" w:line="240" w:lineRule="auto"/>
        <w:rPr>
          <w:rFonts w:ascii="Calibri" w:hAnsi="Calibri" w:eastAsia="Times New Roman" w:cs="Calibri"/>
        </w:rPr>
      </w:pPr>
      <w:r w:rsidRPr="1868A0F8">
        <w:rPr>
          <w:rFonts w:ascii="Georgia" w:hAnsi="Georgia" w:eastAsia="Times New Roman" w:cs="Calibri"/>
          <w:color w:val="0057A1"/>
          <w:sz w:val="12"/>
          <w:szCs w:val="12"/>
        </w:rPr>
        <w:t> </w:t>
      </w:r>
    </w:p>
    <w:p w:rsidR="00AA58E6" w:rsidP="00AA58E6" w:rsidRDefault="00AA58E6" w14:paraId="350D4668" w14:textId="004E71DE">
      <w:pPr>
        <w:pStyle w:val="Heading1"/>
        <w:spacing w:after="160"/>
        <w:rPr>
          <w:rFonts w:ascii="Calibri" w:hAnsi="Calibri" w:eastAsia="Times New Roman"/>
        </w:rPr>
      </w:pPr>
      <w:r w:rsidRPr="1868A0F8">
        <w:rPr>
          <w:rFonts w:eastAsia="Times New Roman"/>
        </w:rPr>
        <w:t>Definition</w:t>
      </w:r>
      <w:r>
        <w:rPr>
          <w:rFonts w:eastAsia="Times New Roman"/>
        </w:rPr>
        <w:t>s</w:t>
      </w:r>
      <w:r w:rsidR="00CD383A">
        <w:rPr>
          <w:rFonts w:eastAsia="Times New Roman"/>
        </w:rPr>
        <w:t xml:space="preserve"> </w:t>
      </w:r>
    </w:p>
    <w:p w:rsidR="00AA58E6" w:rsidP="00AA58E6" w:rsidRDefault="00347906" w14:paraId="5952CBDC" w14:textId="4AA26553">
      <w:pPr>
        <w:spacing w:after="160" w:line="240" w:lineRule="auto"/>
        <w:rPr>
          <w:rFonts w:ascii="Calibri" w:hAnsi="Calibri" w:eastAsia="Times New Roman" w:cs="Calibri"/>
          <w:color w:val="000000" w:themeColor="text1"/>
        </w:rPr>
      </w:pPr>
      <w:r w:rsidRPr="6AF1D045">
        <w:rPr>
          <w:rFonts w:ascii="Calibri" w:hAnsi="Calibri" w:eastAsia="Times New Roman" w:cs="Calibri"/>
          <w:b/>
          <w:bCs/>
          <w:color w:val="000000" w:themeColor="text1"/>
        </w:rPr>
        <w:t xml:space="preserve">Fingerstick </w:t>
      </w:r>
      <w:r w:rsidR="001B02ED">
        <w:rPr>
          <w:rFonts w:ascii="Calibri" w:hAnsi="Calibri" w:eastAsia="Times New Roman" w:cs="Calibri"/>
          <w:b/>
          <w:bCs/>
          <w:color w:val="000000" w:themeColor="text1"/>
        </w:rPr>
        <w:t>d</w:t>
      </w:r>
      <w:r w:rsidRPr="6AF1D045" w:rsidR="001B02ED">
        <w:rPr>
          <w:rFonts w:ascii="Calibri" w:hAnsi="Calibri" w:eastAsia="Times New Roman" w:cs="Calibri"/>
          <w:b/>
          <w:bCs/>
          <w:color w:val="000000" w:themeColor="text1"/>
        </w:rPr>
        <w:t xml:space="preserve">evices </w:t>
      </w:r>
      <w:r w:rsidRPr="6AF1D045" w:rsidR="00D10496">
        <w:rPr>
          <w:rFonts w:ascii="Calibri" w:hAnsi="Calibri" w:eastAsia="Times New Roman" w:cs="Calibri"/>
          <w:b/>
          <w:bCs/>
          <w:color w:val="000000" w:themeColor="text1"/>
        </w:rPr>
        <w:t>(lancing devices)</w:t>
      </w:r>
      <w:r w:rsidRPr="6AF1D045">
        <w:rPr>
          <w:rFonts w:ascii="Calibri" w:hAnsi="Calibri" w:eastAsia="Times New Roman" w:cs="Calibri"/>
          <w:color w:val="000000" w:themeColor="text1"/>
        </w:rPr>
        <w:t xml:space="preserve">: </w:t>
      </w:r>
      <w:r w:rsidRPr="6AF1D045" w:rsidR="00D10496">
        <w:rPr>
          <w:rFonts w:ascii="Calibri" w:hAnsi="Calibri" w:eastAsia="Times New Roman" w:cs="Calibri"/>
          <w:color w:val="000000" w:themeColor="text1"/>
        </w:rPr>
        <w:t>Dev</w:t>
      </w:r>
      <w:r w:rsidRPr="6AF1D045" w:rsidR="70A4B3EA">
        <w:rPr>
          <w:rFonts w:ascii="Calibri" w:hAnsi="Calibri" w:eastAsia="Times New Roman" w:cs="Calibri"/>
          <w:color w:val="000000" w:themeColor="text1"/>
        </w:rPr>
        <w:t>ic</w:t>
      </w:r>
      <w:r w:rsidRPr="6AF1D045" w:rsidR="00D10496">
        <w:rPr>
          <w:rFonts w:ascii="Calibri" w:hAnsi="Calibri" w:eastAsia="Times New Roman" w:cs="Calibri"/>
          <w:color w:val="000000" w:themeColor="text1"/>
        </w:rPr>
        <w:t>es</w:t>
      </w:r>
      <w:r w:rsidRPr="6AF1D045">
        <w:rPr>
          <w:rFonts w:ascii="Calibri" w:hAnsi="Calibri" w:eastAsia="Times New Roman" w:cs="Calibri"/>
          <w:color w:val="000000" w:themeColor="text1"/>
        </w:rPr>
        <w:t xml:space="preserve"> that are used to prick the skin </w:t>
      </w:r>
      <w:r w:rsidR="004133E3">
        <w:rPr>
          <w:rFonts w:ascii="Calibri" w:hAnsi="Calibri" w:eastAsia="Times New Roman" w:cs="Calibri"/>
          <w:color w:val="000000" w:themeColor="text1"/>
        </w:rPr>
        <w:t>to</w:t>
      </w:r>
      <w:r w:rsidRPr="6AF1D045">
        <w:rPr>
          <w:rFonts w:ascii="Calibri" w:hAnsi="Calibri" w:eastAsia="Times New Roman" w:cs="Calibri"/>
          <w:color w:val="000000" w:themeColor="text1"/>
        </w:rPr>
        <w:t xml:space="preserve"> obtain drops of blood for testing. There are two main types of fingerstick devices</w:t>
      </w:r>
      <w:r w:rsidR="009C6A25">
        <w:rPr>
          <w:rFonts w:ascii="Calibri" w:hAnsi="Calibri" w:eastAsia="Times New Roman" w:cs="Calibri"/>
          <w:color w:val="000000" w:themeColor="text1"/>
        </w:rPr>
        <w:t xml:space="preserve">: 1) </w:t>
      </w:r>
      <w:r w:rsidRPr="6AF1D045">
        <w:rPr>
          <w:rFonts w:ascii="Calibri" w:hAnsi="Calibri" w:eastAsia="Times New Roman" w:cs="Calibri"/>
          <w:color w:val="000000" w:themeColor="text1"/>
        </w:rPr>
        <w:t xml:space="preserve">those that are designed for reuse and </w:t>
      </w:r>
      <w:r w:rsidR="009C6A25">
        <w:rPr>
          <w:rFonts w:ascii="Calibri" w:hAnsi="Calibri" w:eastAsia="Times New Roman" w:cs="Calibri"/>
          <w:color w:val="000000" w:themeColor="text1"/>
        </w:rPr>
        <w:t xml:space="preserve">2) </w:t>
      </w:r>
      <w:r w:rsidRPr="6AF1D045">
        <w:rPr>
          <w:rFonts w:ascii="Calibri" w:hAnsi="Calibri" w:eastAsia="Times New Roman" w:cs="Calibri"/>
          <w:color w:val="000000" w:themeColor="text1"/>
        </w:rPr>
        <w:t>those that are disposable and designed for single use.</w:t>
      </w:r>
    </w:p>
    <w:p w:rsidR="00347906" w:rsidP="00AA58E6" w:rsidRDefault="00347906" w14:paraId="497D496A" w14:textId="16034EFD">
      <w:pPr>
        <w:spacing w:after="160" w:line="240" w:lineRule="auto"/>
        <w:rPr>
          <w:rFonts w:ascii="Calibri" w:hAnsi="Calibri" w:eastAsia="Times New Roman" w:cs="Calibri"/>
          <w:color w:val="000000" w:themeColor="text1"/>
        </w:rPr>
      </w:pPr>
      <w:r w:rsidRPr="38E14795">
        <w:rPr>
          <w:rFonts w:ascii="Calibri" w:hAnsi="Calibri" w:eastAsia="Times New Roman" w:cs="Calibri"/>
          <w:b/>
          <w:bCs/>
          <w:color w:val="000000" w:themeColor="text1"/>
        </w:rPr>
        <w:t>Reusable</w:t>
      </w:r>
      <w:r w:rsidRPr="38E14795" w:rsidR="00DE1FDD">
        <w:rPr>
          <w:rFonts w:ascii="Calibri" w:hAnsi="Calibri" w:eastAsia="Times New Roman" w:cs="Calibri"/>
          <w:b/>
          <w:bCs/>
          <w:color w:val="000000" w:themeColor="text1"/>
        </w:rPr>
        <w:t xml:space="preserve"> lancing</w:t>
      </w:r>
      <w:r w:rsidRPr="38E14795">
        <w:rPr>
          <w:rFonts w:ascii="Calibri" w:hAnsi="Calibri" w:eastAsia="Times New Roman" w:cs="Calibri"/>
          <w:b/>
          <w:bCs/>
          <w:color w:val="000000" w:themeColor="text1"/>
        </w:rPr>
        <w:t xml:space="preserve"> </w:t>
      </w:r>
      <w:r w:rsidRPr="38E14795" w:rsidR="001B02ED">
        <w:rPr>
          <w:rFonts w:ascii="Calibri" w:hAnsi="Calibri" w:eastAsia="Times New Roman" w:cs="Calibri"/>
          <w:b/>
          <w:bCs/>
          <w:color w:val="000000" w:themeColor="text1"/>
        </w:rPr>
        <w:t>devices</w:t>
      </w:r>
      <w:r w:rsidRPr="38E14795">
        <w:rPr>
          <w:rFonts w:ascii="Calibri" w:hAnsi="Calibri" w:eastAsia="Times New Roman" w:cs="Calibri"/>
          <w:color w:val="000000" w:themeColor="text1"/>
        </w:rPr>
        <w:t xml:space="preserve">: </w:t>
      </w:r>
      <w:r w:rsidRPr="38E14795" w:rsidR="37010635">
        <w:rPr>
          <w:rFonts w:ascii="Calibri" w:hAnsi="Calibri" w:eastAsia="Times New Roman" w:cs="Calibri"/>
          <w:color w:val="000000" w:themeColor="text1"/>
        </w:rPr>
        <w:t xml:space="preserve">Fingerstick </w:t>
      </w:r>
      <w:r w:rsidRPr="38E14795" w:rsidR="63B027AC">
        <w:rPr>
          <w:rFonts w:ascii="Calibri" w:hAnsi="Calibri" w:eastAsia="Times New Roman" w:cs="Calibri"/>
          <w:color w:val="000000" w:themeColor="text1"/>
        </w:rPr>
        <w:t>d</w:t>
      </w:r>
      <w:r w:rsidRPr="38E14795" w:rsidR="00D10496">
        <w:rPr>
          <w:rFonts w:ascii="Calibri" w:hAnsi="Calibri" w:eastAsia="Times New Roman" w:cs="Calibri"/>
          <w:color w:val="000000" w:themeColor="text1"/>
        </w:rPr>
        <w:t>evices that</w:t>
      </w:r>
      <w:r w:rsidRPr="38E14795">
        <w:rPr>
          <w:rFonts w:ascii="Calibri" w:hAnsi="Calibri" w:eastAsia="Times New Roman" w:cs="Calibri"/>
          <w:color w:val="000000" w:themeColor="text1"/>
        </w:rPr>
        <w:t xml:space="preserve"> </w:t>
      </w:r>
      <w:r w:rsidR="00340ED5">
        <w:rPr>
          <w:rFonts w:ascii="Calibri" w:hAnsi="Calibri" w:eastAsia="Times New Roman" w:cs="Calibri"/>
          <w:color w:val="000000" w:themeColor="text1"/>
        </w:rPr>
        <w:t xml:space="preserve">can be </w:t>
      </w:r>
      <w:r w:rsidRPr="38E14795">
        <w:rPr>
          <w:rFonts w:ascii="Calibri" w:hAnsi="Calibri" w:eastAsia="Times New Roman" w:cs="Calibri"/>
          <w:color w:val="000000" w:themeColor="text1"/>
        </w:rPr>
        <w:t xml:space="preserve">shaped like a pen </w:t>
      </w:r>
      <w:r w:rsidR="00340ED5">
        <w:rPr>
          <w:rFonts w:ascii="Calibri" w:hAnsi="Calibri" w:eastAsia="Times New Roman" w:cs="Calibri"/>
          <w:color w:val="000000" w:themeColor="text1"/>
        </w:rPr>
        <w:t>that hold removable</w:t>
      </w:r>
      <w:r w:rsidR="003C440A">
        <w:rPr>
          <w:rFonts w:ascii="Calibri" w:hAnsi="Calibri" w:eastAsia="Times New Roman" w:cs="Calibri"/>
          <w:color w:val="000000" w:themeColor="text1"/>
        </w:rPr>
        <w:t>/replaceable</w:t>
      </w:r>
      <w:r w:rsidR="00340ED5">
        <w:rPr>
          <w:rFonts w:ascii="Calibri" w:hAnsi="Calibri" w:eastAsia="Times New Roman" w:cs="Calibri"/>
          <w:color w:val="000000" w:themeColor="text1"/>
        </w:rPr>
        <w:t xml:space="preserve"> lancet</w:t>
      </w:r>
      <w:r w:rsidR="003C440A">
        <w:rPr>
          <w:rFonts w:ascii="Calibri" w:hAnsi="Calibri" w:eastAsia="Times New Roman" w:cs="Calibri"/>
          <w:color w:val="000000" w:themeColor="text1"/>
        </w:rPr>
        <w:t>s</w:t>
      </w:r>
      <w:r w:rsidRPr="38E14795" w:rsidR="00AF3073">
        <w:rPr>
          <w:rFonts w:ascii="Calibri" w:hAnsi="Calibri" w:eastAsia="Times New Roman" w:cs="Calibri"/>
          <w:color w:val="000000" w:themeColor="text1"/>
        </w:rPr>
        <w:t xml:space="preserve">, allowing the device to be used more than once. These devices should </w:t>
      </w:r>
      <w:r w:rsidRPr="38E14795" w:rsidR="00AF3073">
        <w:rPr>
          <w:rFonts w:ascii="Calibri" w:hAnsi="Calibri" w:eastAsia="Times New Roman" w:cs="Calibri"/>
          <w:b/>
          <w:bCs/>
          <w:color w:val="000000" w:themeColor="text1"/>
        </w:rPr>
        <w:t>never</w:t>
      </w:r>
      <w:r w:rsidRPr="38E14795" w:rsidR="00AF3073">
        <w:rPr>
          <w:rFonts w:ascii="Calibri" w:hAnsi="Calibri" w:eastAsia="Times New Roman" w:cs="Calibri"/>
          <w:color w:val="000000" w:themeColor="text1"/>
        </w:rPr>
        <w:t xml:space="preserve"> be used for more than one patient</w:t>
      </w:r>
      <w:r w:rsidRPr="38E14795" w:rsidR="005F728D">
        <w:rPr>
          <w:rFonts w:ascii="Calibri" w:hAnsi="Calibri" w:eastAsia="Times New Roman" w:cs="Calibri"/>
          <w:color w:val="000000" w:themeColor="text1"/>
        </w:rPr>
        <w:t>/resident</w:t>
      </w:r>
      <w:r w:rsidR="003C440A">
        <w:rPr>
          <w:rFonts w:ascii="Calibri" w:hAnsi="Calibri" w:eastAsia="Times New Roman" w:cs="Calibri"/>
          <w:color w:val="000000" w:themeColor="text1"/>
        </w:rPr>
        <w:t xml:space="preserve"> because of the </w:t>
      </w:r>
      <w:r w:rsidRPr="00FB02E1" w:rsidR="003C440A">
        <w:rPr>
          <w:rFonts w:ascii="Calibri" w:hAnsi="Calibri" w:eastAsia="Times New Roman" w:cs="Calibri"/>
          <w:color w:val="000000" w:themeColor="text1"/>
        </w:rPr>
        <w:t>ri</w:t>
      </w:r>
      <w:r w:rsidRPr="00FB02E1" w:rsidR="00FB02E1">
        <w:rPr>
          <w:rFonts w:ascii="Calibri" w:hAnsi="Calibri" w:eastAsia="Times New Roman" w:cs="Calibri"/>
          <w:color w:val="000000" w:themeColor="text1"/>
        </w:rPr>
        <w:t>s</w:t>
      </w:r>
      <w:r w:rsidRPr="00FB02E1" w:rsidR="003C440A">
        <w:rPr>
          <w:rFonts w:ascii="Calibri" w:hAnsi="Calibri" w:eastAsia="Times New Roman" w:cs="Calibri"/>
          <w:color w:val="000000" w:themeColor="text1"/>
        </w:rPr>
        <w:t>k</w:t>
      </w:r>
      <w:r w:rsidR="003C440A">
        <w:rPr>
          <w:rFonts w:ascii="Calibri" w:hAnsi="Calibri" w:eastAsia="Times New Roman" w:cs="Calibri"/>
          <w:color w:val="000000" w:themeColor="text1"/>
        </w:rPr>
        <w:t xml:space="preserve"> for infection transmission</w:t>
      </w:r>
      <w:r w:rsidR="00466814">
        <w:rPr>
          <w:rFonts w:ascii="Calibri" w:hAnsi="Calibri" w:eastAsia="Times New Roman" w:cs="Calibri"/>
          <w:color w:val="000000" w:themeColor="text1"/>
        </w:rPr>
        <w:t xml:space="preserve">. </w:t>
      </w:r>
      <w:r w:rsidR="0009732C">
        <w:rPr>
          <w:rFonts w:ascii="Calibri" w:hAnsi="Calibri" w:eastAsia="Times New Roman" w:cs="Calibri"/>
          <w:color w:val="000000" w:themeColor="text1"/>
        </w:rPr>
        <w:t>If these devices are used, they</w:t>
      </w:r>
      <w:r w:rsidRPr="38E14795" w:rsidR="00466814">
        <w:rPr>
          <w:rFonts w:ascii="Calibri" w:hAnsi="Calibri" w:eastAsia="Times New Roman" w:cs="Calibri"/>
          <w:color w:val="000000" w:themeColor="text1"/>
        </w:rPr>
        <w:t xml:space="preserve"> </w:t>
      </w:r>
      <w:r w:rsidRPr="38E14795" w:rsidR="00FB2772">
        <w:rPr>
          <w:rFonts w:ascii="Calibri" w:hAnsi="Calibri" w:eastAsia="Times New Roman" w:cs="Calibri"/>
          <w:color w:val="000000" w:themeColor="text1"/>
        </w:rPr>
        <w:t xml:space="preserve">should </w:t>
      </w:r>
      <w:r w:rsidRPr="38E14795" w:rsidR="00FB2772">
        <w:rPr>
          <w:rFonts w:ascii="Calibri" w:hAnsi="Calibri" w:eastAsia="Times New Roman" w:cs="Calibri"/>
          <w:i/>
          <w:iCs/>
          <w:color w:val="000000" w:themeColor="text1"/>
        </w:rPr>
        <w:t>only</w:t>
      </w:r>
      <w:r w:rsidRPr="38E14795" w:rsidR="00FB2772">
        <w:rPr>
          <w:rFonts w:ascii="Calibri" w:hAnsi="Calibri" w:eastAsia="Times New Roman" w:cs="Calibri"/>
          <w:color w:val="000000" w:themeColor="text1"/>
        </w:rPr>
        <w:t xml:space="preserve"> be</w:t>
      </w:r>
      <w:r w:rsidRPr="38E14795" w:rsidR="005F728D">
        <w:rPr>
          <w:rFonts w:ascii="Calibri" w:hAnsi="Calibri" w:eastAsia="Times New Roman" w:cs="Calibri"/>
          <w:color w:val="000000" w:themeColor="text1"/>
        </w:rPr>
        <w:t xml:space="preserve"> used</w:t>
      </w:r>
      <w:r w:rsidRPr="38E14795" w:rsidR="00FB2772">
        <w:rPr>
          <w:rFonts w:ascii="Calibri" w:hAnsi="Calibri" w:eastAsia="Times New Roman" w:cs="Calibri"/>
          <w:color w:val="000000" w:themeColor="text1"/>
        </w:rPr>
        <w:t xml:space="preserve"> by </w:t>
      </w:r>
      <w:r w:rsidRPr="38E14795" w:rsidR="00AF3073">
        <w:rPr>
          <w:rFonts w:ascii="Calibri" w:hAnsi="Calibri" w:eastAsia="Times New Roman" w:cs="Calibri"/>
          <w:color w:val="000000" w:themeColor="text1"/>
        </w:rPr>
        <w:t xml:space="preserve">persons </w:t>
      </w:r>
      <w:r w:rsidRPr="38E14795" w:rsidR="005F728D">
        <w:rPr>
          <w:rFonts w:ascii="Calibri" w:hAnsi="Calibri" w:eastAsia="Times New Roman" w:cs="Calibri"/>
          <w:color w:val="000000" w:themeColor="text1"/>
        </w:rPr>
        <w:t xml:space="preserve">performing </w:t>
      </w:r>
      <w:r w:rsidRPr="38E14795" w:rsidR="00FB2772">
        <w:rPr>
          <w:rFonts w:ascii="Calibri" w:hAnsi="Calibri" w:eastAsia="Times New Roman" w:cs="Calibri"/>
          <w:color w:val="000000" w:themeColor="text1"/>
        </w:rPr>
        <w:t xml:space="preserve">self-monitoring of blood glucose and </w:t>
      </w:r>
      <w:r w:rsidRPr="38E14795" w:rsidR="005F728D">
        <w:rPr>
          <w:rFonts w:ascii="Calibri" w:hAnsi="Calibri" w:eastAsia="Times New Roman" w:cs="Calibri"/>
          <w:color w:val="000000" w:themeColor="text1"/>
        </w:rPr>
        <w:t xml:space="preserve">are </w:t>
      </w:r>
      <w:r w:rsidRPr="38E14795" w:rsidR="00AF3073">
        <w:rPr>
          <w:rFonts w:ascii="Calibri" w:hAnsi="Calibri" w:eastAsia="Times New Roman" w:cs="Calibri"/>
          <w:color w:val="000000" w:themeColor="text1"/>
        </w:rPr>
        <w:t>follow</w:t>
      </w:r>
      <w:r w:rsidRPr="38E14795" w:rsidR="005F728D">
        <w:rPr>
          <w:rFonts w:ascii="Calibri" w:hAnsi="Calibri" w:eastAsia="Times New Roman" w:cs="Calibri"/>
          <w:color w:val="000000" w:themeColor="text1"/>
        </w:rPr>
        <w:t>ing</w:t>
      </w:r>
      <w:r w:rsidRPr="38E14795" w:rsidR="00AF3073">
        <w:rPr>
          <w:rFonts w:ascii="Calibri" w:hAnsi="Calibri" w:eastAsia="Times New Roman" w:cs="Calibri"/>
          <w:color w:val="000000" w:themeColor="text1"/>
        </w:rPr>
        <w:t xml:space="preserve"> the manufacturer’s instructions for use.</w:t>
      </w:r>
      <w:r w:rsidRPr="38E14795" w:rsidR="004835E3">
        <w:rPr>
          <w:rFonts w:ascii="Calibri" w:hAnsi="Calibri" w:eastAsia="Times New Roman" w:cs="Calibri"/>
          <w:color w:val="000000" w:themeColor="text1"/>
        </w:rPr>
        <w:t xml:space="preserve"> </w:t>
      </w:r>
      <w:r w:rsidR="004D6DFE">
        <w:rPr>
          <w:rFonts w:ascii="Calibri" w:hAnsi="Calibri" w:eastAsia="Times New Roman" w:cs="Calibri"/>
          <w:color w:val="000000" w:themeColor="text1"/>
        </w:rPr>
        <w:t xml:space="preserve">They should also be clearly labeled and </w:t>
      </w:r>
      <w:r w:rsidRPr="00166B38" w:rsidR="004D6DFE">
        <w:rPr>
          <w:rFonts w:ascii="Calibri" w:hAnsi="Calibri" w:eastAsia="Times New Roman" w:cs="Calibri"/>
          <w:color w:val="000000" w:themeColor="text1"/>
        </w:rPr>
        <w:t xml:space="preserve">stored to prevent </w:t>
      </w:r>
      <w:r w:rsidRPr="32DF63BD" w:rsidR="39B02829">
        <w:rPr>
          <w:rFonts w:ascii="Calibri" w:hAnsi="Calibri" w:eastAsia="Times New Roman" w:cs="Calibri"/>
          <w:color w:val="000000" w:themeColor="text1"/>
        </w:rPr>
        <w:t>accidental</w:t>
      </w:r>
      <w:r w:rsidRPr="00166B38" w:rsidR="004D6DFE">
        <w:rPr>
          <w:rFonts w:ascii="Calibri" w:hAnsi="Calibri" w:eastAsia="Times New Roman" w:cs="Calibri"/>
          <w:color w:val="000000" w:themeColor="text1"/>
        </w:rPr>
        <w:t xml:space="preserve"> use on another patient/resident</w:t>
      </w:r>
      <w:r w:rsidRPr="38E14795" w:rsidR="004D6DFE">
        <w:rPr>
          <w:rFonts w:ascii="Calibri" w:hAnsi="Calibri" w:eastAsia="Times New Roman" w:cs="Calibri"/>
          <w:color w:val="000000" w:themeColor="text1"/>
        </w:rPr>
        <w:t xml:space="preserve">. </w:t>
      </w:r>
      <w:r w:rsidRPr="38E14795" w:rsidR="00FB2772">
        <w:rPr>
          <w:rFonts w:ascii="Calibri" w:hAnsi="Calibri" w:eastAsia="Times New Roman" w:cs="Calibri"/>
          <w:color w:val="000000" w:themeColor="text1"/>
        </w:rPr>
        <w:t xml:space="preserve"> </w:t>
      </w:r>
      <w:r w:rsidR="00466814">
        <w:rPr>
          <w:rFonts w:ascii="Calibri" w:hAnsi="Calibri" w:eastAsia="Times New Roman" w:cs="Calibri"/>
          <w:color w:val="000000" w:themeColor="text1"/>
        </w:rPr>
        <w:t xml:space="preserve"> </w:t>
      </w:r>
      <w:r w:rsidRPr="00166B38" w:rsidR="00166B38">
        <w:rPr>
          <w:rFonts w:ascii="Calibri" w:hAnsi="Calibri" w:eastAsia="Times New Roman" w:cs="Calibri"/>
          <w:color w:val="000000" w:themeColor="text1"/>
        </w:rPr>
        <w:t xml:space="preserve"> </w:t>
      </w:r>
    </w:p>
    <w:p w:rsidR="00AF3073" w:rsidP="00AA58E6" w:rsidRDefault="000B0928" w14:paraId="3CE1EC5E" w14:textId="2257B1C6">
      <w:pPr>
        <w:spacing w:after="160" w:line="240" w:lineRule="auto"/>
        <w:rPr>
          <w:rFonts w:ascii="Calibri" w:hAnsi="Calibri" w:eastAsia="Times New Roman" w:cs="Calibri"/>
          <w:color w:val="000000" w:themeColor="text1"/>
        </w:rPr>
      </w:pPr>
      <w:r w:rsidRPr="38E14795">
        <w:rPr>
          <w:rFonts w:ascii="Calibri" w:hAnsi="Calibri" w:eastAsia="Times New Roman" w:cs="Calibri"/>
          <w:b/>
          <w:bCs/>
          <w:color w:val="000000" w:themeColor="text1"/>
        </w:rPr>
        <w:t xml:space="preserve">Safety lancets: </w:t>
      </w:r>
      <w:r w:rsidRPr="00256CB3" w:rsidR="00AF3073">
        <w:rPr>
          <w:rFonts w:ascii="Calibri" w:hAnsi="Calibri" w:eastAsia="Times New Roman" w:cs="Calibri"/>
          <w:color w:val="000000" w:themeColor="text1"/>
        </w:rPr>
        <w:t>Single-use fingers</w:t>
      </w:r>
      <w:r w:rsidRPr="00256CB3" w:rsidR="0078244C">
        <w:rPr>
          <w:rFonts w:ascii="Calibri" w:hAnsi="Calibri" w:eastAsia="Times New Roman" w:cs="Calibri"/>
          <w:color w:val="000000" w:themeColor="text1"/>
        </w:rPr>
        <w:t>t</w:t>
      </w:r>
      <w:r w:rsidRPr="00256CB3" w:rsidR="00AF3073">
        <w:rPr>
          <w:rFonts w:ascii="Calibri" w:hAnsi="Calibri" w:eastAsia="Times New Roman" w:cs="Calibri"/>
          <w:color w:val="000000" w:themeColor="text1"/>
        </w:rPr>
        <w:t>ick devices</w:t>
      </w:r>
      <w:r w:rsidRPr="00256CB3">
        <w:rPr>
          <w:rFonts w:ascii="Calibri" w:hAnsi="Calibri" w:eastAsia="Times New Roman" w:cs="Calibri"/>
          <w:color w:val="000000" w:themeColor="text1"/>
        </w:rPr>
        <w:t xml:space="preserve"> </w:t>
      </w:r>
      <w:r w:rsidRPr="38E14795" w:rsidR="00AF3073">
        <w:rPr>
          <w:rFonts w:ascii="Calibri" w:hAnsi="Calibri" w:eastAsia="Times New Roman" w:cs="Calibri"/>
          <w:color w:val="000000" w:themeColor="text1"/>
        </w:rPr>
        <w:t xml:space="preserve">that are disposable and prevent reuse through an auto-disabling feature. In settings where assisted monitoring of blood glucose is performed, </w:t>
      </w:r>
      <w:r w:rsidRPr="00256CB3" w:rsidR="28377120">
        <w:rPr>
          <w:rFonts w:ascii="Calibri" w:hAnsi="Calibri" w:eastAsia="Times New Roman" w:cs="Calibri"/>
          <w:b/>
          <w:bCs/>
          <w:color w:val="000000" w:themeColor="text1"/>
        </w:rPr>
        <w:t xml:space="preserve">only </w:t>
      </w:r>
      <w:r w:rsidRPr="38E14795" w:rsidR="00AF3073">
        <w:rPr>
          <w:rFonts w:ascii="Calibri" w:hAnsi="Calibri" w:eastAsia="Times New Roman" w:cs="Calibri"/>
          <w:color w:val="000000" w:themeColor="text1"/>
        </w:rPr>
        <w:t>single-use,</w:t>
      </w:r>
      <w:r w:rsidRPr="38E14795" w:rsidR="008640FA">
        <w:rPr>
          <w:rFonts w:ascii="Calibri" w:hAnsi="Calibri" w:eastAsia="Times New Roman" w:cs="Calibri"/>
          <w:color w:val="000000" w:themeColor="text1"/>
        </w:rPr>
        <w:t xml:space="preserve"> safety lancets</w:t>
      </w:r>
      <w:r w:rsidRPr="38E14795" w:rsidR="00AF3073">
        <w:rPr>
          <w:rFonts w:ascii="Calibri" w:hAnsi="Calibri" w:eastAsia="Times New Roman" w:cs="Calibri"/>
          <w:color w:val="000000" w:themeColor="text1"/>
        </w:rPr>
        <w:t xml:space="preserve"> should be used.</w:t>
      </w:r>
    </w:p>
    <w:p w:rsidR="00AA58E6" w:rsidP="38E14795" w:rsidRDefault="00AA58E6" w14:paraId="5863AD15" w14:textId="4AC99C99">
      <w:pPr>
        <w:spacing w:after="160" w:line="240" w:lineRule="auto"/>
        <w:rPr>
          <w:rFonts w:ascii="Calibri" w:hAnsi="Calibri" w:eastAsia="Times New Roman" w:cs="Calibri"/>
          <w:color w:val="000000" w:themeColor="text1"/>
        </w:rPr>
      </w:pPr>
    </w:p>
    <w:p w:rsidRPr="00AF3CC4" w:rsidR="00AA58E6" w:rsidP="00AF3CC4" w:rsidRDefault="00CD383A" w14:paraId="625687A6" w14:textId="1765CF3C">
      <w:pPr>
        <w:pStyle w:val="Heading1"/>
        <w:spacing w:after="160"/>
        <w:rPr>
          <w:rFonts w:ascii="Calibri" w:hAnsi="Calibri" w:eastAsia="Times New Roman"/>
        </w:rPr>
      </w:pPr>
      <w:r>
        <w:rPr>
          <w:rFonts w:eastAsia="Times New Roman"/>
        </w:rPr>
        <w:t xml:space="preserve">Purpose </w:t>
      </w:r>
    </w:p>
    <w:p w:rsidR="00AA58E6" w:rsidP="00AA58E6" w:rsidRDefault="00AF3073" w14:paraId="2C9ED40F" w14:textId="4AEDDD82">
      <w:pPr>
        <w:spacing w:after="160" w:line="240" w:lineRule="auto"/>
        <w:rPr>
          <w:rFonts w:ascii="Calibri" w:hAnsi="Calibri" w:eastAsia="Times New Roman" w:cs="Calibri"/>
          <w:color w:val="000000" w:themeColor="text1"/>
        </w:rPr>
      </w:pPr>
      <w:r w:rsidRPr="38E14795">
        <w:rPr>
          <w:rFonts w:ascii="Calibri" w:hAnsi="Calibri" w:eastAsia="Times New Roman" w:cs="Calibri"/>
          <w:color w:val="000000" w:themeColor="text1"/>
        </w:rPr>
        <w:t xml:space="preserve">An </w:t>
      </w:r>
      <w:r w:rsidR="00256CB3">
        <w:rPr>
          <w:rFonts w:ascii="Calibri" w:hAnsi="Calibri" w:eastAsia="Times New Roman" w:cs="Calibri"/>
          <w:color w:val="000000" w:themeColor="text1"/>
        </w:rPr>
        <w:t>overlooked</w:t>
      </w:r>
      <w:r w:rsidRPr="38E14795">
        <w:rPr>
          <w:rFonts w:ascii="Calibri" w:hAnsi="Calibri" w:eastAsia="Times New Roman" w:cs="Calibri"/>
          <w:color w:val="000000" w:themeColor="text1"/>
        </w:rPr>
        <w:t xml:space="preserve"> risk of </w:t>
      </w:r>
      <w:r w:rsidRPr="38E14795" w:rsidR="008206D9">
        <w:rPr>
          <w:rFonts w:ascii="Calibri" w:hAnsi="Calibri" w:eastAsia="Times New Roman" w:cs="Calibri"/>
          <w:color w:val="000000" w:themeColor="text1"/>
        </w:rPr>
        <w:t>point of care (</w:t>
      </w:r>
      <w:r w:rsidRPr="38E14795" w:rsidR="00F05294">
        <w:rPr>
          <w:rFonts w:ascii="Calibri" w:hAnsi="Calibri" w:eastAsia="Times New Roman" w:cs="Calibri"/>
          <w:color w:val="000000" w:themeColor="text1"/>
        </w:rPr>
        <w:t>blood</w:t>
      </w:r>
      <w:r w:rsidRPr="38E14795" w:rsidR="008206D9">
        <w:rPr>
          <w:rFonts w:ascii="Calibri" w:hAnsi="Calibri" w:eastAsia="Times New Roman" w:cs="Calibri"/>
          <w:color w:val="000000" w:themeColor="text1"/>
        </w:rPr>
        <w:t>)</w:t>
      </w:r>
      <w:r w:rsidRPr="38E14795">
        <w:rPr>
          <w:rFonts w:ascii="Calibri" w:hAnsi="Calibri" w:eastAsia="Times New Roman" w:cs="Calibri"/>
          <w:color w:val="000000" w:themeColor="text1"/>
        </w:rPr>
        <w:t xml:space="preserve"> testing</w:t>
      </w:r>
      <w:r w:rsidRPr="38E14795" w:rsidR="00C23886">
        <w:rPr>
          <w:rFonts w:ascii="Calibri" w:hAnsi="Calibri" w:eastAsia="Times New Roman" w:cs="Calibri"/>
          <w:color w:val="000000" w:themeColor="text1"/>
        </w:rPr>
        <w:t xml:space="preserve"> with assisted blood glucose monitoring</w:t>
      </w:r>
      <w:r w:rsidRPr="38E14795">
        <w:rPr>
          <w:rFonts w:ascii="Calibri" w:hAnsi="Calibri" w:eastAsia="Times New Roman" w:cs="Calibri"/>
          <w:color w:val="000000" w:themeColor="text1"/>
        </w:rPr>
        <w:t xml:space="preserve"> is the opportunity for exposure to bloodborne pathogens such as </w:t>
      </w:r>
      <w:r w:rsidRPr="38E14795" w:rsidR="0032156B">
        <w:rPr>
          <w:rFonts w:ascii="Calibri" w:hAnsi="Calibri" w:eastAsia="Times New Roman" w:cs="Calibri"/>
          <w:color w:val="000000" w:themeColor="text1"/>
        </w:rPr>
        <w:t>h</w:t>
      </w:r>
      <w:r w:rsidRPr="38E14795">
        <w:rPr>
          <w:rFonts w:ascii="Calibri" w:hAnsi="Calibri" w:eastAsia="Times New Roman" w:cs="Calibri"/>
          <w:color w:val="000000" w:themeColor="text1"/>
        </w:rPr>
        <w:t xml:space="preserve">epatitis B </w:t>
      </w:r>
      <w:r w:rsidRPr="38E14795" w:rsidR="00CC2D28">
        <w:rPr>
          <w:rFonts w:ascii="Calibri" w:hAnsi="Calibri" w:eastAsia="Times New Roman" w:cs="Calibri"/>
          <w:color w:val="000000" w:themeColor="text1"/>
        </w:rPr>
        <w:t xml:space="preserve">virus </w:t>
      </w:r>
      <w:r w:rsidRPr="38E14795">
        <w:rPr>
          <w:rFonts w:ascii="Calibri" w:hAnsi="Calibri" w:eastAsia="Times New Roman" w:cs="Calibri"/>
          <w:color w:val="000000" w:themeColor="text1"/>
        </w:rPr>
        <w:t xml:space="preserve">(HBV), </w:t>
      </w:r>
      <w:r w:rsidRPr="38E14795" w:rsidR="0032156B">
        <w:rPr>
          <w:rFonts w:ascii="Calibri" w:hAnsi="Calibri" w:eastAsia="Times New Roman" w:cs="Calibri"/>
          <w:color w:val="000000" w:themeColor="text1"/>
        </w:rPr>
        <w:t>h</w:t>
      </w:r>
      <w:r w:rsidRPr="38E14795">
        <w:rPr>
          <w:rFonts w:ascii="Calibri" w:hAnsi="Calibri" w:eastAsia="Times New Roman" w:cs="Calibri"/>
          <w:color w:val="000000" w:themeColor="text1"/>
        </w:rPr>
        <w:t xml:space="preserve">epatitis C </w:t>
      </w:r>
      <w:r w:rsidRPr="38E14795" w:rsidR="00CC2D28">
        <w:rPr>
          <w:rFonts w:ascii="Calibri" w:hAnsi="Calibri" w:eastAsia="Times New Roman" w:cs="Calibri"/>
          <w:color w:val="000000" w:themeColor="text1"/>
        </w:rPr>
        <w:t xml:space="preserve">virus </w:t>
      </w:r>
      <w:r w:rsidRPr="38E14795">
        <w:rPr>
          <w:rFonts w:ascii="Calibri" w:hAnsi="Calibri" w:eastAsia="Times New Roman" w:cs="Calibri"/>
          <w:color w:val="000000" w:themeColor="text1"/>
        </w:rPr>
        <w:t xml:space="preserve">(HCV), and HIV. This policy is meant to </w:t>
      </w:r>
      <w:r w:rsidRPr="38E14795" w:rsidR="006051BE">
        <w:rPr>
          <w:rFonts w:ascii="Calibri" w:hAnsi="Calibri" w:eastAsia="Times New Roman" w:cs="Calibri"/>
          <w:color w:val="000000" w:themeColor="text1"/>
        </w:rPr>
        <w:t xml:space="preserve">outline the recommended practices to </w:t>
      </w:r>
      <w:r w:rsidRPr="38E14795">
        <w:rPr>
          <w:rFonts w:ascii="Calibri" w:hAnsi="Calibri" w:eastAsia="Times New Roman" w:cs="Calibri"/>
          <w:color w:val="000000" w:themeColor="text1"/>
        </w:rPr>
        <w:t>reduce the risk of these exposures in settings where blood glucose testing is performed.</w:t>
      </w:r>
    </w:p>
    <w:p w:rsidR="00AA58E6" w:rsidP="00AA58E6" w:rsidRDefault="00AA58E6" w14:paraId="643A0B61" w14:textId="77777777">
      <w:pPr>
        <w:spacing w:after="160" w:line="240" w:lineRule="auto"/>
        <w:rPr>
          <w:rFonts w:ascii="Calibri" w:hAnsi="Calibri" w:eastAsia="Times New Roman" w:cs="Calibri"/>
        </w:rPr>
      </w:pPr>
    </w:p>
    <w:p w:rsidR="00AA58E6" w:rsidP="00AA58E6" w:rsidRDefault="00AA58E6" w14:paraId="21D37077" w14:textId="6CF04A04">
      <w:pPr>
        <w:pStyle w:val="Heading1"/>
        <w:spacing w:after="160"/>
        <w:rPr>
          <w:rFonts w:ascii="Calibri" w:hAnsi="Calibri" w:eastAsia="Times New Roman"/>
        </w:rPr>
      </w:pPr>
      <w:r w:rsidRPr="1868A0F8">
        <w:rPr>
          <w:rFonts w:eastAsia="Times New Roman"/>
        </w:rPr>
        <w:t>Responsi</w:t>
      </w:r>
      <w:r w:rsidR="00CD383A">
        <w:rPr>
          <w:rFonts w:eastAsia="Times New Roman"/>
        </w:rPr>
        <w:t xml:space="preserve">bility </w:t>
      </w:r>
    </w:p>
    <w:p w:rsidR="00AA58E6" w:rsidP="00AA58E6" w:rsidRDefault="00CD383A" w14:paraId="478E521B" w14:textId="76618BD5">
      <w:pPr>
        <w:spacing w:after="160" w:line="240" w:lineRule="auto"/>
        <w:rPr>
          <w:rFonts w:ascii="Calibri" w:hAnsi="Calibri" w:eastAsia="Times New Roman" w:cs="Calibri"/>
          <w:color w:val="000000" w:themeColor="text1"/>
        </w:rPr>
      </w:pPr>
      <w:r w:rsidRPr="7B5FA450">
        <w:rPr>
          <w:rFonts w:ascii="Calibri" w:hAnsi="Calibri" w:eastAsia="Times New Roman" w:cs="Calibri"/>
          <w:color w:val="000000" w:themeColor="text1"/>
        </w:rPr>
        <w:t xml:space="preserve">This policy is for </w:t>
      </w:r>
      <w:r w:rsidRPr="7B5FA450" w:rsidR="20586B4A">
        <w:rPr>
          <w:rFonts w:ascii="Calibri" w:hAnsi="Calibri" w:eastAsia="Times New Roman" w:cs="Calibri"/>
          <w:color w:val="000000" w:themeColor="text1"/>
        </w:rPr>
        <w:t xml:space="preserve">healthcare </w:t>
      </w:r>
      <w:r w:rsidRPr="7B5FA450" w:rsidR="7AA29080">
        <w:rPr>
          <w:rFonts w:ascii="Calibri" w:hAnsi="Calibri" w:eastAsia="Times New Roman" w:cs="Calibri"/>
          <w:color w:val="000000" w:themeColor="text1"/>
        </w:rPr>
        <w:t xml:space="preserve">personnel </w:t>
      </w:r>
      <w:r w:rsidRPr="7B5FA450">
        <w:rPr>
          <w:rFonts w:ascii="Calibri" w:hAnsi="Calibri" w:eastAsia="Times New Roman" w:cs="Calibri"/>
          <w:color w:val="000000" w:themeColor="text1"/>
        </w:rPr>
        <w:t xml:space="preserve">who </w:t>
      </w:r>
      <w:r w:rsidRPr="7B5FA450" w:rsidR="1FC78D00">
        <w:rPr>
          <w:rFonts w:ascii="Calibri" w:hAnsi="Calibri" w:eastAsia="Times New Roman" w:cs="Calibri"/>
          <w:color w:val="000000" w:themeColor="text1"/>
        </w:rPr>
        <w:t xml:space="preserve">have </w:t>
      </w:r>
      <w:r w:rsidRPr="7B5FA450">
        <w:rPr>
          <w:rFonts w:ascii="Calibri" w:hAnsi="Calibri" w:eastAsia="Times New Roman" w:cs="Calibri"/>
          <w:color w:val="000000" w:themeColor="text1"/>
        </w:rPr>
        <w:t xml:space="preserve">had training and competency validations for </w:t>
      </w:r>
      <w:r w:rsidRPr="7B5FA450" w:rsidR="00E42182">
        <w:rPr>
          <w:rFonts w:ascii="Calibri" w:hAnsi="Calibri" w:eastAsia="Times New Roman" w:cs="Calibri"/>
          <w:color w:val="000000" w:themeColor="text1"/>
        </w:rPr>
        <w:t>assisted blood glucose monitoring</w:t>
      </w:r>
      <w:r w:rsidRPr="7B5FA450" w:rsidR="00303A7A">
        <w:rPr>
          <w:rFonts w:ascii="Calibri" w:hAnsi="Calibri" w:eastAsia="Times New Roman" w:cs="Calibri"/>
          <w:color w:val="000000" w:themeColor="text1"/>
        </w:rPr>
        <w:t xml:space="preserve"> </w:t>
      </w:r>
      <w:r w:rsidRPr="7B5FA450" w:rsidR="0078244C">
        <w:rPr>
          <w:rFonts w:ascii="Calibri" w:hAnsi="Calibri" w:eastAsia="Times New Roman" w:cs="Calibri"/>
          <w:color w:val="000000" w:themeColor="text1"/>
        </w:rPr>
        <w:t xml:space="preserve">and/or anyone who performs </w:t>
      </w:r>
      <w:r w:rsidRPr="7B5FA450" w:rsidR="00E42182">
        <w:rPr>
          <w:rFonts w:ascii="Calibri" w:hAnsi="Calibri" w:eastAsia="Times New Roman" w:cs="Calibri"/>
          <w:color w:val="000000" w:themeColor="text1"/>
        </w:rPr>
        <w:t>assisted blood glucose monitoring</w:t>
      </w:r>
      <w:r w:rsidRPr="7B5FA450">
        <w:rPr>
          <w:rFonts w:ascii="Calibri" w:hAnsi="Calibri" w:eastAsia="Times New Roman" w:cs="Calibri"/>
          <w:color w:val="000000" w:themeColor="text1"/>
        </w:rPr>
        <w:t xml:space="preserve">. This may apply to </w:t>
      </w:r>
      <w:r w:rsidRPr="7B5FA450" w:rsidR="001E4E07">
        <w:rPr>
          <w:rFonts w:ascii="Calibri" w:hAnsi="Calibri" w:eastAsia="Times New Roman" w:cs="Calibri"/>
          <w:color w:val="000000" w:themeColor="text1"/>
        </w:rPr>
        <w:t xml:space="preserve">a variety of healthcare professionals </w:t>
      </w:r>
      <w:r w:rsidRPr="7B5FA450" w:rsidR="00C338BE">
        <w:rPr>
          <w:rFonts w:ascii="Calibri" w:hAnsi="Calibri" w:eastAsia="Times New Roman" w:cs="Calibri"/>
          <w:color w:val="000000" w:themeColor="text1"/>
        </w:rPr>
        <w:t xml:space="preserve">such as </w:t>
      </w:r>
      <w:r w:rsidRPr="7B5FA450">
        <w:rPr>
          <w:rFonts w:ascii="Calibri" w:hAnsi="Calibri" w:eastAsia="Times New Roman" w:cs="Calibri"/>
          <w:color w:val="000000" w:themeColor="text1"/>
        </w:rPr>
        <w:t xml:space="preserve">nurses, </w:t>
      </w:r>
      <w:r w:rsidRPr="7B5FA450" w:rsidR="001B02ED">
        <w:rPr>
          <w:rFonts w:ascii="Calibri" w:hAnsi="Calibri" w:eastAsia="Times New Roman" w:cs="Calibri"/>
          <w:color w:val="000000" w:themeColor="text1"/>
        </w:rPr>
        <w:t>certified nursing assistants (</w:t>
      </w:r>
      <w:r w:rsidRPr="7B5FA450">
        <w:rPr>
          <w:rFonts w:ascii="Calibri" w:hAnsi="Calibri" w:eastAsia="Times New Roman" w:cs="Calibri"/>
          <w:color w:val="000000" w:themeColor="text1"/>
        </w:rPr>
        <w:t>CNAs</w:t>
      </w:r>
      <w:r w:rsidRPr="7B5FA450" w:rsidR="001B02ED">
        <w:rPr>
          <w:rFonts w:ascii="Calibri" w:hAnsi="Calibri" w:eastAsia="Times New Roman" w:cs="Calibri"/>
          <w:color w:val="000000" w:themeColor="text1"/>
        </w:rPr>
        <w:t>)</w:t>
      </w:r>
      <w:r w:rsidRPr="7B5FA450">
        <w:rPr>
          <w:rFonts w:ascii="Calibri" w:hAnsi="Calibri" w:eastAsia="Times New Roman" w:cs="Calibri"/>
          <w:color w:val="000000" w:themeColor="text1"/>
        </w:rPr>
        <w:t xml:space="preserve">, medical technicians, medical assistants, </w:t>
      </w:r>
      <w:r w:rsidRPr="7B5FA450" w:rsidR="0078244C">
        <w:rPr>
          <w:rFonts w:ascii="Calibri" w:hAnsi="Calibri" w:eastAsia="Times New Roman" w:cs="Calibri"/>
          <w:color w:val="000000" w:themeColor="text1"/>
        </w:rPr>
        <w:t xml:space="preserve">EMTs, paramedics, </w:t>
      </w:r>
      <w:r w:rsidRPr="7B5FA450">
        <w:rPr>
          <w:rFonts w:ascii="Calibri" w:hAnsi="Calibri" w:eastAsia="Times New Roman" w:cs="Calibri"/>
          <w:color w:val="000000" w:themeColor="text1"/>
        </w:rPr>
        <w:t>and/or patient care associates.</w:t>
      </w:r>
      <w:r w:rsidRPr="7B5FA450" w:rsidR="08DDD6B0">
        <w:rPr>
          <w:rFonts w:ascii="Calibri" w:hAnsi="Calibri" w:eastAsia="Times New Roman" w:cs="Calibri"/>
          <w:color w:val="000000" w:themeColor="text1"/>
        </w:rPr>
        <w:t xml:space="preserve"> </w:t>
      </w:r>
      <w:r w:rsidR="00CE66B4">
        <w:rPr>
          <w:rFonts w:ascii="Calibri" w:hAnsi="Calibri" w:eastAsia="Times New Roman" w:cs="Calibri"/>
          <w:color w:val="000000" w:themeColor="text1"/>
        </w:rPr>
        <w:t>B</w:t>
      </w:r>
      <w:r w:rsidRPr="7B5FA450" w:rsidR="00C338BE">
        <w:rPr>
          <w:rFonts w:ascii="Calibri" w:hAnsi="Calibri" w:eastAsia="Times New Roman" w:cs="Calibri"/>
          <w:color w:val="000000" w:themeColor="text1"/>
        </w:rPr>
        <w:t>lood glucose monitoring</w:t>
      </w:r>
      <w:r w:rsidRPr="7B5FA450" w:rsidR="00236285">
        <w:rPr>
          <w:rFonts w:ascii="Calibri" w:hAnsi="Calibri" w:eastAsia="Times New Roman" w:cs="Calibri"/>
          <w:color w:val="000000" w:themeColor="text1"/>
        </w:rPr>
        <w:t xml:space="preserve"> should only be performed </w:t>
      </w:r>
      <w:r w:rsidRPr="7B5FA450" w:rsidR="002E6B96">
        <w:rPr>
          <w:rFonts w:ascii="Calibri" w:hAnsi="Calibri" w:eastAsia="Times New Roman" w:cs="Calibri"/>
          <w:color w:val="000000" w:themeColor="text1"/>
        </w:rPr>
        <w:t>if within an individual’s scope of practice.</w:t>
      </w:r>
    </w:p>
    <w:p w:rsidR="00AA58E6" w:rsidP="00AA58E6" w:rsidRDefault="00AA58E6" w14:paraId="39F0BD96" w14:textId="77777777">
      <w:pPr>
        <w:spacing w:after="160" w:line="240" w:lineRule="auto"/>
        <w:rPr>
          <w:rFonts w:ascii="Calibri" w:hAnsi="Calibri" w:eastAsia="Times New Roman" w:cs="Calibri"/>
        </w:rPr>
      </w:pPr>
      <w:r w:rsidRPr="1868A0F8">
        <w:rPr>
          <w:rFonts w:ascii="Calibri" w:hAnsi="Calibri" w:eastAsia="Times New Roman" w:cs="Calibri"/>
          <w:color w:val="000000" w:themeColor="text1"/>
        </w:rPr>
        <w:t> </w:t>
      </w:r>
    </w:p>
    <w:p w:rsidR="00AA58E6" w:rsidP="00AA58E6" w:rsidRDefault="00AA58E6" w14:paraId="63A5ECEC" w14:textId="77777777">
      <w:pPr>
        <w:pStyle w:val="Heading1"/>
        <w:spacing w:after="160"/>
        <w:rPr>
          <w:rFonts w:ascii="Calibri" w:hAnsi="Calibri" w:eastAsia="Times New Roman"/>
        </w:rPr>
      </w:pPr>
      <w:r w:rsidRPr="1868A0F8">
        <w:rPr>
          <w:rFonts w:eastAsia="Times New Roman"/>
        </w:rPr>
        <w:t>Policy  </w:t>
      </w:r>
    </w:p>
    <w:p w:rsidR="00AA58E6" w:rsidP="00B708E1" w:rsidRDefault="00D156B3" w14:paraId="6D1BFA00" w14:textId="5CF6F7AB">
      <w:pPr>
        <w:pStyle w:val="ListParagraph"/>
        <w:spacing w:after="160"/>
        <w:ind w:left="0"/>
        <w:rPr>
          <w:rStyle w:val="ui-provider"/>
        </w:rPr>
      </w:pPr>
      <w:r w:rsidRPr="0BB6ED04">
        <w:rPr>
          <w:rStyle w:val="ui-provider"/>
        </w:rPr>
        <w:t xml:space="preserve">All </w:t>
      </w:r>
      <w:r w:rsidR="00CB3E45">
        <w:rPr>
          <w:rStyle w:val="ui-provider"/>
        </w:rPr>
        <w:t xml:space="preserve">healthcare </w:t>
      </w:r>
      <w:r w:rsidR="006747E6">
        <w:rPr>
          <w:rStyle w:val="ui-provider"/>
        </w:rPr>
        <w:t>personnel</w:t>
      </w:r>
      <w:r w:rsidRPr="0BB6ED04" w:rsidR="00C223EE">
        <w:rPr>
          <w:rStyle w:val="ui-provider"/>
        </w:rPr>
        <w:t xml:space="preserve"> who perform</w:t>
      </w:r>
      <w:r w:rsidRPr="0BB6ED04">
        <w:rPr>
          <w:rStyle w:val="ui-provider"/>
        </w:rPr>
        <w:t xml:space="preserve"> </w:t>
      </w:r>
      <w:r w:rsidRPr="0BB6ED04" w:rsidR="00C223EE">
        <w:rPr>
          <w:rStyle w:val="ui-provider"/>
        </w:rPr>
        <w:t xml:space="preserve">assisted blood glucose monitoring </w:t>
      </w:r>
      <w:r w:rsidRPr="0BB6ED04">
        <w:rPr>
          <w:rStyle w:val="ui-provider"/>
        </w:rPr>
        <w:t xml:space="preserve">will </w:t>
      </w:r>
      <w:r w:rsidR="007559D8">
        <w:rPr>
          <w:rStyle w:val="ui-provider"/>
        </w:rPr>
        <w:t xml:space="preserve">follow </w:t>
      </w:r>
      <w:r w:rsidRPr="0BB6ED04">
        <w:rPr>
          <w:rStyle w:val="ui-provider"/>
        </w:rPr>
        <w:t>Centers for Disease Control and Prevention (CDC) recommendations for safe injection practices</w:t>
      </w:r>
      <w:r w:rsidRPr="0BB6ED04" w:rsidR="006C6F5C">
        <w:rPr>
          <w:rStyle w:val="ui-provider"/>
        </w:rPr>
        <w:t xml:space="preserve">, </w:t>
      </w:r>
      <w:r w:rsidRPr="0BB6ED04" w:rsidR="6075BFED">
        <w:rPr>
          <w:rStyle w:val="ui-provider"/>
        </w:rPr>
        <w:t xml:space="preserve">the Occupational Safety and </w:t>
      </w:r>
      <w:r w:rsidRPr="0BB6ED04" w:rsidR="6075BFED">
        <w:rPr>
          <w:rStyle w:val="ui-provider"/>
        </w:rPr>
        <w:lastRenderedPageBreak/>
        <w:t xml:space="preserve">Health Administration (OSHA) </w:t>
      </w:r>
      <w:r w:rsidRPr="0BB6ED04" w:rsidR="12D1AA79">
        <w:rPr>
          <w:rStyle w:val="ui-provider"/>
        </w:rPr>
        <w:t xml:space="preserve">Bloodborne Pathogen </w:t>
      </w:r>
      <w:r w:rsidRPr="0BB6ED04" w:rsidR="00A57C35">
        <w:rPr>
          <w:rStyle w:val="ui-provider"/>
        </w:rPr>
        <w:t>Standard</w:t>
      </w:r>
      <w:r w:rsidRPr="0BB6ED04" w:rsidR="006C6F5C">
        <w:rPr>
          <w:rStyle w:val="ui-provider"/>
        </w:rPr>
        <w:t xml:space="preserve">, and the </w:t>
      </w:r>
      <w:r w:rsidRPr="0BB6ED04" w:rsidR="005021E4">
        <w:rPr>
          <w:rStyle w:val="ui-provider"/>
        </w:rPr>
        <w:t xml:space="preserve">manufacturer’s </w:t>
      </w:r>
      <w:r w:rsidRPr="0BB6ED04" w:rsidR="006C6F5C">
        <w:rPr>
          <w:rStyle w:val="ui-provider"/>
        </w:rPr>
        <w:t xml:space="preserve">instructions for all </w:t>
      </w:r>
      <w:r w:rsidRPr="0BB6ED04" w:rsidR="005021E4">
        <w:rPr>
          <w:rStyle w:val="ui-provider"/>
        </w:rPr>
        <w:t xml:space="preserve">equipment and </w:t>
      </w:r>
      <w:r w:rsidRPr="0BB6ED04" w:rsidR="000A3797">
        <w:rPr>
          <w:rStyle w:val="ui-provider"/>
        </w:rPr>
        <w:t>supplies</w:t>
      </w:r>
      <w:r w:rsidRPr="0BB6ED04" w:rsidR="005021E4">
        <w:rPr>
          <w:rStyle w:val="ui-provider"/>
        </w:rPr>
        <w:t xml:space="preserve"> used during the procedure</w:t>
      </w:r>
      <w:r w:rsidRPr="0BB6ED04">
        <w:rPr>
          <w:rStyle w:val="ui-provider"/>
        </w:rPr>
        <w:t>.</w:t>
      </w:r>
    </w:p>
    <w:p w:rsidR="00D156B3" w:rsidP="00B708E1" w:rsidRDefault="00D156B3" w14:paraId="2862E72A" w14:textId="754B1065">
      <w:pPr>
        <w:pStyle w:val="ListParagraph"/>
        <w:spacing w:after="160"/>
        <w:ind w:left="0"/>
        <w:rPr>
          <w:rStyle w:val="ui-provider"/>
        </w:rPr>
      </w:pPr>
    </w:p>
    <w:p w:rsidR="00D156B3" w:rsidP="00B708E1" w:rsidRDefault="00D156B3" w14:paraId="5BC0E03C" w14:textId="7C7EC532">
      <w:pPr>
        <w:pStyle w:val="ListParagraph"/>
        <w:spacing w:after="160"/>
        <w:ind w:left="0"/>
      </w:pPr>
      <w:r w:rsidRPr="38E14795">
        <w:rPr>
          <w:rStyle w:val="ui-provider"/>
        </w:rPr>
        <w:t xml:space="preserve">All </w:t>
      </w:r>
      <w:r w:rsidR="00DD1292">
        <w:rPr>
          <w:rStyle w:val="ui-provider"/>
        </w:rPr>
        <w:t>healthcare personnel</w:t>
      </w:r>
      <w:r w:rsidRPr="38E14795">
        <w:rPr>
          <w:rStyle w:val="ui-provider"/>
        </w:rPr>
        <w:t xml:space="preserve"> pe</w:t>
      </w:r>
      <w:r w:rsidRPr="38E14795" w:rsidR="00FD510B">
        <w:rPr>
          <w:rStyle w:val="ui-provider"/>
        </w:rPr>
        <w:t>r</w:t>
      </w:r>
      <w:r w:rsidRPr="38E14795">
        <w:rPr>
          <w:rStyle w:val="ui-provider"/>
        </w:rPr>
        <w:t xml:space="preserve">forming testing are </w:t>
      </w:r>
      <w:r w:rsidRPr="38E14795" w:rsidR="04D3AE1C">
        <w:rPr>
          <w:rStyle w:val="ui-provider"/>
        </w:rPr>
        <w:t xml:space="preserve">provided training and </w:t>
      </w:r>
      <w:r w:rsidRPr="38E14795">
        <w:rPr>
          <w:rStyle w:val="ui-provider"/>
        </w:rPr>
        <w:t>directly observed for comp</w:t>
      </w:r>
      <w:r w:rsidRPr="38E14795" w:rsidR="00E26E94">
        <w:rPr>
          <w:rStyle w:val="ui-provider"/>
        </w:rPr>
        <w:t>etency</w:t>
      </w:r>
      <w:r w:rsidRPr="38E14795" w:rsidR="7349F8FC">
        <w:rPr>
          <w:rStyle w:val="ui-provider"/>
        </w:rPr>
        <w:t xml:space="preserve"> upon</w:t>
      </w:r>
      <w:r w:rsidRPr="38E14795" w:rsidR="00E26E94">
        <w:rPr>
          <w:rStyle w:val="ui-provider"/>
        </w:rPr>
        <w:t xml:space="preserve"> hire</w:t>
      </w:r>
      <w:r w:rsidRPr="38E14795" w:rsidR="00530E72">
        <w:rPr>
          <w:rStyle w:val="ui-provider"/>
        </w:rPr>
        <w:t>,</w:t>
      </w:r>
      <w:r w:rsidRPr="38E14795">
        <w:rPr>
          <w:rStyle w:val="ui-provider"/>
        </w:rPr>
        <w:t xml:space="preserve"> on an annual basis</w:t>
      </w:r>
      <w:r w:rsidRPr="38E14795" w:rsidR="00530E72">
        <w:rPr>
          <w:rStyle w:val="ui-provider"/>
        </w:rPr>
        <w:t>, and as needed (e.g., with policy changes, deviations in practice)</w:t>
      </w:r>
      <w:r w:rsidRPr="38E14795">
        <w:rPr>
          <w:rStyle w:val="ui-provider"/>
        </w:rPr>
        <w:t>.</w:t>
      </w:r>
    </w:p>
    <w:p w:rsidR="00AA58E6" w:rsidP="00AA58E6" w:rsidRDefault="00AA58E6" w14:paraId="6552D619" w14:textId="77777777">
      <w:pPr>
        <w:spacing w:after="160" w:line="240" w:lineRule="auto"/>
        <w:ind w:left="1080"/>
        <w:rPr>
          <w:rFonts w:ascii="Calibri" w:hAnsi="Calibri" w:eastAsia="Times New Roman" w:cs="Calibri"/>
        </w:rPr>
      </w:pPr>
    </w:p>
    <w:p w:rsidR="00AA58E6" w:rsidP="00AA58E6" w:rsidRDefault="40A88153" w14:paraId="35EC5FEA" w14:textId="48607E1B">
      <w:pPr>
        <w:pStyle w:val="Heading1"/>
        <w:spacing w:after="160"/>
        <w:rPr>
          <w:rFonts w:eastAsia="Times New Roman"/>
        </w:rPr>
      </w:pPr>
      <w:r w:rsidRPr="38E14795">
        <w:rPr>
          <w:rFonts w:eastAsia="Times New Roman"/>
        </w:rPr>
        <w:t xml:space="preserve">Performing </w:t>
      </w:r>
      <w:r w:rsidRPr="38E14795" w:rsidR="008D117D">
        <w:rPr>
          <w:rFonts w:eastAsia="Times New Roman"/>
        </w:rPr>
        <w:t>Assisted Blood Glucose Monitoring</w:t>
      </w:r>
    </w:p>
    <w:p w:rsidR="00CB03BB" w:rsidP="00CB03BB" w:rsidRDefault="00CB03BB" w14:paraId="182CD6F4" w14:textId="7582E998">
      <w:r>
        <w:t>Materials:</w:t>
      </w:r>
    </w:p>
    <w:p w:rsidR="00A622E0" w:rsidP="00CB03BB" w:rsidRDefault="00781962" w14:paraId="5C5DFA8C" w14:textId="6A1B6F13">
      <w:pPr>
        <w:pStyle w:val="ListParagraph"/>
        <w:numPr>
          <w:ilvl w:val="0"/>
          <w:numId w:val="2"/>
        </w:numPr>
      </w:pPr>
      <w:r>
        <w:t>Blood glucose meter</w:t>
      </w:r>
      <w:r w:rsidR="00BE1C1E">
        <w:t xml:space="preserve"> </w:t>
      </w:r>
    </w:p>
    <w:p w:rsidR="00CF1FAB" w:rsidP="38E14795" w:rsidRDefault="00CF1FAB" w14:paraId="72D186D2" w14:textId="671D3A74">
      <w:pPr>
        <w:pStyle w:val="ListParagraph"/>
        <w:numPr>
          <w:ilvl w:val="1"/>
          <w:numId w:val="2"/>
        </w:numPr>
        <w:rPr>
          <w:rStyle w:val="cf01"/>
          <w:rFonts w:asciiTheme="minorHAnsi" w:hAnsiTheme="minorHAnsi" w:cstheme="minorBidi"/>
          <w:i/>
          <w:iCs/>
          <w:sz w:val="22"/>
          <w:szCs w:val="22"/>
        </w:rPr>
      </w:pPr>
      <w:r w:rsidRPr="38E14795">
        <w:rPr>
          <w:i/>
          <w:iCs/>
        </w:rPr>
        <w:t xml:space="preserve">Note: </w:t>
      </w:r>
      <w:r w:rsidRPr="38E14795">
        <w:rPr>
          <w:rStyle w:val="cf01"/>
          <w:rFonts w:asciiTheme="minorHAnsi" w:hAnsiTheme="minorHAnsi" w:cstheme="minorBidi"/>
          <w:i/>
          <w:iCs/>
          <w:sz w:val="22"/>
          <w:szCs w:val="22"/>
        </w:rPr>
        <w:t xml:space="preserve">If possible, a blood glucose meter should be assigned to an individual person and not shared. If the manufacturer does not have instructions on how the device should be cleaned and disinfected, then it should not be </w:t>
      </w:r>
      <w:r w:rsidRPr="38E14795" w:rsidR="000E74E6">
        <w:rPr>
          <w:rStyle w:val="cf01"/>
          <w:rFonts w:asciiTheme="minorHAnsi" w:hAnsiTheme="minorHAnsi" w:cstheme="minorBidi"/>
          <w:i/>
          <w:iCs/>
          <w:sz w:val="22"/>
          <w:szCs w:val="22"/>
        </w:rPr>
        <w:t>shared.</w:t>
      </w:r>
    </w:p>
    <w:p w:rsidR="00CB03BB" w:rsidP="00CB03BB" w:rsidRDefault="00A622E0" w14:paraId="3A485A24" w14:textId="2527D639">
      <w:pPr>
        <w:pStyle w:val="ListParagraph"/>
        <w:numPr>
          <w:ilvl w:val="0"/>
          <w:numId w:val="2"/>
        </w:numPr>
      </w:pPr>
      <w:r>
        <w:t>T</w:t>
      </w:r>
      <w:r w:rsidR="00CB03BB">
        <w:t>est strips</w:t>
      </w:r>
    </w:p>
    <w:p w:rsidR="00CB03BB" w:rsidP="00CB03BB" w:rsidRDefault="00CB03BB" w14:paraId="2EEE5F49" w14:textId="55A75E4C">
      <w:pPr>
        <w:pStyle w:val="ListParagraph"/>
        <w:numPr>
          <w:ilvl w:val="0"/>
          <w:numId w:val="2"/>
        </w:numPr>
      </w:pPr>
      <w:r>
        <w:t xml:space="preserve">Single-use </w:t>
      </w:r>
      <w:r w:rsidR="006F3023">
        <w:t>safety</w:t>
      </w:r>
      <w:r>
        <w:t xml:space="preserve"> lancet </w:t>
      </w:r>
    </w:p>
    <w:p w:rsidR="007A0EA9" w:rsidP="00CB03BB" w:rsidRDefault="00FD1FEA" w14:paraId="43EADFE7" w14:textId="2F780359">
      <w:pPr>
        <w:pStyle w:val="ListParagraph"/>
        <w:numPr>
          <w:ilvl w:val="0"/>
          <w:numId w:val="2"/>
        </w:numPr>
      </w:pPr>
      <w:r>
        <w:t xml:space="preserve">Alcohol-based hand rub (at least </w:t>
      </w:r>
      <w:r w:rsidR="00D0169C">
        <w:t>6</w:t>
      </w:r>
      <w:r>
        <w:t>0% alcohol)</w:t>
      </w:r>
    </w:p>
    <w:p w:rsidR="00CB03BB" w:rsidP="00CB03BB" w:rsidRDefault="00CB03BB" w14:paraId="5BAF1D82" w14:textId="14434412">
      <w:pPr>
        <w:pStyle w:val="ListParagraph"/>
        <w:numPr>
          <w:ilvl w:val="0"/>
          <w:numId w:val="2"/>
        </w:numPr>
      </w:pPr>
      <w:r>
        <w:t xml:space="preserve">Alcohol </w:t>
      </w:r>
      <w:r w:rsidR="0B6CCDBF">
        <w:t>swab</w:t>
      </w:r>
    </w:p>
    <w:p w:rsidRPr="00936B24" w:rsidR="00936B24" w:rsidP="00936B24" w:rsidRDefault="00936B24" w14:paraId="1CE8BE5B" w14:textId="77777777">
      <w:pPr>
        <w:pStyle w:val="ListParagraph"/>
        <w:numPr>
          <w:ilvl w:val="0"/>
          <w:numId w:val="2"/>
        </w:numPr>
      </w:pPr>
      <w:r w:rsidRPr="00936B24">
        <w:t>Disposable latex-free gloves</w:t>
      </w:r>
    </w:p>
    <w:p w:rsidR="006D1314" w:rsidP="006D1314" w:rsidRDefault="00CB03BB" w14:paraId="6B246F29" w14:textId="30A45954">
      <w:pPr>
        <w:pStyle w:val="ListParagraph"/>
        <w:numPr>
          <w:ilvl w:val="0"/>
          <w:numId w:val="2"/>
        </w:numPr>
      </w:pPr>
      <w:r>
        <w:t>Gauze/</w:t>
      </w:r>
      <w:r w:rsidR="002D252C">
        <w:t>B</w:t>
      </w:r>
      <w:r w:rsidR="0063276A">
        <w:t>and</w:t>
      </w:r>
      <w:r w:rsidR="002D252C">
        <w:t>-A</w:t>
      </w:r>
      <w:r w:rsidR="0063276A">
        <w:t>id</w:t>
      </w:r>
    </w:p>
    <w:p w:rsidRPr="00256CB3" w:rsidR="00CB03BB" w:rsidP="00256CB3" w:rsidRDefault="004C2D6D" w14:paraId="3379B520" w14:textId="4CC63678">
      <w:pPr>
        <w:pStyle w:val="ListParagraph"/>
        <w:numPr>
          <w:ilvl w:val="0"/>
          <w:numId w:val="2"/>
        </w:numPr>
        <w:rPr>
          <w:rStyle w:val="eop"/>
        </w:rPr>
      </w:pPr>
      <w:r w:rsidRPr="006D1314">
        <w:rPr>
          <w:rStyle w:val="normaltextrun"/>
          <w:rFonts w:ascii="Calibri" w:hAnsi="Calibri" w:cs="Calibri"/>
          <w:color w:val="000000"/>
          <w:shd w:val="clear" w:color="auto" w:fill="FFFFFF"/>
        </w:rPr>
        <w:t>Disinfectant wipes (for disinfecting the blood glucose meter and the surface where the test is performed)</w:t>
      </w:r>
      <w:r w:rsidRPr="006D1314">
        <w:rPr>
          <w:rStyle w:val="eop"/>
          <w:rFonts w:ascii="Calibri" w:hAnsi="Calibri" w:cs="Calibri"/>
          <w:color w:val="000000"/>
          <w:shd w:val="clear" w:color="auto" w:fill="FFFFFF"/>
        </w:rPr>
        <w:t> </w:t>
      </w:r>
    </w:p>
    <w:p w:rsidR="00AA58E6" w:rsidP="00AA58E6" w:rsidRDefault="00AF3CC4" w14:paraId="48285DE3" w14:textId="10A20DD4">
      <w:pPr>
        <w:pStyle w:val="Heading2"/>
        <w:spacing w:after="160"/>
        <w:rPr>
          <w:rFonts w:eastAsia="Times New Roman"/>
        </w:rPr>
      </w:pPr>
      <w:r w:rsidRPr="38E14795">
        <w:rPr>
          <w:rFonts w:eastAsia="Times New Roman"/>
        </w:rPr>
        <w:t xml:space="preserve">Follow these steps to perform </w:t>
      </w:r>
      <w:r w:rsidRPr="38E14795" w:rsidR="00CF1A79">
        <w:rPr>
          <w:rFonts w:eastAsia="Times New Roman"/>
        </w:rPr>
        <w:t>assisted blood glucose monitoring</w:t>
      </w:r>
      <w:r w:rsidRPr="38E14795">
        <w:rPr>
          <w:rFonts w:eastAsia="Times New Roman"/>
        </w:rPr>
        <w:t xml:space="preserve"> </w:t>
      </w:r>
      <w:r w:rsidR="000E74E6">
        <w:rPr>
          <w:rFonts w:eastAsia="Times New Roman"/>
        </w:rPr>
        <w:t>safely</w:t>
      </w:r>
    </w:p>
    <w:p w:rsidR="00955FD6" w:rsidP="004B7BE1" w:rsidRDefault="009720E5" w14:paraId="6A522495" w14:textId="7B5C6FE3">
      <w:pPr>
        <w:pStyle w:val="ListParagraph"/>
        <w:numPr>
          <w:ilvl w:val="0"/>
          <w:numId w:val="5"/>
        </w:numPr>
        <w:spacing w:after="160"/>
      </w:pPr>
      <w:r w:rsidRPr="009720E5">
        <w:t xml:space="preserve">Store, </w:t>
      </w:r>
      <w:r w:rsidRPr="009720E5" w:rsidR="000E74E6">
        <w:t>keep</w:t>
      </w:r>
      <w:r w:rsidRPr="009720E5">
        <w:t xml:space="preserve">, and use all equipment (e.g., blood glucose meter, test strips, controls) as instructed by the </w:t>
      </w:r>
      <w:r w:rsidRPr="009720E5" w:rsidR="004301C7">
        <w:t>manufacturer.</w:t>
      </w:r>
    </w:p>
    <w:p w:rsidR="00B37E99" w:rsidP="004B7BE1" w:rsidRDefault="00B37E99" w14:paraId="4809ECB2" w14:textId="2AA3D5E9">
      <w:pPr>
        <w:pStyle w:val="ListParagraph"/>
        <w:numPr>
          <w:ilvl w:val="0"/>
          <w:numId w:val="5"/>
        </w:numPr>
        <w:spacing w:after="160"/>
      </w:pPr>
      <w:r>
        <w:t>Collect materials needed to perform the procedure</w:t>
      </w:r>
      <w:r w:rsidR="00C76A54">
        <w:t>.</w:t>
      </w:r>
    </w:p>
    <w:p w:rsidRPr="006E3005" w:rsidR="00543F8B" w:rsidP="004B7BE1" w:rsidRDefault="00C3175F" w14:paraId="1CD17AC6" w14:textId="223B5238">
      <w:pPr>
        <w:pStyle w:val="ListParagraph"/>
        <w:numPr>
          <w:ilvl w:val="1"/>
          <w:numId w:val="5"/>
        </w:numPr>
        <w:spacing w:after="160"/>
        <w:rPr>
          <w:rStyle w:val="normaltextrun"/>
        </w:rPr>
      </w:pPr>
      <w:r>
        <w:t xml:space="preserve">Note: If it is </w:t>
      </w:r>
      <w:r w:rsidR="004301C7">
        <w:t>not known</w:t>
      </w:r>
      <w:r>
        <w:t xml:space="preserve"> whether the blood glucose meter has been cleaned or is potentially contaminated from storage, clean according to manufacturer’s instructions for use</w:t>
      </w:r>
      <w:r w:rsidR="00543F8B">
        <w:t>. I</w:t>
      </w:r>
      <w:r w:rsidRPr="38E14795" w:rsidR="00543F8B">
        <w:rPr>
          <w:rStyle w:val="normaltextrun"/>
          <w:rFonts w:ascii="Calibri" w:hAnsi="Calibri" w:cs="Calibri"/>
          <w:color w:val="000000" w:themeColor="text1"/>
        </w:rPr>
        <w:t>f no instructions are provided</w:t>
      </w:r>
      <w:r w:rsidR="00387F78">
        <w:rPr>
          <w:rStyle w:val="normaltextrun"/>
          <w:rFonts w:ascii="Calibri" w:hAnsi="Calibri" w:cs="Calibri"/>
          <w:color w:val="000000" w:themeColor="text1"/>
        </w:rPr>
        <w:t>,</w:t>
      </w:r>
      <w:r w:rsidRPr="38E14795" w:rsidR="00543F8B">
        <w:rPr>
          <w:rStyle w:val="normaltextrun"/>
          <w:rFonts w:ascii="Calibri" w:hAnsi="Calibri" w:cs="Calibri"/>
          <w:color w:val="000000" w:themeColor="text1"/>
        </w:rPr>
        <w:t xml:space="preserve"> then the device should not be shared. </w:t>
      </w:r>
    </w:p>
    <w:p w:rsidR="006E3005" w:rsidP="004B7BE1" w:rsidRDefault="006E3005" w14:paraId="2743DD98" w14:textId="149321D1">
      <w:pPr>
        <w:pStyle w:val="ListParagraph"/>
        <w:numPr>
          <w:ilvl w:val="1"/>
          <w:numId w:val="5"/>
        </w:numPr>
        <w:spacing w:after="160"/>
        <w:rPr>
          <w:rStyle w:val="normaltextrun"/>
        </w:rPr>
      </w:pPr>
      <w:r w:rsidRPr="006E3005">
        <w:rPr>
          <w:rStyle w:val="normaltextrun"/>
        </w:rPr>
        <w:t>Verif</w:t>
      </w:r>
      <w:r>
        <w:rPr>
          <w:rStyle w:val="normaltextrun"/>
        </w:rPr>
        <w:t>y</w:t>
      </w:r>
      <w:r w:rsidRPr="006E3005">
        <w:rPr>
          <w:rStyle w:val="normaltextrun"/>
        </w:rPr>
        <w:t xml:space="preserve"> expiration dates of test strips and </w:t>
      </w:r>
      <w:r w:rsidRPr="006E3005" w:rsidR="004301C7">
        <w:rPr>
          <w:rStyle w:val="normaltextrun"/>
        </w:rPr>
        <w:t>controls.</w:t>
      </w:r>
    </w:p>
    <w:p w:rsidRPr="00256CB3" w:rsidR="00686ADD" w:rsidP="004B7BE1" w:rsidRDefault="00686ADD" w14:paraId="6E97B04B" w14:textId="1E11F748">
      <w:pPr>
        <w:pStyle w:val="ListParagraph"/>
        <w:numPr>
          <w:ilvl w:val="1"/>
          <w:numId w:val="5"/>
        </w:numPr>
        <w:spacing w:after="160"/>
        <w:rPr>
          <w:rStyle w:val="normaltextrun"/>
        </w:rPr>
      </w:pPr>
      <w:r w:rsidRPr="00686ADD">
        <w:rPr>
          <w:rStyle w:val="normaltextrun"/>
        </w:rPr>
        <w:t>Perform quality controls</w:t>
      </w:r>
      <w:r>
        <w:rPr>
          <w:rStyle w:val="normaltextrun"/>
        </w:rPr>
        <w:t xml:space="preserve"> as </w:t>
      </w:r>
      <w:r w:rsidR="004301C7">
        <w:rPr>
          <w:rStyle w:val="normaltextrun"/>
        </w:rPr>
        <w:t>needed.</w:t>
      </w:r>
    </w:p>
    <w:p w:rsidR="005A03DE" w:rsidP="004B7BE1" w:rsidRDefault="008C226C" w14:paraId="6F0186C7" w14:textId="77777777">
      <w:pPr>
        <w:pStyle w:val="ListParagraph"/>
        <w:numPr>
          <w:ilvl w:val="0"/>
          <w:numId w:val="5"/>
        </w:numPr>
        <w:spacing w:after="160"/>
      </w:pPr>
      <w:r>
        <w:t>Take items</w:t>
      </w:r>
      <w:r w:rsidR="007C7711">
        <w:t xml:space="preserve"> to the patient</w:t>
      </w:r>
      <w:r w:rsidR="00EE6B0B">
        <w:t>/resident</w:t>
      </w:r>
      <w:r w:rsidR="007C7711">
        <w:t>’s room or to a desig</w:t>
      </w:r>
      <w:r w:rsidR="009578E8">
        <w:t xml:space="preserve">nated procedure area. Do not </w:t>
      </w:r>
      <w:r w:rsidR="00AC6EEC">
        <w:t>carry supplies in pockets.</w:t>
      </w:r>
      <w:r w:rsidR="006D1314">
        <w:t xml:space="preserve"> </w:t>
      </w:r>
    </w:p>
    <w:p w:rsidR="00782922" w:rsidP="004B7BE1" w:rsidRDefault="00782922" w14:paraId="4C15E58E" w14:textId="10C19F1B">
      <w:pPr>
        <w:pStyle w:val="ListParagraph"/>
        <w:numPr>
          <w:ilvl w:val="0"/>
          <w:numId w:val="5"/>
        </w:numPr>
        <w:spacing w:after="160"/>
      </w:pPr>
      <w:r>
        <w:t>Perform</w:t>
      </w:r>
      <w:r w:rsidR="00B12536">
        <w:t xml:space="preserve"> appropriate</w:t>
      </w:r>
      <w:r>
        <w:t xml:space="preserve"> hand hygiene</w:t>
      </w:r>
      <w:r w:rsidR="002B763A">
        <w:t>.</w:t>
      </w:r>
    </w:p>
    <w:p w:rsidR="00307898" w:rsidP="004B7BE1" w:rsidRDefault="00447911" w14:paraId="1A83FF8D" w14:textId="3AB025BA">
      <w:pPr>
        <w:pStyle w:val="ListParagraph"/>
        <w:numPr>
          <w:ilvl w:val="0"/>
          <w:numId w:val="5"/>
        </w:numPr>
        <w:spacing w:after="160"/>
      </w:pPr>
      <w:r>
        <w:t xml:space="preserve">Identify the </w:t>
      </w:r>
      <w:r w:rsidRPr="00447911">
        <w:t>patient/resident and</w:t>
      </w:r>
      <w:r>
        <w:t xml:space="preserve"> check</w:t>
      </w:r>
      <w:r w:rsidRPr="00447911">
        <w:t xml:space="preserve"> test orders (if applicable) according to the facility </w:t>
      </w:r>
      <w:r w:rsidRPr="00447911" w:rsidR="004301C7">
        <w:t>policy.</w:t>
      </w:r>
      <w:r>
        <w:t xml:space="preserve"> </w:t>
      </w:r>
    </w:p>
    <w:p w:rsidR="00AF3CC4" w:rsidP="004B7BE1" w:rsidRDefault="00C3175F" w14:paraId="61E5D968" w14:textId="75082C96">
      <w:pPr>
        <w:pStyle w:val="ListParagraph"/>
        <w:numPr>
          <w:ilvl w:val="0"/>
          <w:numId w:val="5"/>
        </w:numPr>
        <w:spacing w:after="160"/>
      </w:pPr>
      <w:r>
        <w:t>Place supplies on a clean, solid surface</w:t>
      </w:r>
      <w:r w:rsidR="002B763A">
        <w:t>.</w:t>
      </w:r>
      <w:r w:rsidRPr="00E410E3" w:rsidR="00E410E3">
        <w:rPr>
          <w:rStyle w:val="normaltextrun"/>
          <w:rFonts w:ascii="Calibri" w:hAnsi="Calibri" w:cs="Calibri"/>
          <w:color w:val="000000" w:themeColor="text1"/>
        </w:rPr>
        <w:t xml:space="preserve"> </w:t>
      </w:r>
      <w:r w:rsidRPr="38E14795" w:rsidR="00E410E3">
        <w:rPr>
          <w:rStyle w:val="normaltextrun"/>
          <w:rFonts w:ascii="Calibri" w:hAnsi="Calibri" w:cs="Calibri"/>
          <w:color w:val="000000" w:themeColor="text1"/>
        </w:rPr>
        <w:t>Testing should occur on a clean surface; a clean barrier can be used.</w:t>
      </w:r>
      <w:r w:rsidR="00E410E3">
        <w:t xml:space="preserve"> </w:t>
      </w:r>
    </w:p>
    <w:p w:rsidR="00CB03BB" w:rsidP="004B7BE1" w:rsidRDefault="00D243F9" w14:paraId="4F874C18" w14:textId="2A9C9F88">
      <w:pPr>
        <w:pStyle w:val="ListParagraph"/>
        <w:numPr>
          <w:ilvl w:val="0"/>
          <w:numId w:val="5"/>
        </w:numPr>
        <w:spacing w:after="160"/>
      </w:pPr>
      <w:r>
        <w:t>Put on</w:t>
      </w:r>
      <w:r w:rsidR="00CB03BB">
        <w:t xml:space="preserve"> gloves</w:t>
      </w:r>
      <w:r w:rsidR="006C6F06">
        <w:t>.</w:t>
      </w:r>
      <w:r w:rsidR="00CB03BB">
        <w:t xml:space="preserve"> </w:t>
      </w:r>
    </w:p>
    <w:p w:rsidR="00AF3CC4" w:rsidP="004B7BE1" w:rsidRDefault="7EE4EBA1" w14:paraId="71E888C1" w14:textId="08D1DE02">
      <w:pPr>
        <w:pStyle w:val="ListParagraph"/>
        <w:numPr>
          <w:ilvl w:val="0"/>
          <w:numId w:val="5"/>
        </w:numPr>
        <w:spacing w:after="160"/>
      </w:pPr>
      <w:r>
        <w:t xml:space="preserve">Load </w:t>
      </w:r>
      <w:r w:rsidR="005D2B41">
        <w:t xml:space="preserve">a </w:t>
      </w:r>
      <w:r>
        <w:t xml:space="preserve">clean </w:t>
      </w:r>
      <w:r w:rsidR="45966101">
        <w:t>test strip into the meter</w:t>
      </w:r>
      <w:r w:rsidR="006C6F06">
        <w:t>.</w:t>
      </w:r>
    </w:p>
    <w:p w:rsidR="00C56A59" w:rsidP="004B7BE1" w:rsidRDefault="00C56A59" w14:paraId="78F76B67" w14:textId="13D67DC8">
      <w:pPr>
        <w:pStyle w:val="ListParagraph"/>
        <w:numPr>
          <w:ilvl w:val="0"/>
          <w:numId w:val="5"/>
        </w:numPr>
        <w:spacing w:after="160"/>
      </w:pPr>
      <w:r>
        <w:t xml:space="preserve">Select a </w:t>
      </w:r>
      <w:r w:rsidR="00652625">
        <w:t>puncture site (e.g., finger)</w:t>
      </w:r>
      <w:r>
        <w:t xml:space="preserve"> using site rotation principles</w:t>
      </w:r>
      <w:r w:rsidR="006C6F06">
        <w:t>.</w:t>
      </w:r>
    </w:p>
    <w:p w:rsidR="002740C7" w:rsidP="004B7BE1" w:rsidRDefault="00FB1122" w14:paraId="20B09FAB" w14:textId="397CE8DF">
      <w:pPr>
        <w:pStyle w:val="ListParagraph"/>
        <w:numPr>
          <w:ilvl w:val="0"/>
          <w:numId w:val="5"/>
        </w:numPr>
        <w:spacing w:after="160"/>
      </w:pPr>
      <w:r>
        <w:t>Clean the patient/resident’</w:t>
      </w:r>
      <w:r w:rsidR="008A1866">
        <w:t>s</w:t>
      </w:r>
      <w:r w:rsidR="00652625">
        <w:t xml:space="preserve"> skin with an alcohol swab. </w:t>
      </w:r>
      <w:r w:rsidR="008A1866">
        <w:t xml:space="preserve"> </w:t>
      </w:r>
      <w:r w:rsidR="00BC0E00">
        <w:t>A</w:t>
      </w:r>
      <w:r w:rsidR="00E12D52">
        <w:t>llow skin to air dry</w:t>
      </w:r>
      <w:r w:rsidR="00BC0E00">
        <w:t xml:space="preserve">; do not blow </w:t>
      </w:r>
      <w:r w:rsidR="00247930">
        <w:t>on the site</w:t>
      </w:r>
      <w:r w:rsidDel="7EE4EBA1" w:rsidR="7EE4EBA1">
        <w:t>.</w:t>
      </w:r>
    </w:p>
    <w:p w:rsidR="002740C7" w:rsidP="004B7BE1" w:rsidRDefault="006A0ABE" w14:paraId="77B2A63F" w14:textId="21456408">
      <w:pPr>
        <w:pStyle w:val="ListParagraph"/>
        <w:numPr>
          <w:ilvl w:val="0"/>
          <w:numId w:val="5"/>
        </w:numPr>
        <w:spacing w:after="160"/>
      </w:pPr>
      <w:r>
        <w:lastRenderedPageBreak/>
        <w:t>Perform the stick</w:t>
      </w:r>
      <w:r w:rsidR="00BA7ADE">
        <w:t>, using a new, single-use safety lancet,</w:t>
      </w:r>
      <w:r w:rsidR="00247930">
        <w:t xml:space="preserve"> on the selected </w:t>
      </w:r>
      <w:r w:rsidR="00E2047C">
        <w:t>fingert</w:t>
      </w:r>
      <w:r w:rsidR="007F1961">
        <w:t xml:space="preserve">ip </w:t>
      </w:r>
      <w:r>
        <w:t>(do not milk the finger)</w:t>
      </w:r>
      <w:r w:rsidR="00B35B6E">
        <w:t>.</w:t>
      </w:r>
    </w:p>
    <w:p w:rsidR="00C34022" w:rsidP="004B7BE1" w:rsidRDefault="00C34022" w14:paraId="0F8FEF76" w14:textId="656865A3">
      <w:pPr>
        <w:pStyle w:val="ListParagraph"/>
        <w:numPr>
          <w:ilvl w:val="0"/>
          <w:numId w:val="5"/>
        </w:numPr>
        <w:spacing w:after="160"/>
      </w:pPr>
      <w:r>
        <w:t>Place blood droplet on testing strip</w:t>
      </w:r>
      <w:r w:rsidR="00B35B6E">
        <w:t>.</w:t>
      </w:r>
    </w:p>
    <w:p w:rsidR="00CE3F46" w:rsidP="004B7BE1" w:rsidRDefault="00CE3F46" w14:paraId="5D8DA888" w14:textId="3D93D5FE">
      <w:pPr>
        <w:pStyle w:val="ListParagraph"/>
        <w:numPr>
          <w:ilvl w:val="0"/>
          <w:numId w:val="5"/>
        </w:numPr>
        <w:spacing w:after="160"/>
      </w:pPr>
      <w:r w:rsidRPr="00CE3F46">
        <w:t>Appl</w:t>
      </w:r>
      <w:r>
        <w:t>y</w:t>
      </w:r>
      <w:r w:rsidRPr="00CE3F46">
        <w:t xml:space="preserve"> pressure on the puncture site with gauze</w:t>
      </w:r>
      <w:r w:rsidR="004A48FE">
        <w:t xml:space="preserve"> or provides patient/resident with sterile gauze/bandage </w:t>
      </w:r>
      <w:r w:rsidRPr="00CE3F46">
        <w:t>to ensure bleeding has stopped (</w:t>
      </w:r>
      <w:r w:rsidR="004A48FE">
        <w:t>do</w:t>
      </w:r>
      <w:r w:rsidRPr="00CE3F46">
        <w:t xml:space="preserve"> not wipe the site with an alcohol swab) </w:t>
      </w:r>
    </w:p>
    <w:p w:rsidR="00600A46" w:rsidP="004B7BE1" w:rsidRDefault="00600A46" w14:paraId="5C0FFED2" w14:textId="77777777">
      <w:pPr>
        <w:pStyle w:val="ListParagraph"/>
        <w:numPr>
          <w:ilvl w:val="0"/>
          <w:numId w:val="5"/>
        </w:numPr>
        <w:spacing w:after="160"/>
      </w:pPr>
      <w:r>
        <w:t xml:space="preserve">Dispose used lancet in a </w:t>
      </w:r>
      <w:proofErr w:type="gramStart"/>
      <w:r>
        <w:t>sharps</w:t>
      </w:r>
      <w:proofErr w:type="gramEnd"/>
      <w:r>
        <w:t xml:space="preserve"> container. Dispose used gauze and alcohol wipe in a waste container.</w:t>
      </w:r>
    </w:p>
    <w:p w:rsidR="00924F52" w:rsidP="004B7BE1" w:rsidRDefault="004A48FE" w14:paraId="2B2E848A" w14:textId="4652BEE3">
      <w:pPr>
        <w:pStyle w:val="ListParagraph"/>
        <w:numPr>
          <w:ilvl w:val="0"/>
          <w:numId w:val="5"/>
        </w:numPr>
        <w:spacing w:after="160"/>
      </w:pPr>
      <w:r>
        <w:t>Remove</w:t>
      </w:r>
      <w:r w:rsidR="00265107">
        <w:t xml:space="preserve"> and discard</w:t>
      </w:r>
      <w:r w:rsidR="2DE891DC">
        <w:t xml:space="preserve"> gloves and perform </w:t>
      </w:r>
      <w:r w:rsidR="00E355AB">
        <w:t xml:space="preserve">appropriate </w:t>
      </w:r>
      <w:r w:rsidR="2DE891DC">
        <w:t>hand hygiene</w:t>
      </w:r>
      <w:r w:rsidR="00924F52">
        <w:t>.</w:t>
      </w:r>
    </w:p>
    <w:p w:rsidR="002740C7" w:rsidP="004B7BE1" w:rsidRDefault="00265107" w14:paraId="13E7862C" w14:textId="042C3B39">
      <w:pPr>
        <w:pStyle w:val="ListParagraph"/>
        <w:numPr>
          <w:ilvl w:val="0"/>
          <w:numId w:val="5"/>
        </w:numPr>
        <w:spacing w:after="160"/>
      </w:pPr>
      <w:r>
        <w:t>Put</w:t>
      </w:r>
      <w:r w:rsidR="00924F52">
        <w:t xml:space="preserve"> </w:t>
      </w:r>
      <w:r w:rsidR="00492EB5">
        <w:t>on</w:t>
      </w:r>
      <w:r w:rsidR="2DE891DC">
        <w:t xml:space="preserve"> new gloves</w:t>
      </w:r>
      <w:r w:rsidR="00924F52">
        <w:t xml:space="preserve"> </w:t>
      </w:r>
      <w:r>
        <w:t>to</w:t>
      </w:r>
      <w:r w:rsidR="00924F52">
        <w:t xml:space="preserve"> c</w:t>
      </w:r>
      <w:r w:rsidR="7EE4EBA1">
        <w:t xml:space="preserve">lean and disinfect the </w:t>
      </w:r>
      <w:r w:rsidR="00B731DD">
        <w:t>blood glucose meter</w:t>
      </w:r>
      <w:r w:rsidR="43A6428E">
        <w:t xml:space="preserve"> </w:t>
      </w:r>
      <w:r w:rsidR="7EE4EBA1">
        <w:t>according to manufacturer’s instructions for use</w:t>
      </w:r>
      <w:r w:rsidR="001824AF">
        <w:t>.</w:t>
      </w:r>
    </w:p>
    <w:p w:rsidR="00B731DD" w:rsidP="004B7BE1" w:rsidRDefault="00B731DD" w14:paraId="1B3666CC" w14:textId="5199EFA1">
      <w:pPr>
        <w:pStyle w:val="ListParagraph"/>
        <w:numPr>
          <w:ilvl w:val="0"/>
          <w:numId w:val="5"/>
        </w:numPr>
        <w:spacing w:after="160"/>
      </w:pPr>
      <w:r>
        <w:t>Clean any other surfaces that could possibly have been contaminated, either by the patient/resident and their blood or by used equipment</w:t>
      </w:r>
      <w:r w:rsidR="001824AF">
        <w:t>.</w:t>
      </w:r>
    </w:p>
    <w:p w:rsidR="00CB03BB" w:rsidP="004B7BE1" w:rsidRDefault="2DE891DC" w14:paraId="54D6C08B" w14:textId="7A3937F5">
      <w:pPr>
        <w:pStyle w:val="ListParagraph"/>
        <w:numPr>
          <w:ilvl w:val="0"/>
          <w:numId w:val="5"/>
        </w:numPr>
        <w:spacing w:after="160"/>
      </w:pPr>
      <w:r>
        <w:t>Remove gloves and perform hand hygiene</w:t>
      </w:r>
      <w:r w:rsidR="001824AF">
        <w:t>.</w:t>
      </w:r>
    </w:p>
    <w:p w:rsidR="002740C7" w:rsidP="004B7BE1" w:rsidRDefault="7EE4EBA1" w14:paraId="1F8669B6" w14:textId="011AF0BD">
      <w:pPr>
        <w:pStyle w:val="ListParagraph"/>
        <w:numPr>
          <w:ilvl w:val="0"/>
          <w:numId w:val="5"/>
        </w:numPr>
        <w:spacing w:after="160"/>
      </w:pPr>
      <w:r>
        <w:t xml:space="preserve">Store </w:t>
      </w:r>
      <w:r w:rsidR="004E6141">
        <w:t xml:space="preserve">the </w:t>
      </w:r>
      <w:r w:rsidR="00CF1FAB">
        <w:t>blood glucose meter</w:t>
      </w:r>
      <w:r w:rsidR="43A6428E">
        <w:t xml:space="preserve"> </w:t>
      </w:r>
      <w:r>
        <w:t>in a clean, dry space according to manufacturer’s instructions for use</w:t>
      </w:r>
      <w:r w:rsidDel="7EE4EBA1">
        <w:t>.</w:t>
      </w:r>
    </w:p>
    <w:p w:rsidRPr="00AF3CC4" w:rsidR="005E1F7B" w:rsidP="004B7BE1" w:rsidRDefault="008F4890" w14:paraId="13D05BCD" w14:textId="6A515644">
      <w:pPr>
        <w:pStyle w:val="ListParagraph"/>
        <w:numPr>
          <w:ilvl w:val="0"/>
          <w:numId w:val="5"/>
        </w:numPr>
        <w:spacing w:after="160"/>
      </w:pPr>
      <w:r>
        <w:t xml:space="preserve">Record and take </w:t>
      </w:r>
      <w:r w:rsidR="000E74E6">
        <w:t>proper action</w:t>
      </w:r>
      <w:r w:rsidR="00447771">
        <w:t xml:space="preserve"> for</w:t>
      </w:r>
      <w:r w:rsidR="00E2155F">
        <w:t xml:space="preserve"> blood glucose results</w:t>
      </w:r>
      <w:r w:rsidR="00CA15F1">
        <w:t>, according to facility policy</w:t>
      </w:r>
      <w:r w:rsidR="00E2155F">
        <w:t>.</w:t>
      </w:r>
    </w:p>
    <w:p w:rsidR="00AA58E6" w:rsidP="00AA58E6" w:rsidRDefault="00AA58E6" w14:paraId="49551A43" w14:textId="77777777">
      <w:pPr>
        <w:spacing w:after="160" w:line="240" w:lineRule="auto"/>
        <w:ind w:left="1080"/>
        <w:rPr>
          <w:rFonts w:ascii="Arial" w:hAnsi="Arial" w:eastAsia="Times New Roman" w:cs="Arial"/>
        </w:rPr>
      </w:pPr>
    </w:p>
    <w:p w:rsidR="00AA58E6" w:rsidP="00AA58E6" w:rsidRDefault="00AA58E6" w14:paraId="60DD57D3" w14:textId="513EA596">
      <w:pPr>
        <w:pStyle w:val="Heading1"/>
        <w:spacing w:after="160"/>
        <w:rPr>
          <w:rFonts w:ascii="Calibri" w:hAnsi="Calibri" w:eastAsia="Times New Roman"/>
        </w:rPr>
      </w:pPr>
      <w:r w:rsidRPr="7B5FA450">
        <w:rPr>
          <w:rFonts w:eastAsia="Times New Roman"/>
        </w:rPr>
        <w:t>Guidelines and</w:t>
      </w:r>
      <w:r w:rsidRPr="7B5FA450" w:rsidR="0078244C">
        <w:rPr>
          <w:rFonts w:eastAsia="Times New Roman"/>
        </w:rPr>
        <w:t xml:space="preserve"> Resources </w:t>
      </w:r>
      <w:r w:rsidRPr="7B5FA450">
        <w:rPr>
          <w:rFonts w:eastAsia="Times New Roman"/>
        </w:rPr>
        <w:t>  </w:t>
      </w:r>
    </w:p>
    <w:p w:rsidR="004D0F6A" w:rsidP="00256CB3" w:rsidRDefault="004D0F6A" w14:paraId="404C7623" w14:textId="77777777">
      <w:pPr>
        <w:pStyle w:val="ListParagraph"/>
        <w:numPr>
          <w:ilvl w:val="0"/>
          <w:numId w:val="1"/>
        </w:numPr>
        <w:spacing w:after="0"/>
      </w:pPr>
      <w:r>
        <w:t>Infection Prevention</w:t>
      </w:r>
    </w:p>
    <w:p w:rsidR="00AA58E6" w:rsidP="004D0F6A" w:rsidRDefault="00BF2521" w14:paraId="267F318A" w14:textId="135FD5E7">
      <w:pPr>
        <w:pStyle w:val="ListParagraph"/>
        <w:numPr>
          <w:ilvl w:val="1"/>
          <w:numId w:val="1"/>
        </w:numPr>
        <w:spacing w:after="0"/>
        <w:rPr/>
      </w:pPr>
      <w:r w:rsidR="00BF2521">
        <w:rPr/>
        <w:t>Centers for Disease Control and Prevention</w:t>
      </w:r>
      <w:r w:rsidR="35CF3CA5">
        <w:rPr/>
        <w:t xml:space="preserve"> – Considerations for Blood Glucose Monitoring and Insulin Administration</w:t>
      </w:r>
      <w:r w:rsidR="52B932E3">
        <w:rPr/>
        <w:t>:</w:t>
      </w:r>
      <w:r w:rsidR="53A7987B">
        <w:rPr/>
        <w:t xml:space="preserve"> </w:t>
      </w:r>
      <w:hyperlink r:id="Re4365668f7744505">
        <w:r w:rsidRPr="4F20C7DA" w:rsidR="53A7987B">
          <w:rPr>
            <w:rStyle w:val="Hyperlink"/>
          </w:rPr>
          <w:t>https://www.cdc.gov/injection-safety/hcp/infection-control</w:t>
        </w:r>
      </w:hyperlink>
    </w:p>
    <w:p w:rsidR="6B088A1D" w:rsidP="69BEAC44" w:rsidRDefault="00AB3EFD" w14:paraId="5194D2A8" w14:textId="0F34DE26">
      <w:pPr>
        <w:pStyle w:val="ListParagraph"/>
        <w:numPr>
          <w:ilvl w:val="0"/>
          <w:numId w:val="1"/>
        </w:numPr>
        <w:spacing w:after="0"/>
      </w:pPr>
      <w:r>
        <w:t>Testing</w:t>
      </w:r>
    </w:p>
    <w:p w:rsidR="005F728D" w:rsidP="0BB6ED04" w:rsidRDefault="00C53996" w14:paraId="11631698" w14:textId="714F98DE">
      <w:pPr>
        <w:pStyle w:val="ListParagraph"/>
        <w:numPr>
          <w:ilvl w:val="1"/>
          <w:numId w:val="1"/>
        </w:numPr>
        <w:spacing w:after="0"/>
        <w:rPr>
          <w:rStyle w:val="Hyperlink"/>
        </w:rPr>
      </w:pPr>
      <w:r>
        <w:t>Laboratory Quality – Waived Testing:</w:t>
      </w:r>
      <w:r w:rsidR="02154684">
        <w:t xml:space="preserve"> </w:t>
      </w:r>
      <w:hyperlink w:history="1" r:id="rId11">
        <w:r w:rsidRPr="0BB6ED04" w:rsidR="02154684">
          <w:rPr>
            <w:rStyle w:val="Hyperlink"/>
          </w:rPr>
          <w:t>https://www.cdc.gov/labquality/waived-tests.html</w:t>
        </w:r>
      </w:hyperlink>
    </w:p>
    <w:p w:rsidR="69BEAC44" w:rsidP="00AB3EFD" w:rsidRDefault="0880FCE7" w14:paraId="42E23190" w14:textId="3996FDA8">
      <w:pPr>
        <w:pStyle w:val="ListParagraph"/>
        <w:numPr>
          <w:ilvl w:val="1"/>
          <w:numId w:val="1"/>
        </w:numPr>
        <w:spacing w:after="0"/>
      </w:pPr>
      <w:r w:rsidRPr="69BEAC44">
        <w:rPr>
          <w:rStyle w:val="normaltextrun"/>
        </w:rPr>
        <w:t xml:space="preserve">Clinical and Laboratory Standards Institute GP42 Collection of Capillary Blood Specimens: </w:t>
      </w:r>
      <w:hyperlink w:history="1" r:id="rId12">
        <w:r w:rsidRPr="69BEAC44">
          <w:rPr>
            <w:rStyle w:val="Hyperlink"/>
          </w:rPr>
          <w:t>https://clsi.org/standards/products/general-laboratory/documents/gp42/</w:t>
        </w:r>
      </w:hyperlink>
      <w:r w:rsidRPr="69BEAC44">
        <w:rPr>
          <w:rStyle w:val="normaltextrun"/>
        </w:rPr>
        <w:t xml:space="preserve">   </w:t>
      </w:r>
    </w:p>
    <w:p w:rsidR="682329B1" w:rsidP="0BB6ED04" w:rsidRDefault="007F7F01" w14:paraId="24775C64" w14:textId="74B1873A">
      <w:pPr>
        <w:pStyle w:val="ListParagraph"/>
        <w:numPr>
          <w:ilvl w:val="1"/>
          <w:numId w:val="1"/>
        </w:numPr>
        <w:spacing w:after="0"/>
      </w:pPr>
      <w:r>
        <w:t xml:space="preserve">Division of Laboratory Systems – Self-Assessment Checklist for Good Testing Practices: </w:t>
      </w:r>
      <w:hyperlink w:history="1" r:id="rId13">
        <w:r w:rsidRPr="0BB6ED04">
          <w:rPr>
            <w:rStyle w:val="Hyperlink"/>
          </w:rPr>
          <w:t>https://www.cdc.gov/labquality/docs/waived-tests/self-assessment-checklist-good-testing-practices.pdf</w:t>
        </w:r>
      </w:hyperlink>
    </w:p>
    <w:p w:rsidR="000521ED" w:rsidP="004D0F6A" w:rsidRDefault="001C3426" w14:paraId="3D30B9DD" w14:textId="0113B44F">
      <w:pPr>
        <w:pStyle w:val="ListParagraph"/>
        <w:numPr>
          <w:ilvl w:val="1"/>
          <w:numId w:val="1"/>
        </w:numPr>
        <w:spacing w:after="0"/>
      </w:pPr>
      <w:r>
        <w:t xml:space="preserve">Virginia Board of Nursing </w:t>
      </w:r>
      <w:r w:rsidR="000521ED">
        <w:t xml:space="preserve">Medication Aide Curriculum for Registered Medication Aides: </w:t>
      </w:r>
      <w:hyperlink w:history="1" r:id="rId14">
        <w:r w:rsidRPr="0BB6ED04" w:rsidR="00561C4D">
          <w:rPr>
            <w:rStyle w:val="Hyperlink"/>
          </w:rPr>
          <w:t>https://townhall.virginia.gov/l/GetFile.cfm?File=meeting%5C27%5C32375%5CAgenda_DHP_32375_v1.pdf</w:t>
        </w:r>
      </w:hyperlink>
    </w:p>
    <w:p w:rsidR="00AA58E6" w:rsidP="004D0F6A" w:rsidRDefault="00561C4D" w14:paraId="1E4CBEF6" w14:textId="7D4C5ABE">
      <w:pPr>
        <w:pStyle w:val="paragraph"/>
        <w:numPr>
          <w:ilvl w:val="1"/>
          <w:numId w:val="1"/>
        </w:numPr>
        <w:spacing w:before="0" w:beforeAutospacing="0" w:after="0" w:afterAutospacing="0"/>
        <w:textAlignment w:val="baseline"/>
      </w:pPr>
      <w:proofErr w:type="spellStart"/>
      <w:r w:rsidRPr="00256CB3">
        <w:rPr>
          <w:rStyle w:val="spellingerror"/>
          <w:rFonts w:asciiTheme="minorHAnsi" w:hAnsiTheme="minorHAnsi" w:cstheme="minorBidi"/>
          <w:sz w:val="22"/>
          <w:szCs w:val="22"/>
        </w:rPr>
        <w:t>BCCampus</w:t>
      </w:r>
      <w:proofErr w:type="spellEnd"/>
      <w:r w:rsidRPr="00256CB3">
        <w:rPr>
          <w:rStyle w:val="normaltextrun"/>
          <w:rFonts w:asciiTheme="minorHAnsi" w:hAnsiTheme="minorHAnsi" w:cstheme="minorBidi"/>
          <w:sz w:val="22"/>
          <w:szCs w:val="22"/>
        </w:rPr>
        <w:t xml:space="preserve"> </w:t>
      </w:r>
      <w:r w:rsidRPr="0BB6ED04" w:rsidR="0002525B">
        <w:rPr>
          <w:rStyle w:val="normaltextrun"/>
          <w:rFonts w:asciiTheme="minorHAnsi" w:hAnsiTheme="minorHAnsi" w:cstheme="minorBidi"/>
          <w:i/>
          <w:iCs/>
          <w:sz w:val="22"/>
          <w:szCs w:val="22"/>
        </w:rPr>
        <w:t>Clinical Procedures for Safer Patient Care</w:t>
      </w:r>
      <w:r w:rsidRPr="0BB6ED04" w:rsidR="007C28A8">
        <w:rPr>
          <w:rStyle w:val="normaltextrun"/>
          <w:rFonts w:asciiTheme="minorHAnsi" w:hAnsiTheme="minorHAnsi" w:cstheme="minorBidi"/>
          <w:sz w:val="22"/>
          <w:szCs w:val="22"/>
        </w:rPr>
        <w:t xml:space="preserve">, Chapter </w:t>
      </w:r>
      <w:r w:rsidRPr="00256CB3">
        <w:rPr>
          <w:rStyle w:val="normaltextrun"/>
          <w:rFonts w:asciiTheme="minorHAnsi" w:hAnsiTheme="minorHAnsi" w:cstheme="minorBidi"/>
          <w:sz w:val="22"/>
          <w:szCs w:val="22"/>
        </w:rPr>
        <w:t>9.2 Glucometer Use</w:t>
      </w:r>
      <w:r w:rsidRPr="0BB6ED04" w:rsidR="00C53996">
        <w:rPr>
          <w:rStyle w:val="normaltextrun"/>
          <w:rFonts w:asciiTheme="minorHAnsi" w:hAnsiTheme="minorHAnsi" w:cstheme="minorBidi"/>
          <w:sz w:val="22"/>
          <w:szCs w:val="22"/>
        </w:rPr>
        <w:t>:</w:t>
      </w:r>
      <w:r w:rsidRPr="0BB6ED04">
        <w:rPr>
          <w:rStyle w:val="normaltextrun"/>
          <w:rFonts w:asciiTheme="minorHAnsi" w:hAnsiTheme="minorHAnsi" w:cstheme="minorBidi"/>
          <w:sz w:val="22"/>
          <w:szCs w:val="22"/>
        </w:rPr>
        <w:t xml:space="preserve"> </w:t>
      </w:r>
      <w:hyperlink r:id="rId15">
        <w:r w:rsidRPr="00256CB3">
          <w:rPr>
            <w:rStyle w:val="normaltextrun"/>
            <w:rFonts w:asciiTheme="minorHAnsi" w:hAnsiTheme="minorHAnsi" w:cstheme="minorBidi"/>
            <w:color w:val="0563C1"/>
            <w:sz w:val="22"/>
            <w:szCs w:val="22"/>
            <w:u w:val="single"/>
          </w:rPr>
          <w:t>https://opentextbc.ca/clinicalskills/chapter/8-2-glucometer-use/</w:t>
        </w:r>
      </w:hyperlink>
      <w:r w:rsidRPr="00256CB3">
        <w:rPr>
          <w:rStyle w:val="normaltextrun"/>
          <w:rFonts w:asciiTheme="minorHAnsi" w:hAnsiTheme="minorHAnsi" w:cstheme="minorBidi"/>
          <w:sz w:val="22"/>
          <w:szCs w:val="22"/>
        </w:rPr>
        <w:t> </w:t>
      </w:r>
      <w:r w:rsidRPr="00256CB3">
        <w:rPr>
          <w:rStyle w:val="eop"/>
          <w:rFonts w:asciiTheme="minorHAnsi" w:hAnsiTheme="minorHAnsi" w:cstheme="minorBidi"/>
          <w:sz w:val="22"/>
          <w:szCs w:val="22"/>
        </w:rPr>
        <w:t> </w:t>
      </w:r>
    </w:p>
    <w:p w:rsidR="00AC0AEB" w:rsidRDefault="00AC0AEB" w14:paraId="5A7E85AB" w14:textId="77777777"/>
    <w:sectPr w:rsidR="00AC0AEB">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550" w:rsidP="00256CB3" w:rsidRDefault="00966550" w14:paraId="64E54DDB" w14:textId="77777777">
      <w:pPr>
        <w:spacing w:after="0" w:line="240" w:lineRule="auto"/>
      </w:pPr>
      <w:r>
        <w:separator/>
      </w:r>
    </w:p>
  </w:endnote>
  <w:endnote w:type="continuationSeparator" w:id="0">
    <w:p w:rsidR="00966550" w:rsidP="00256CB3" w:rsidRDefault="00966550" w14:paraId="3B83DA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CB3" w:rsidP="007559D8" w:rsidRDefault="00711664" w14:paraId="0D8D342F" w14:textId="6CC3F940">
    <w:pPr>
      <w:pStyle w:val="Footer"/>
      <w:jc w:val="right"/>
    </w:pPr>
    <w:r>
      <w:t>3</w:t>
    </w:r>
    <w:r w:rsidR="007559D8">
      <w:t>/202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550" w:rsidP="00256CB3" w:rsidRDefault="00966550" w14:paraId="6FCB6F59" w14:textId="77777777">
      <w:pPr>
        <w:spacing w:after="0" w:line="240" w:lineRule="auto"/>
      </w:pPr>
      <w:r>
        <w:separator/>
      </w:r>
    </w:p>
  </w:footnote>
  <w:footnote w:type="continuationSeparator" w:id="0">
    <w:p w:rsidR="00966550" w:rsidP="00256CB3" w:rsidRDefault="00966550" w14:paraId="21160D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2C4206" w:rsidRDefault="00D60244" w14:paraId="0F349CE3" w14:textId="457DB06A">
    <w:pPr>
      <w:pStyle w:val="Header"/>
    </w:pPr>
    <w:r>
      <w:rPr>
        <w:noProof/>
      </w:rPr>
      <mc:AlternateContent>
        <mc:Choice Requires="wps">
          <w:drawing>
            <wp:anchor distT="0" distB="0" distL="114300" distR="114300" simplePos="0" relativeHeight="251660288" behindDoc="1" locked="0" layoutInCell="1" allowOverlap="1" wp14:anchorId="13CD8776" wp14:editId="5856A85E">
              <wp:simplePos x="0" y="0"/>
              <wp:positionH relativeFrom="margin">
                <wp:posOffset>-320040</wp:posOffset>
              </wp:positionH>
              <wp:positionV relativeFrom="paragraph">
                <wp:posOffset>198120</wp:posOffset>
              </wp:positionV>
              <wp:extent cx="6629400" cy="0"/>
              <wp:effectExtent l="0" t="0" r="0" b="0"/>
              <wp:wrapNone/>
              <wp:docPr id="1175027978" name="Straight Connector 1175027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a:ln w="6350">
                        <a:solidFill>
                          <a:srgbClr val="001E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5027978"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001e60" strokeweight=".5pt" from="-25.2pt,15.6pt" to="496.8pt,15.6pt" w14:anchorId="7A2AF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636"/>
    <w:multiLevelType w:val="hybridMultilevel"/>
    <w:tmpl w:val="89B2DD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D415CB"/>
    <w:multiLevelType w:val="hybridMultilevel"/>
    <w:tmpl w:val="68CA8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2413F"/>
    <w:multiLevelType w:val="hybridMultilevel"/>
    <w:tmpl w:val="9E6C190E"/>
    <w:lvl w:ilvl="0" w:tplc="91607772">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42A4FD9"/>
    <w:multiLevelType w:val="multilevel"/>
    <w:tmpl w:val="002867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6987CAC"/>
    <w:multiLevelType w:val="multilevel"/>
    <w:tmpl w:val="65025F8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32097078">
    <w:abstractNumId w:val="2"/>
  </w:num>
  <w:num w:numId="2" w16cid:durableId="2127847736">
    <w:abstractNumId w:val="0"/>
  </w:num>
  <w:num w:numId="3" w16cid:durableId="735128676">
    <w:abstractNumId w:val="3"/>
  </w:num>
  <w:num w:numId="4" w16cid:durableId="660233183">
    <w:abstractNumId w:val="4"/>
  </w:num>
  <w:num w:numId="5" w16cid:durableId="108287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E6"/>
    <w:rsid w:val="0000724C"/>
    <w:rsid w:val="00011E50"/>
    <w:rsid w:val="0002525B"/>
    <w:rsid w:val="000521ED"/>
    <w:rsid w:val="000541F2"/>
    <w:rsid w:val="000645CA"/>
    <w:rsid w:val="0006616D"/>
    <w:rsid w:val="0006669F"/>
    <w:rsid w:val="00082038"/>
    <w:rsid w:val="0009004C"/>
    <w:rsid w:val="00092CD2"/>
    <w:rsid w:val="0009732C"/>
    <w:rsid w:val="000A2523"/>
    <w:rsid w:val="000A257F"/>
    <w:rsid w:val="000A3797"/>
    <w:rsid w:val="000A3B21"/>
    <w:rsid w:val="000B0928"/>
    <w:rsid w:val="000B3D0D"/>
    <w:rsid w:val="000B3E77"/>
    <w:rsid w:val="000B6B8C"/>
    <w:rsid w:val="000B6BBE"/>
    <w:rsid w:val="000C539A"/>
    <w:rsid w:val="000E74E6"/>
    <w:rsid w:val="000F01EB"/>
    <w:rsid w:val="000F543A"/>
    <w:rsid w:val="00127C3A"/>
    <w:rsid w:val="00130F65"/>
    <w:rsid w:val="00134CC7"/>
    <w:rsid w:val="00141C67"/>
    <w:rsid w:val="00152365"/>
    <w:rsid w:val="00166B38"/>
    <w:rsid w:val="00181E71"/>
    <w:rsid w:val="001824AF"/>
    <w:rsid w:val="00190A13"/>
    <w:rsid w:val="00190A2C"/>
    <w:rsid w:val="001B02ED"/>
    <w:rsid w:val="001C3426"/>
    <w:rsid w:val="001E4E07"/>
    <w:rsid w:val="001F0159"/>
    <w:rsid w:val="001F252E"/>
    <w:rsid w:val="001FA3A4"/>
    <w:rsid w:val="00217316"/>
    <w:rsid w:val="00236285"/>
    <w:rsid w:val="00241A80"/>
    <w:rsid w:val="00247930"/>
    <w:rsid w:val="00256CB3"/>
    <w:rsid w:val="00260725"/>
    <w:rsid w:val="00265107"/>
    <w:rsid w:val="00271B96"/>
    <w:rsid w:val="002740C7"/>
    <w:rsid w:val="00283C9D"/>
    <w:rsid w:val="002968DC"/>
    <w:rsid w:val="00296BD4"/>
    <w:rsid w:val="002B763A"/>
    <w:rsid w:val="002C001C"/>
    <w:rsid w:val="002C4206"/>
    <w:rsid w:val="002D252C"/>
    <w:rsid w:val="002E554C"/>
    <w:rsid w:val="002E6B96"/>
    <w:rsid w:val="003010E0"/>
    <w:rsid w:val="00303A7A"/>
    <w:rsid w:val="00307898"/>
    <w:rsid w:val="0032156B"/>
    <w:rsid w:val="00340ED5"/>
    <w:rsid w:val="00347906"/>
    <w:rsid w:val="0035220A"/>
    <w:rsid w:val="00387F78"/>
    <w:rsid w:val="003A2152"/>
    <w:rsid w:val="003C440A"/>
    <w:rsid w:val="003E1325"/>
    <w:rsid w:val="003E152B"/>
    <w:rsid w:val="003E6B19"/>
    <w:rsid w:val="003E7664"/>
    <w:rsid w:val="003F611E"/>
    <w:rsid w:val="004133E3"/>
    <w:rsid w:val="00414056"/>
    <w:rsid w:val="00415174"/>
    <w:rsid w:val="00420A0F"/>
    <w:rsid w:val="004301C7"/>
    <w:rsid w:val="00442096"/>
    <w:rsid w:val="00447771"/>
    <w:rsid w:val="00447911"/>
    <w:rsid w:val="00453DE9"/>
    <w:rsid w:val="00456522"/>
    <w:rsid w:val="00463973"/>
    <w:rsid w:val="00466814"/>
    <w:rsid w:val="0047134C"/>
    <w:rsid w:val="004807EE"/>
    <w:rsid w:val="00481BC0"/>
    <w:rsid w:val="004835E3"/>
    <w:rsid w:val="00492EB5"/>
    <w:rsid w:val="004A0C3C"/>
    <w:rsid w:val="004A48FE"/>
    <w:rsid w:val="004B3E99"/>
    <w:rsid w:val="004B7BE1"/>
    <w:rsid w:val="004C0EA0"/>
    <w:rsid w:val="004C2182"/>
    <w:rsid w:val="004C2209"/>
    <w:rsid w:val="004C2D6D"/>
    <w:rsid w:val="004C3E56"/>
    <w:rsid w:val="004D096D"/>
    <w:rsid w:val="004D0F6A"/>
    <w:rsid w:val="004D4C8E"/>
    <w:rsid w:val="004D637E"/>
    <w:rsid w:val="004D6DFE"/>
    <w:rsid w:val="004E6141"/>
    <w:rsid w:val="004E7639"/>
    <w:rsid w:val="004F5BFA"/>
    <w:rsid w:val="005021E4"/>
    <w:rsid w:val="005064E5"/>
    <w:rsid w:val="00524540"/>
    <w:rsid w:val="00530E72"/>
    <w:rsid w:val="00532B1E"/>
    <w:rsid w:val="005429CC"/>
    <w:rsid w:val="00543F8B"/>
    <w:rsid w:val="0055705A"/>
    <w:rsid w:val="00560AA8"/>
    <w:rsid w:val="00561C4D"/>
    <w:rsid w:val="00563AC0"/>
    <w:rsid w:val="0058700E"/>
    <w:rsid w:val="00590A38"/>
    <w:rsid w:val="005A03DE"/>
    <w:rsid w:val="005B72EF"/>
    <w:rsid w:val="005D2B41"/>
    <w:rsid w:val="005D63C1"/>
    <w:rsid w:val="005D7BE4"/>
    <w:rsid w:val="005E179B"/>
    <w:rsid w:val="005E1F7B"/>
    <w:rsid w:val="005E2D5F"/>
    <w:rsid w:val="005F5F8C"/>
    <w:rsid w:val="005F728D"/>
    <w:rsid w:val="00600A46"/>
    <w:rsid w:val="006051BE"/>
    <w:rsid w:val="00612992"/>
    <w:rsid w:val="0063276A"/>
    <w:rsid w:val="00636068"/>
    <w:rsid w:val="006457C9"/>
    <w:rsid w:val="00652625"/>
    <w:rsid w:val="006747E6"/>
    <w:rsid w:val="00677AC9"/>
    <w:rsid w:val="00684C23"/>
    <w:rsid w:val="00686ADD"/>
    <w:rsid w:val="006977DE"/>
    <w:rsid w:val="006A0ABE"/>
    <w:rsid w:val="006B3635"/>
    <w:rsid w:val="006C6F06"/>
    <w:rsid w:val="006C6F5C"/>
    <w:rsid w:val="006D1314"/>
    <w:rsid w:val="006D3F8C"/>
    <w:rsid w:val="006D6C95"/>
    <w:rsid w:val="006E3005"/>
    <w:rsid w:val="006E4E03"/>
    <w:rsid w:val="006F255F"/>
    <w:rsid w:val="006F2E76"/>
    <w:rsid w:val="006F3023"/>
    <w:rsid w:val="00710719"/>
    <w:rsid w:val="00710938"/>
    <w:rsid w:val="00711664"/>
    <w:rsid w:val="00713339"/>
    <w:rsid w:val="0072363D"/>
    <w:rsid w:val="00730385"/>
    <w:rsid w:val="007559D8"/>
    <w:rsid w:val="00765397"/>
    <w:rsid w:val="0076571C"/>
    <w:rsid w:val="00780255"/>
    <w:rsid w:val="00781962"/>
    <w:rsid w:val="0078244C"/>
    <w:rsid w:val="00782922"/>
    <w:rsid w:val="007A0EA9"/>
    <w:rsid w:val="007C1310"/>
    <w:rsid w:val="007C28A8"/>
    <w:rsid w:val="007C7711"/>
    <w:rsid w:val="007E4156"/>
    <w:rsid w:val="007F1961"/>
    <w:rsid w:val="007F7F01"/>
    <w:rsid w:val="00815A9D"/>
    <w:rsid w:val="00815AA6"/>
    <w:rsid w:val="008167AA"/>
    <w:rsid w:val="008206D9"/>
    <w:rsid w:val="008222A5"/>
    <w:rsid w:val="00833410"/>
    <w:rsid w:val="00847B21"/>
    <w:rsid w:val="00855AD9"/>
    <w:rsid w:val="008640FA"/>
    <w:rsid w:val="008674BB"/>
    <w:rsid w:val="008808EE"/>
    <w:rsid w:val="008853F0"/>
    <w:rsid w:val="008916D0"/>
    <w:rsid w:val="008A1866"/>
    <w:rsid w:val="008A7E5F"/>
    <w:rsid w:val="008C226C"/>
    <w:rsid w:val="008D0F75"/>
    <w:rsid w:val="008D117D"/>
    <w:rsid w:val="008D2BC0"/>
    <w:rsid w:val="008F4890"/>
    <w:rsid w:val="00902EF3"/>
    <w:rsid w:val="009122A2"/>
    <w:rsid w:val="00915261"/>
    <w:rsid w:val="00924F52"/>
    <w:rsid w:val="00927F0D"/>
    <w:rsid w:val="00936B24"/>
    <w:rsid w:val="00942FA6"/>
    <w:rsid w:val="00955FD6"/>
    <w:rsid w:val="009578E8"/>
    <w:rsid w:val="0096234F"/>
    <w:rsid w:val="00966550"/>
    <w:rsid w:val="009720E5"/>
    <w:rsid w:val="00972699"/>
    <w:rsid w:val="00977207"/>
    <w:rsid w:val="009C022A"/>
    <w:rsid w:val="009C1764"/>
    <w:rsid w:val="009C1F35"/>
    <w:rsid w:val="009C2BD7"/>
    <w:rsid w:val="009C6A25"/>
    <w:rsid w:val="009C6AC1"/>
    <w:rsid w:val="009D2FBF"/>
    <w:rsid w:val="009E69EB"/>
    <w:rsid w:val="009F7B7B"/>
    <w:rsid w:val="00A03B54"/>
    <w:rsid w:val="00A058AD"/>
    <w:rsid w:val="00A06969"/>
    <w:rsid w:val="00A16407"/>
    <w:rsid w:val="00A24B70"/>
    <w:rsid w:val="00A452C0"/>
    <w:rsid w:val="00A4615C"/>
    <w:rsid w:val="00A57236"/>
    <w:rsid w:val="00A57C35"/>
    <w:rsid w:val="00A610AC"/>
    <w:rsid w:val="00A622E0"/>
    <w:rsid w:val="00A85747"/>
    <w:rsid w:val="00A91C0B"/>
    <w:rsid w:val="00AA58E6"/>
    <w:rsid w:val="00AB3EFD"/>
    <w:rsid w:val="00AB5AFE"/>
    <w:rsid w:val="00AC0AEB"/>
    <w:rsid w:val="00AC6EEC"/>
    <w:rsid w:val="00AF3073"/>
    <w:rsid w:val="00AF3789"/>
    <w:rsid w:val="00AF3CC4"/>
    <w:rsid w:val="00B019B8"/>
    <w:rsid w:val="00B04267"/>
    <w:rsid w:val="00B12536"/>
    <w:rsid w:val="00B33A66"/>
    <w:rsid w:val="00B35130"/>
    <w:rsid w:val="00B35B6E"/>
    <w:rsid w:val="00B37E99"/>
    <w:rsid w:val="00B542CB"/>
    <w:rsid w:val="00B60659"/>
    <w:rsid w:val="00B660CA"/>
    <w:rsid w:val="00B708E1"/>
    <w:rsid w:val="00B731DD"/>
    <w:rsid w:val="00B774A7"/>
    <w:rsid w:val="00BA785E"/>
    <w:rsid w:val="00BA7ADE"/>
    <w:rsid w:val="00BB3D74"/>
    <w:rsid w:val="00BB754B"/>
    <w:rsid w:val="00BC0E00"/>
    <w:rsid w:val="00BC678B"/>
    <w:rsid w:val="00BE1C1E"/>
    <w:rsid w:val="00BE5A51"/>
    <w:rsid w:val="00BF2521"/>
    <w:rsid w:val="00C223EE"/>
    <w:rsid w:val="00C23886"/>
    <w:rsid w:val="00C3157E"/>
    <w:rsid w:val="00C3175F"/>
    <w:rsid w:val="00C338BE"/>
    <w:rsid w:val="00C34022"/>
    <w:rsid w:val="00C45524"/>
    <w:rsid w:val="00C5281A"/>
    <w:rsid w:val="00C53996"/>
    <w:rsid w:val="00C56A59"/>
    <w:rsid w:val="00C70C95"/>
    <w:rsid w:val="00C70D43"/>
    <w:rsid w:val="00C76A54"/>
    <w:rsid w:val="00C96F18"/>
    <w:rsid w:val="00CA15F1"/>
    <w:rsid w:val="00CA1E50"/>
    <w:rsid w:val="00CB03BB"/>
    <w:rsid w:val="00CB3E45"/>
    <w:rsid w:val="00CC2D28"/>
    <w:rsid w:val="00CD383A"/>
    <w:rsid w:val="00CE3F46"/>
    <w:rsid w:val="00CE66B4"/>
    <w:rsid w:val="00CE773A"/>
    <w:rsid w:val="00CF1119"/>
    <w:rsid w:val="00CF1A79"/>
    <w:rsid w:val="00CF1FAB"/>
    <w:rsid w:val="00CF32C9"/>
    <w:rsid w:val="00CF7D84"/>
    <w:rsid w:val="00D00328"/>
    <w:rsid w:val="00D0169C"/>
    <w:rsid w:val="00D10496"/>
    <w:rsid w:val="00D156B3"/>
    <w:rsid w:val="00D243F9"/>
    <w:rsid w:val="00D32B78"/>
    <w:rsid w:val="00D55943"/>
    <w:rsid w:val="00D60244"/>
    <w:rsid w:val="00D660B5"/>
    <w:rsid w:val="00D706D2"/>
    <w:rsid w:val="00D809FD"/>
    <w:rsid w:val="00D83D6C"/>
    <w:rsid w:val="00D84C74"/>
    <w:rsid w:val="00DB525C"/>
    <w:rsid w:val="00DC2F4C"/>
    <w:rsid w:val="00DC35BF"/>
    <w:rsid w:val="00DC3F42"/>
    <w:rsid w:val="00DD1292"/>
    <w:rsid w:val="00DD1B8B"/>
    <w:rsid w:val="00DD3FE8"/>
    <w:rsid w:val="00DE1FDD"/>
    <w:rsid w:val="00DF340B"/>
    <w:rsid w:val="00DF3836"/>
    <w:rsid w:val="00E03457"/>
    <w:rsid w:val="00E12D52"/>
    <w:rsid w:val="00E15BBB"/>
    <w:rsid w:val="00E2047C"/>
    <w:rsid w:val="00E2155F"/>
    <w:rsid w:val="00E21B1E"/>
    <w:rsid w:val="00E26B58"/>
    <w:rsid w:val="00E26E94"/>
    <w:rsid w:val="00E355AB"/>
    <w:rsid w:val="00E410E3"/>
    <w:rsid w:val="00E42182"/>
    <w:rsid w:val="00E6465C"/>
    <w:rsid w:val="00E659C0"/>
    <w:rsid w:val="00E709D4"/>
    <w:rsid w:val="00E76D14"/>
    <w:rsid w:val="00EA2836"/>
    <w:rsid w:val="00EB383A"/>
    <w:rsid w:val="00EC699B"/>
    <w:rsid w:val="00EE63C4"/>
    <w:rsid w:val="00EE6B0B"/>
    <w:rsid w:val="00EF7FA0"/>
    <w:rsid w:val="00F01F93"/>
    <w:rsid w:val="00F05294"/>
    <w:rsid w:val="00F4532E"/>
    <w:rsid w:val="00F45745"/>
    <w:rsid w:val="00F46F63"/>
    <w:rsid w:val="00F523DD"/>
    <w:rsid w:val="00F963DE"/>
    <w:rsid w:val="00FB02E1"/>
    <w:rsid w:val="00FB1122"/>
    <w:rsid w:val="00FB2772"/>
    <w:rsid w:val="00FC05E4"/>
    <w:rsid w:val="00FC2CF3"/>
    <w:rsid w:val="00FC6C68"/>
    <w:rsid w:val="00FD1FEA"/>
    <w:rsid w:val="00FD510B"/>
    <w:rsid w:val="00FD7471"/>
    <w:rsid w:val="00FE66BA"/>
    <w:rsid w:val="00FF3302"/>
    <w:rsid w:val="02154684"/>
    <w:rsid w:val="02A74C0A"/>
    <w:rsid w:val="035B4D9E"/>
    <w:rsid w:val="0484B359"/>
    <w:rsid w:val="049AFA69"/>
    <w:rsid w:val="04D3AE1C"/>
    <w:rsid w:val="05DEFF5D"/>
    <w:rsid w:val="0610BC56"/>
    <w:rsid w:val="06AC9AFB"/>
    <w:rsid w:val="07910B79"/>
    <w:rsid w:val="07A38C70"/>
    <w:rsid w:val="0821F6D6"/>
    <w:rsid w:val="0880FCE7"/>
    <w:rsid w:val="08DDD6B0"/>
    <w:rsid w:val="0958247C"/>
    <w:rsid w:val="09931583"/>
    <w:rsid w:val="0A3BF678"/>
    <w:rsid w:val="0A6C3578"/>
    <w:rsid w:val="0B50DA0F"/>
    <w:rsid w:val="0B6CCDBF"/>
    <w:rsid w:val="0BB6ED04"/>
    <w:rsid w:val="0CE3F2FB"/>
    <w:rsid w:val="0CED099B"/>
    <w:rsid w:val="0D89D6C5"/>
    <w:rsid w:val="0E599C68"/>
    <w:rsid w:val="0F3EEC40"/>
    <w:rsid w:val="11E6087E"/>
    <w:rsid w:val="11E78035"/>
    <w:rsid w:val="12D1AA79"/>
    <w:rsid w:val="13AE0944"/>
    <w:rsid w:val="144F2118"/>
    <w:rsid w:val="148C9416"/>
    <w:rsid w:val="14D2111D"/>
    <w:rsid w:val="155D51AA"/>
    <w:rsid w:val="1682D0C1"/>
    <w:rsid w:val="17A3783A"/>
    <w:rsid w:val="17AF1CC9"/>
    <w:rsid w:val="17BDA062"/>
    <w:rsid w:val="189BE956"/>
    <w:rsid w:val="1939F38A"/>
    <w:rsid w:val="194AED2A"/>
    <w:rsid w:val="19EAD290"/>
    <w:rsid w:val="1B265D58"/>
    <w:rsid w:val="1C17E98F"/>
    <w:rsid w:val="1C4CA1C6"/>
    <w:rsid w:val="1DB2FE7E"/>
    <w:rsid w:val="1F0C9F16"/>
    <w:rsid w:val="1F960B32"/>
    <w:rsid w:val="1FC78D00"/>
    <w:rsid w:val="20586B4A"/>
    <w:rsid w:val="20C10003"/>
    <w:rsid w:val="22BB32F5"/>
    <w:rsid w:val="23A0182D"/>
    <w:rsid w:val="25F34987"/>
    <w:rsid w:val="272AFEED"/>
    <w:rsid w:val="27854F75"/>
    <w:rsid w:val="27D13D24"/>
    <w:rsid w:val="28139471"/>
    <w:rsid w:val="28377120"/>
    <w:rsid w:val="2C17F1F7"/>
    <w:rsid w:val="2C526DFB"/>
    <w:rsid w:val="2DE891DC"/>
    <w:rsid w:val="2EB8C175"/>
    <w:rsid w:val="2F0F1CAD"/>
    <w:rsid w:val="2F55973A"/>
    <w:rsid w:val="2F86EF85"/>
    <w:rsid w:val="321883DB"/>
    <w:rsid w:val="32BB885E"/>
    <w:rsid w:val="32DF63BD"/>
    <w:rsid w:val="341A3915"/>
    <w:rsid w:val="359E96E8"/>
    <w:rsid w:val="35CF3CA5"/>
    <w:rsid w:val="360431F9"/>
    <w:rsid w:val="3663BCCE"/>
    <w:rsid w:val="36F22C65"/>
    <w:rsid w:val="37010635"/>
    <w:rsid w:val="37601CA1"/>
    <w:rsid w:val="37FB6165"/>
    <w:rsid w:val="38769C54"/>
    <w:rsid w:val="38C067A5"/>
    <w:rsid w:val="38E14795"/>
    <w:rsid w:val="3946BF5E"/>
    <w:rsid w:val="3947CDDF"/>
    <w:rsid w:val="39B02829"/>
    <w:rsid w:val="3B1A6898"/>
    <w:rsid w:val="3B76D2C7"/>
    <w:rsid w:val="3DCE2F35"/>
    <w:rsid w:val="40A85A31"/>
    <w:rsid w:val="40A88153"/>
    <w:rsid w:val="40F3DA30"/>
    <w:rsid w:val="41C02E4C"/>
    <w:rsid w:val="435BB957"/>
    <w:rsid w:val="43A6428E"/>
    <w:rsid w:val="4521738C"/>
    <w:rsid w:val="45966101"/>
    <w:rsid w:val="46FCADC6"/>
    <w:rsid w:val="470BCC6F"/>
    <w:rsid w:val="4791B768"/>
    <w:rsid w:val="47DC0B29"/>
    <w:rsid w:val="47EB3CC9"/>
    <w:rsid w:val="49D205F5"/>
    <w:rsid w:val="49E31168"/>
    <w:rsid w:val="49EE683E"/>
    <w:rsid w:val="4BD1516A"/>
    <w:rsid w:val="4BD20799"/>
    <w:rsid w:val="4C225D76"/>
    <w:rsid w:val="4DB1DFC8"/>
    <w:rsid w:val="4EA20922"/>
    <w:rsid w:val="4EA57718"/>
    <w:rsid w:val="4F20C7DA"/>
    <w:rsid w:val="4F55720C"/>
    <w:rsid w:val="4F686F3F"/>
    <w:rsid w:val="504BFA52"/>
    <w:rsid w:val="5080E4FD"/>
    <w:rsid w:val="5108A6D4"/>
    <w:rsid w:val="51678BC1"/>
    <w:rsid w:val="51A7AEFE"/>
    <w:rsid w:val="52B932E3"/>
    <w:rsid w:val="534D3D7C"/>
    <w:rsid w:val="53A7987B"/>
    <w:rsid w:val="54EBDB56"/>
    <w:rsid w:val="576D4886"/>
    <w:rsid w:val="58319113"/>
    <w:rsid w:val="597C8714"/>
    <w:rsid w:val="5B347BEB"/>
    <w:rsid w:val="5B43C160"/>
    <w:rsid w:val="5BA357ED"/>
    <w:rsid w:val="5CB637D4"/>
    <w:rsid w:val="5D1DB27D"/>
    <w:rsid w:val="5E57759D"/>
    <w:rsid w:val="5F8E1443"/>
    <w:rsid w:val="5FB6CDFD"/>
    <w:rsid w:val="60018EB1"/>
    <w:rsid w:val="6075BFED"/>
    <w:rsid w:val="60F30B92"/>
    <w:rsid w:val="6177BEE8"/>
    <w:rsid w:val="634EB29B"/>
    <w:rsid w:val="63B027AC"/>
    <w:rsid w:val="63E1D666"/>
    <w:rsid w:val="646C122C"/>
    <w:rsid w:val="6523CE6D"/>
    <w:rsid w:val="6660B319"/>
    <w:rsid w:val="667EB3AA"/>
    <w:rsid w:val="682329B1"/>
    <w:rsid w:val="68367EB8"/>
    <w:rsid w:val="69BEAC44"/>
    <w:rsid w:val="6AC08936"/>
    <w:rsid w:val="6AF1D045"/>
    <w:rsid w:val="6B088A1D"/>
    <w:rsid w:val="6B62568A"/>
    <w:rsid w:val="6B6C0F60"/>
    <w:rsid w:val="6C0AC253"/>
    <w:rsid w:val="6C30B04A"/>
    <w:rsid w:val="6C971E83"/>
    <w:rsid w:val="6CF96AD2"/>
    <w:rsid w:val="6FA3B51B"/>
    <w:rsid w:val="70390D14"/>
    <w:rsid w:val="70A4B3EA"/>
    <w:rsid w:val="70F87FEE"/>
    <w:rsid w:val="7144DBA0"/>
    <w:rsid w:val="71B37033"/>
    <w:rsid w:val="7236B1BF"/>
    <w:rsid w:val="7349F8FC"/>
    <w:rsid w:val="7459B535"/>
    <w:rsid w:val="765F6EF4"/>
    <w:rsid w:val="766B72E5"/>
    <w:rsid w:val="775D5F9C"/>
    <w:rsid w:val="7785CA73"/>
    <w:rsid w:val="78D2546C"/>
    <w:rsid w:val="797665F3"/>
    <w:rsid w:val="7A0E55D5"/>
    <w:rsid w:val="7AA29080"/>
    <w:rsid w:val="7ACA4BD8"/>
    <w:rsid w:val="7AF5E54D"/>
    <w:rsid w:val="7AF6F96F"/>
    <w:rsid w:val="7B5FA450"/>
    <w:rsid w:val="7C547ACF"/>
    <w:rsid w:val="7C7DFAFE"/>
    <w:rsid w:val="7D4D56D1"/>
    <w:rsid w:val="7D6519A6"/>
    <w:rsid w:val="7EE4EBA1"/>
    <w:rsid w:val="7F6A1909"/>
    <w:rsid w:val="7F7927C2"/>
    <w:rsid w:val="7F85F993"/>
    <w:rsid w:val="7FA902B5"/>
    <w:rsid w:val="7FD49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24C0"/>
  <w15:chartTrackingRefBased/>
  <w15:docId w15:val="{3AF8A65C-29A2-4921-8279-63932264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8E6"/>
    <w:pPr>
      <w:spacing w:after="120"/>
    </w:pPr>
  </w:style>
  <w:style w:type="paragraph" w:styleId="Heading1">
    <w:name w:val="heading 1"/>
    <w:aliases w:val="VDSS Heading 1"/>
    <w:basedOn w:val="Normal"/>
    <w:next w:val="Normal"/>
    <w:link w:val="Heading1Char"/>
    <w:uiPriority w:val="9"/>
    <w:qFormat/>
    <w:rsid w:val="00AA58E6"/>
    <w:pPr>
      <w:keepNext/>
      <w:keepLines/>
      <w:spacing w:line="240" w:lineRule="auto"/>
      <w:outlineLvl w:val="0"/>
    </w:pPr>
    <w:rPr>
      <w:rFonts w:ascii="Calisto MT" w:hAnsi="Calisto MT" w:eastAsiaTheme="majorEastAsia" w:cstheme="majorBidi"/>
      <w:b/>
      <w:color w:val="2F5496" w:themeColor="accent1" w:themeShade="BF"/>
      <w:sz w:val="28"/>
      <w:szCs w:val="32"/>
    </w:rPr>
  </w:style>
  <w:style w:type="paragraph" w:styleId="Heading2">
    <w:name w:val="heading 2"/>
    <w:aliases w:val="VDSS Heading 2"/>
    <w:basedOn w:val="Normal"/>
    <w:next w:val="Normal"/>
    <w:link w:val="Heading2Char"/>
    <w:uiPriority w:val="9"/>
    <w:unhideWhenUsed/>
    <w:qFormat/>
    <w:rsid w:val="00AA58E6"/>
    <w:pPr>
      <w:keepNext/>
      <w:keepLines/>
      <w:spacing w:line="240" w:lineRule="auto"/>
      <w:outlineLvl w:val="1"/>
    </w:pPr>
    <w:rPr>
      <w:rFonts w:ascii="Calisto MT" w:hAnsi="Calisto MT" w:eastAsiaTheme="majorEastAsia" w:cstheme="majorBidi"/>
      <w:b/>
      <w:color w:val="5C5D5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VDSS Heading 1 Char"/>
    <w:basedOn w:val="DefaultParagraphFont"/>
    <w:link w:val="Heading1"/>
    <w:uiPriority w:val="9"/>
    <w:rsid w:val="00AA58E6"/>
    <w:rPr>
      <w:rFonts w:ascii="Calisto MT" w:hAnsi="Calisto MT" w:eastAsiaTheme="majorEastAsia" w:cstheme="majorBidi"/>
      <w:b/>
      <w:color w:val="2F5496" w:themeColor="accent1" w:themeShade="BF"/>
      <w:sz w:val="28"/>
      <w:szCs w:val="32"/>
    </w:rPr>
  </w:style>
  <w:style w:type="character" w:styleId="Heading2Char" w:customStyle="1">
    <w:name w:val="Heading 2 Char"/>
    <w:aliases w:val="VDSS Heading 2 Char"/>
    <w:basedOn w:val="DefaultParagraphFont"/>
    <w:link w:val="Heading2"/>
    <w:uiPriority w:val="9"/>
    <w:rsid w:val="00AA58E6"/>
    <w:rPr>
      <w:rFonts w:ascii="Calisto MT" w:hAnsi="Calisto MT" w:eastAsiaTheme="majorEastAsia" w:cstheme="majorBidi"/>
      <w:b/>
      <w:color w:val="5C5D5F"/>
      <w:sz w:val="26"/>
      <w:szCs w:val="26"/>
    </w:rPr>
  </w:style>
  <w:style w:type="paragraph" w:styleId="ListParagraph">
    <w:name w:val="List Paragraph"/>
    <w:basedOn w:val="Normal"/>
    <w:uiPriority w:val="34"/>
    <w:qFormat/>
    <w:rsid w:val="00AA58E6"/>
    <w:pPr>
      <w:ind w:left="720"/>
      <w:contextualSpacing/>
    </w:pPr>
  </w:style>
  <w:style w:type="character" w:styleId="Hyperlink">
    <w:name w:val="Hyperlink"/>
    <w:basedOn w:val="DefaultParagraphFont"/>
    <w:uiPriority w:val="99"/>
    <w:unhideWhenUsed/>
    <w:rsid w:val="00AA58E6"/>
    <w:rPr>
      <w:color w:val="0563C1" w:themeColor="hyperlink"/>
      <w:u w:val="single"/>
    </w:rPr>
  </w:style>
  <w:style w:type="character" w:styleId="ui-provider" w:customStyle="1">
    <w:name w:val="ui-provider"/>
    <w:basedOn w:val="DefaultParagraphFont"/>
    <w:rsid w:val="00D156B3"/>
  </w:style>
  <w:style w:type="paragraph" w:styleId="Revision">
    <w:name w:val="Revision"/>
    <w:hidden/>
    <w:uiPriority w:val="99"/>
    <w:semiHidden/>
    <w:rsid w:val="00CC2D28"/>
    <w:pPr>
      <w:spacing w:after="0" w:line="240" w:lineRule="auto"/>
    </w:pPr>
  </w:style>
  <w:style w:type="character" w:styleId="CommentReference">
    <w:name w:val="annotation reference"/>
    <w:basedOn w:val="DefaultParagraphFont"/>
    <w:uiPriority w:val="99"/>
    <w:semiHidden/>
    <w:unhideWhenUsed/>
    <w:rsid w:val="00CC2D28"/>
    <w:rPr>
      <w:sz w:val="16"/>
      <w:szCs w:val="16"/>
    </w:rPr>
  </w:style>
  <w:style w:type="paragraph" w:styleId="CommentText">
    <w:name w:val="annotation text"/>
    <w:basedOn w:val="Normal"/>
    <w:link w:val="CommentTextChar"/>
    <w:uiPriority w:val="99"/>
    <w:unhideWhenUsed/>
    <w:rsid w:val="00CC2D28"/>
    <w:pPr>
      <w:spacing w:line="240" w:lineRule="auto"/>
    </w:pPr>
    <w:rPr>
      <w:sz w:val="20"/>
      <w:szCs w:val="20"/>
    </w:rPr>
  </w:style>
  <w:style w:type="character" w:styleId="CommentTextChar" w:customStyle="1">
    <w:name w:val="Comment Text Char"/>
    <w:basedOn w:val="DefaultParagraphFont"/>
    <w:link w:val="CommentText"/>
    <w:uiPriority w:val="99"/>
    <w:rsid w:val="00CC2D28"/>
    <w:rPr>
      <w:sz w:val="20"/>
      <w:szCs w:val="20"/>
    </w:rPr>
  </w:style>
  <w:style w:type="paragraph" w:styleId="CommentSubject">
    <w:name w:val="annotation subject"/>
    <w:basedOn w:val="CommentText"/>
    <w:next w:val="CommentText"/>
    <w:link w:val="CommentSubjectChar"/>
    <w:uiPriority w:val="99"/>
    <w:semiHidden/>
    <w:unhideWhenUsed/>
    <w:rsid w:val="00CC2D28"/>
    <w:rPr>
      <w:b/>
      <w:bCs/>
    </w:rPr>
  </w:style>
  <w:style w:type="character" w:styleId="CommentSubjectChar" w:customStyle="1">
    <w:name w:val="Comment Subject Char"/>
    <w:basedOn w:val="CommentTextChar"/>
    <w:link w:val="CommentSubject"/>
    <w:uiPriority w:val="99"/>
    <w:semiHidden/>
    <w:rsid w:val="00CC2D28"/>
    <w:rPr>
      <w:b/>
      <w:bCs/>
      <w:sz w:val="20"/>
      <w:szCs w:val="20"/>
    </w:rPr>
  </w:style>
  <w:style w:type="character" w:styleId="UnresolvedMention">
    <w:name w:val="Unresolved Mention"/>
    <w:basedOn w:val="DefaultParagraphFont"/>
    <w:uiPriority w:val="99"/>
    <w:semiHidden/>
    <w:unhideWhenUsed/>
    <w:rsid w:val="00A610AC"/>
    <w:rPr>
      <w:color w:val="605E5C"/>
      <w:shd w:val="clear" w:color="auto" w:fill="E1DFDD"/>
    </w:rPr>
  </w:style>
  <w:style w:type="character" w:styleId="cf01" w:customStyle="1">
    <w:name w:val="cf01"/>
    <w:basedOn w:val="DefaultParagraphFont"/>
    <w:rsid w:val="00CF1FAB"/>
    <w:rPr>
      <w:rFonts w:hint="default" w:ascii="Segoe UI" w:hAnsi="Segoe UI" w:cs="Segoe UI"/>
      <w:sz w:val="18"/>
      <w:szCs w:val="18"/>
    </w:rPr>
  </w:style>
  <w:style w:type="character" w:styleId="normaltextrun" w:customStyle="1">
    <w:name w:val="normaltextrun"/>
    <w:basedOn w:val="DefaultParagraphFont"/>
    <w:rsid w:val="00543F8B"/>
  </w:style>
  <w:style w:type="character" w:styleId="eop" w:customStyle="1">
    <w:name w:val="eop"/>
    <w:basedOn w:val="DefaultParagraphFont"/>
    <w:rsid w:val="004C2D6D"/>
  </w:style>
  <w:style w:type="paragraph" w:styleId="paragraph" w:customStyle="1">
    <w:name w:val="paragraph"/>
    <w:basedOn w:val="Normal"/>
    <w:rsid w:val="00561C4D"/>
    <w:pPr>
      <w:spacing w:before="100" w:beforeAutospacing="1" w:after="100" w:afterAutospacing="1"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561C4D"/>
  </w:style>
  <w:style w:type="paragraph" w:styleId="Header">
    <w:name w:val="header"/>
    <w:basedOn w:val="Normal"/>
    <w:link w:val="HeaderChar"/>
    <w:uiPriority w:val="99"/>
    <w:unhideWhenUsed/>
    <w:rsid w:val="00256C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6CB3"/>
  </w:style>
  <w:style w:type="paragraph" w:styleId="Footer">
    <w:name w:val="footer"/>
    <w:basedOn w:val="Normal"/>
    <w:link w:val="FooterChar"/>
    <w:uiPriority w:val="99"/>
    <w:unhideWhenUsed/>
    <w:rsid w:val="00256C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31348">
      <w:bodyDiv w:val="1"/>
      <w:marLeft w:val="0"/>
      <w:marRight w:val="0"/>
      <w:marTop w:val="0"/>
      <w:marBottom w:val="0"/>
      <w:divBdr>
        <w:top w:val="none" w:sz="0" w:space="0" w:color="auto"/>
        <w:left w:val="none" w:sz="0" w:space="0" w:color="auto"/>
        <w:bottom w:val="none" w:sz="0" w:space="0" w:color="auto"/>
        <w:right w:val="none" w:sz="0" w:space="0" w:color="auto"/>
      </w:divBdr>
    </w:div>
    <w:div w:id="21095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dc.gov/labquality/docs/waived-tests/self-assessment-checklist-good-testing-practice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lsi.org/standards/products/general-laboratory/documents/gp4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dc.gov/labquality/waived-tests.html" TargetMode="External" Id="rId11" /><Relationship Type="http://schemas.openxmlformats.org/officeDocument/2006/relationships/styles" Target="styles.xml" Id="rId5" /><Relationship Type="http://schemas.openxmlformats.org/officeDocument/2006/relationships/hyperlink" Target="https://opentextbc.ca/clinicalskills/chapter/8-2-glucometer-use/"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ownhall.virginia.gov/l/GetFile.cfm?File=meeting%5C27%5C32375%5CAgenda_DHP_32375_v1.pdf" TargetMode="External" Id="rId14" /><Relationship Type="http://schemas.openxmlformats.org/officeDocument/2006/relationships/hyperlink" Target="https://www.cdc.gov/injection-safety/hcp/infection-control" TargetMode="External" Id="Re4365668f77445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5C7DC9C6D3B4C94A54863F8E535FD" ma:contentTypeVersion="12" ma:contentTypeDescription="Create a new document." ma:contentTypeScope="" ma:versionID="38d8e4e23802f94f5431115dd9be382c">
  <xsd:schema xmlns:xsd="http://www.w3.org/2001/XMLSchema" xmlns:xs="http://www.w3.org/2001/XMLSchema" xmlns:p="http://schemas.microsoft.com/office/2006/metadata/properties" xmlns:ns2="1eb65c12-1b26-43f8-bbb5-34262027510a" xmlns:ns3="320b1d41-39dd-4dfc-9748-a33c589cc199" targetNamespace="http://schemas.microsoft.com/office/2006/metadata/properties" ma:root="true" ma:fieldsID="42bbf1171a0e6fd3014ec384dc25e6b5" ns2:_="" ns3:_="">
    <xsd:import namespace="1eb65c12-1b26-43f8-bbb5-34262027510a"/>
    <xsd:import namespace="320b1d41-39dd-4dfc-9748-a33c589cc1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65c12-1b26-43f8-bbb5-342620275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b1d41-39dd-4dfc-9748-a33c589cc1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025FE-1804-47A9-A51B-6ECC5944F7B7}">
  <ds:schemaRefs>
    <ds:schemaRef ds:uri="http://schemas.microsoft.com/sharepoint/v3/contenttype/forms"/>
  </ds:schemaRefs>
</ds:datastoreItem>
</file>

<file path=customXml/itemProps2.xml><?xml version="1.0" encoding="utf-8"?>
<ds:datastoreItem xmlns:ds="http://schemas.openxmlformats.org/officeDocument/2006/customXml" ds:itemID="{8D979335-E014-4776-9D74-00866AD71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65c12-1b26-43f8-bbb5-34262027510a"/>
    <ds:schemaRef ds:uri="320b1d41-39dd-4dfc-9748-a33c589cc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8861C-A3D0-4C94-91C1-D7E62906AEDA}">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1eb65c12-1b26-43f8-bbb5-34262027510a"/>
    <ds:schemaRef ds:uri="http://purl.org/dc/terms/"/>
    <ds:schemaRef ds:uri="http://purl.org/dc/dcmitype/"/>
    <ds:schemaRef ds:uri="http://schemas.microsoft.com/office/infopath/2007/PartnerControls"/>
    <ds:schemaRef ds:uri="320b1d41-39dd-4dfc-9748-a33c589cc1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Kiefer, Carolyn (VDH)</dc:creator>
  <keywords/>
  <dc:description/>
  <lastModifiedBy>Chapman, Andrea (VDH)</lastModifiedBy>
  <revision>11</revision>
  <dcterms:created xsi:type="dcterms:W3CDTF">2023-11-03T15:20:00.0000000Z</dcterms:created>
  <dcterms:modified xsi:type="dcterms:W3CDTF">2024-06-05T20:44:51.8122034Z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0x0101001E55C7DC9C6D3B4C94A54863F8E535FD</vt:lpwstr>
  </property>
</Properties>
</file>