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0B4" w:rsidRDefault="007639F6" w:rsidP="0004675D">
      <w:pPr>
        <w:pStyle w:val="BodyText"/>
        <w:spacing w:line="341" w:lineRule="exact"/>
        <w:ind w:left="307" w:right="91"/>
        <w:rPr>
          <w:rFonts w:asciiTheme="minorHAnsi" w:hAnsiTheme="minorHAnsi" w:cstheme="minorHAnsi"/>
          <w:sz w:val="22"/>
          <w:szCs w:val="22"/>
        </w:rPr>
      </w:pPr>
      <w:r w:rsidRPr="0004675D">
        <w:rPr>
          <w:rFonts w:asciiTheme="minorHAnsi" w:hAnsiTheme="minorHAnsi" w:cstheme="minorHAnsi"/>
          <w:sz w:val="22"/>
          <w:szCs w:val="22"/>
        </w:rPr>
        <w:t>Recommended Sputum Sample Collection Schedule for Monitoring Smear and Culture Conversion in Pulmonary Cases</w:t>
      </w:r>
    </w:p>
    <w:p w:rsidR="008860B4" w:rsidRPr="0004675D" w:rsidRDefault="005D38AC" w:rsidP="000E0725">
      <w:pPr>
        <w:pStyle w:val="BodyText"/>
        <w:spacing w:before="26" w:line="341" w:lineRule="exact"/>
        <w:ind w:left="307" w:right="85"/>
        <w:rPr>
          <w:rFonts w:asciiTheme="minorHAnsi" w:hAnsiTheme="minorHAnsi" w:cstheme="minorHAnsi"/>
          <w:sz w:val="22"/>
          <w:szCs w:val="22"/>
        </w:rPr>
      </w:pPr>
      <w:r w:rsidRPr="0004675D">
        <w:rPr>
          <w:rFonts w:asciiTheme="minorHAnsi" w:hAnsiTheme="minorHAnsi" w:cstheme="minorHAnsi"/>
          <w:sz w:val="22"/>
          <w:szCs w:val="22"/>
        </w:rPr>
        <w:t>Virginia Department of Health Tuberculosis Program</w:t>
      </w:r>
    </w:p>
    <w:tbl>
      <w:tblPr>
        <w:tblW w:w="14143" w:type="dxa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3"/>
        <w:gridCol w:w="1530"/>
        <w:gridCol w:w="3600"/>
        <w:gridCol w:w="2790"/>
        <w:gridCol w:w="4500"/>
      </w:tblGrid>
      <w:tr w:rsidR="008860B4" w:rsidRPr="0004675D" w:rsidTr="000E0725">
        <w:trPr>
          <w:trHeight w:val="448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860B4" w:rsidRPr="0004675D" w:rsidRDefault="000E0725" w:rsidP="000E0725">
            <w:pPr>
              <w:pStyle w:val="TableParagraph"/>
              <w:tabs>
                <w:tab w:val="left" w:pos="735"/>
              </w:tabs>
              <w:spacing w:before="8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FFFFFF"/>
              </w:rPr>
              <w:t>Purpos</w:t>
            </w:r>
            <w:r w:rsidR="007639F6" w:rsidRPr="0004675D">
              <w:rPr>
                <w:rFonts w:asciiTheme="minorHAnsi" w:hAnsiTheme="minorHAnsi" w:cstheme="minorHAnsi"/>
                <w:color w:val="FFFFFF"/>
              </w:rPr>
              <w:t>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860B4" w:rsidRPr="0004675D" w:rsidRDefault="0004675D" w:rsidP="000E0725">
            <w:pPr>
              <w:pStyle w:val="TableParagraph"/>
              <w:tabs>
                <w:tab w:val="left" w:pos="735"/>
              </w:tabs>
              <w:spacing w:before="8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FFFFFF"/>
              </w:rPr>
              <w:t xml:space="preserve"> </w:t>
            </w:r>
            <w:r w:rsidR="007639F6" w:rsidRPr="0004675D">
              <w:rPr>
                <w:rFonts w:asciiTheme="minorHAnsi" w:hAnsiTheme="minorHAnsi" w:cstheme="minorHAnsi"/>
                <w:color w:val="FFFFFF"/>
              </w:rPr>
              <w:t>Monitoring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860B4" w:rsidRPr="0004675D" w:rsidRDefault="007639F6" w:rsidP="000E0725">
            <w:pPr>
              <w:pStyle w:val="TableParagraph"/>
              <w:tabs>
                <w:tab w:val="left" w:pos="735"/>
              </w:tabs>
              <w:spacing w:before="89"/>
              <w:ind w:left="1048" w:right="1041" w:hanging="846"/>
              <w:rPr>
                <w:rFonts w:asciiTheme="minorHAnsi" w:hAnsiTheme="minorHAnsi" w:cstheme="minorHAnsi"/>
              </w:rPr>
            </w:pPr>
            <w:r w:rsidRPr="0004675D">
              <w:rPr>
                <w:rFonts w:asciiTheme="minorHAnsi" w:hAnsiTheme="minorHAnsi" w:cstheme="minorHAnsi"/>
                <w:color w:val="FFFFFF"/>
              </w:rPr>
              <w:t>Frequency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860B4" w:rsidRPr="0004675D" w:rsidRDefault="007639F6" w:rsidP="000E0725">
            <w:pPr>
              <w:pStyle w:val="TableParagraph"/>
              <w:tabs>
                <w:tab w:val="left" w:pos="735"/>
              </w:tabs>
              <w:spacing w:before="89"/>
              <w:ind w:left="680" w:hanging="568"/>
              <w:rPr>
                <w:rFonts w:asciiTheme="minorHAnsi" w:hAnsiTheme="minorHAnsi" w:cstheme="minorHAnsi"/>
              </w:rPr>
            </w:pPr>
            <w:r w:rsidRPr="0004675D">
              <w:rPr>
                <w:rFonts w:asciiTheme="minorHAnsi" w:hAnsiTheme="minorHAnsi" w:cstheme="minorHAnsi"/>
                <w:color w:val="FFFFFF"/>
              </w:rPr>
              <w:t>Number of specimens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860B4" w:rsidRPr="0004675D" w:rsidRDefault="007639F6" w:rsidP="000E0725">
            <w:pPr>
              <w:pStyle w:val="TableParagraph"/>
              <w:tabs>
                <w:tab w:val="left" w:pos="735"/>
              </w:tabs>
              <w:spacing w:before="89"/>
              <w:ind w:left="1142" w:right="1132" w:hanging="1045"/>
              <w:rPr>
                <w:rFonts w:asciiTheme="minorHAnsi" w:hAnsiTheme="minorHAnsi" w:cstheme="minorHAnsi"/>
              </w:rPr>
            </w:pPr>
            <w:r w:rsidRPr="0004675D">
              <w:rPr>
                <w:rFonts w:asciiTheme="minorHAnsi" w:hAnsiTheme="minorHAnsi" w:cstheme="minorHAnsi"/>
                <w:color w:val="FFFFFF"/>
              </w:rPr>
              <w:t>Comments</w:t>
            </w:r>
          </w:p>
        </w:tc>
      </w:tr>
      <w:tr w:rsidR="008860B4" w:rsidRPr="0004675D" w:rsidTr="000E0725">
        <w:trPr>
          <w:trHeight w:val="1694"/>
        </w:trPr>
        <w:tc>
          <w:tcPr>
            <w:tcW w:w="1723" w:type="dxa"/>
            <w:tcBorders>
              <w:top w:val="nil"/>
            </w:tcBorders>
          </w:tcPr>
          <w:p w:rsidR="008860B4" w:rsidRPr="0004675D" w:rsidRDefault="007639F6" w:rsidP="0004675D">
            <w:pPr>
              <w:pStyle w:val="TableParagraph"/>
              <w:spacing w:before="24" w:line="252" w:lineRule="exact"/>
              <w:ind w:left="105" w:right="226"/>
              <w:rPr>
                <w:rFonts w:asciiTheme="minorHAnsi" w:hAnsiTheme="minorHAnsi" w:cstheme="minorHAnsi"/>
              </w:rPr>
            </w:pPr>
            <w:r w:rsidRPr="0004675D">
              <w:rPr>
                <w:rFonts w:asciiTheme="minorHAnsi" w:hAnsiTheme="minorHAnsi" w:cstheme="minorHAnsi"/>
              </w:rPr>
              <w:t>Determine infectiousness</w:t>
            </w:r>
          </w:p>
          <w:p w:rsidR="008860B4" w:rsidRPr="0004675D" w:rsidRDefault="007639F6" w:rsidP="0004675D">
            <w:pPr>
              <w:pStyle w:val="TableParagraph"/>
              <w:spacing w:line="252" w:lineRule="exact"/>
              <w:ind w:left="105" w:right="226"/>
              <w:rPr>
                <w:rFonts w:asciiTheme="minorHAnsi" w:hAnsiTheme="minorHAnsi" w:cstheme="minorHAnsi"/>
                <w:b/>
              </w:rPr>
            </w:pPr>
            <w:r w:rsidRPr="0004675D">
              <w:rPr>
                <w:rFonts w:asciiTheme="minorHAnsi" w:hAnsiTheme="minorHAnsi" w:cstheme="minorHAnsi"/>
                <w:b/>
              </w:rPr>
              <w:t>and</w:t>
            </w:r>
          </w:p>
          <w:p w:rsidR="008860B4" w:rsidRPr="0004675D" w:rsidRDefault="007639F6" w:rsidP="0004675D">
            <w:pPr>
              <w:pStyle w:val="TableParagraph"/>
              <w:spacing w:line="252" w:lineRule="exact"/>
              <w:ind w:left="105" w:right="226"/>
              <w:rPr>
                <w:rFonts w:asciiTheme="minorHAnsi" w:hAnsiTheme="minorHAnsi" w:cstheme="minorHAnsi"/>
              </w:rPr>
            </w:pPr>
            <w:r w:rsidRPr="0004675D">
              <w:rPr>
                <w:rFonts w:asciiTheme="minorHAnsi" w:hAnsiTheme="minorHAnsi" w:cstheme="minorHAnsi"/>
              </w:rPr>
              <w:t>Confirmation of TB disease</w:t>
            </w:r>
          </w:p>
        </w:tc>
        <w:tc>
          <w:tcPr>
            <w:tcW w:w="1530" w:type="dxa"/>
            <w:tcBorders>
              <w:top w:val="nil"/>
            </w:tcBorders>
          </w:tcPr>
          <w:p w:rsidR="008860B4" w:rsidRPr="0004675D" w:rsidRDefault="007639F6" w:rsidP="000E0725">
            <w:pPr>
              <w:pStyle w:val="TableParagraph"/>
              <w:spacing w:before="24" w:line="264" w:lineRule="auto"/>
              <w:ind w:left="89" w:right="83"/>
              <w:rPr>
                <w:rFonts w:asciiTheme="minorHAnsi" w:hAnsiTheme="minorHAnsi" w:cstheme="minorHAnsi"/>
              </w:rPr>
            </w:pPr>
            <w:r w:rsidRPr="0004675D">
              <w:rPr>
                <w:rFonts w:asciiTheme="minorHAnsi" w:hAnsiTheme="minorHAnsi" w:cstheme="minorHAnsi"/>
              </w:rPr>
              <w:t>Initial contact with client</w:t>
            </w:r>
          </w:p>
        </w:tc>
        <w:tc>
          <w:tcPr>
            <w:tcW w:w="3600" w:type="dxa"/>
            <w:tcBorders>
              <w:top w:val="nil"/>
            </w:tcBorders>
          </w:tcPr>
          <w:p w:rsidR="008860B4" w:rsidRPr="0004675D" w:rsidRDefault="007639F6" w:rsidP="0004675D">
            <w:pPr>
              <w:pStyle w:val="TableParagraph"/>
              <w:spacing w:before="24"/>
              <w:ind w:left="89"/>
              <w:rPr>
                <w:rFonts w:asciiTheme="minorHAnsi" w:hAnsiTheme="minorHAnsi" w:cstheme="minorHAnsi"/>
              </w:rPr>
            </w:pPr>
            <w:r w:rsidRPr="0004675D">
              <w:rPr>
                <w:rFonts w:asciiTheme="minorHAnsi" w:hAnsiTheme="minorHAnsi" w:cstheme="minorHAnsi"/>
              </w:rPr>
              <w:t>Collect 3 consecutive specimens</w:t>
            </w:r>
          </w:p>
        </w:tc>
        <w:tc>
          <w:tcPr>
            <w:tcW w:w="2790" w:type="dxa"/>
            <w:tcBorders>
              <w:top w:val="nil"/>
            </w:tcBorders>
          </w:tcPr>
          <w:p w:rsidR="008860B4" w:rsidRPr="0004675D" w:rsidRDefault="007639F6" w:rsidP="0004675D">
            <w:pPr>
              <w:pStyle w:val="TableParagraph"/>
              <w:spacing w:before="24"/>
              <w:ind w:left="112" w:right="618"/>
              <w:rPr>
                <w:rFonts w:asciiTheme="minorHAnsi" w:hAnsiTheme="minorHAnsi" w:cstheme="minorHAnsi"/>
              </w:rPr>
            </w:pPr>
            <w:r w:rsidRPr="0004675D">
              <w:rPr>
                <w:rFonts w:asciiTheme="minorHAnsi" w:hAnsiTheme="minorHAnsi" w:cstheme="minorHAnsi"/>
              </w:rPr>
              <w:t>Minimum of 3 samples, with one collected in the early morning.</w:t>
            </w:r>
          </w:p>
          <w:p w:rsidR="008860B4" w:rsidRPr="0004675D" w:rsidRDefault="008860B4" w:rsidP="0004675D">
            <w:pPr>
              <w:pStyle w:val="TableParagraph"/>
              <w:spacing w:before="6"/>
              <w:ind w:left="112"/>
              <w:rPr>
                <w:rFonts w:asciiTheme="minorHAnsi" w:hAnsiTheme="minorHAnsi" w:cstheme="minorHAnsi"/>
                <w:b/>
              </w:rPr>
            </w:pPr>
          </w:p>
          <w:p w:rsidR="008860B4" w:rsidRPr="0004675D" w:rsidRDefault="00684F51" w:rsidP="0004675D">
            <w:pPr>
              <w:pStyle w:val="TableParagraph"/>
              <w:spacing w:before="1"/>
              <w:ind w:left="112" w:right="12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If diagnosis </w:t>
            </w:r>
            <w:proofErr w:type="gramStart"/>
            <w:r>
              <w:rPr>
                <w:rFonts w:asciiTheme="minorHAnsi" w:hAnsiTheme="minorHAnsi" w:cstheme="minorHAnsi"/>
              </w:rPr>
              <w:t xml:space="preserve">was </w:t>
            </w:r>
            <w:r w:rsidR="007639F6" w:rsidRPr="0004675D">
              <w:rPr>
                <w:rFonts w:asciiTheme="minorHAnsi" w:hAnsiTheme="minorHAnsi" w:cstheme="minorHAnsi"/>
                <w:b/>
              </w:rPr>
              <w:t>confirmed</w:t>
            </w:r>
            <w:proofErr w:type="gramEnd"/>
            <w:r w:rsidR="007639F6" w:rsidRPr="0004675D">
              <w:rPr>
                <w:rFonts w:asciiTheme="minorHAnsi" w:hAnsiTheme="minorHAnsi" w:cstheme="minorHAnsi"/>
                <w:b/>
              </w:rPr>
              <w:t xml:space="preserve"> </w:t>
            </w:r>
            <w:r w:rsidR="0004675D" w:rsidRPr="0004675D">
              <w:rPr>
                <w:rFonts w:asciiTheme="minorHAnsi" w:hAnsiTheme="minorHAnsi" w:cstheme="minorHAnsi"/>
              </w:rPr>
              <w:t>before the client wa</w:t>
            </w:r>
            <w:r w:rsidR="007639F6" w:rsidRPr="0004675D">
              <w:rPr>
                <w:rFonts w:asciiTheme="minorHAnsi" w:hAnsiTheme="minorHAnsi" w:cstheme="minorHAnsi"/>
              </w:rPr>
              <w:t>s reported, collect 3 additional specimens to determine if infectious.</w:t>
            </w:r>
          </w:p>
        </w:tc>
        <w:tc>
          <w:tcPr>
            <w:tcW w:w="4500" w:type="dxa"/>
            <w:tcBorders>
              <w:top w:val="nil"/>
            </w:tcBorders>
          </w:tcPr>
          <w:p w:rsidR="008860B4" w:rsidRPr="0004675D" w:rsidRDefault="007639F6" w:rsidP="0004675D">
            <w:pPr>
              <w:pStyle w:val="TableParagraph"/>
              <w:spacing w:before="24"/>
              <w:ind w:left="97" w:right="245"/>
              <w:rPr>
                <w:rFonts w:asciiTheme="minorHAnsi" w:hAnsiTheme="minorHAnsi" w:cstheme="minorHAnsi"/>
              </w:rPr>
            </w:pPr>
            <w:r w:rsidRPr="0004675D">
              <w:rPr>
                <w:rFonts w:asciiTheme="minorHAnsi" w:hAnsiTheme="minorHAnsi" w:cstheme="minorHAnsi"/>
              </w:rPr>
              <w:t xml:space="preserve">At least one specimen </w:t>
            </w:r>
            <w:r w:rsidR="00AE1BA8">
              <w:rPr>
                <w:rFonts w:asciiTheme="minorHAnsi" w:hAnsiTheme="minorHAnsi" w:cstheme="minorHAnsi"/>
              </w:rPr>
              <w:t>collection should be observed/</w:t>
            </w:r>
            <w:r w:rsidRPr="0004675D">
              <w:rPr>
                <w:rFonts w:asciiTheme="minorHAnsi" w:hAnsiTheme="minorHAnsi" w:cstheme="minorHAnsi"/>
              </w:rPr>
              <w:t>coached by HD staff.</w:t>
            </w:r>
            <w:r w:rsidR="000E0725">
              <w:rPr>
                <w:rFonts w:asciiTheme="minorHAnsi" w:hAnsiTheme="minorHAnsi" w:cstheme="minorHAnsi"/>
              </w:rPr>
              <w:t xml:space="preserve"> </w:t>
            </w:r>
          </w:p>
          <w:p w:rsidR="008860B4" w:rsidRPr="0004675D" w:rsidRDefault="008860B4" w:rsidP="0004675D">
            <w:pPr>
              <w:pStyle w:val="TableParagraph"/>
              <w:spacing w:before="6"/>
              <w:ind w:left="97"/>
              <w:rPr>
                <w:rFonts w:asciiTheme="minorHAnsi" w:hAnsiTheme="minorHAnsi" w:cstheme="minorHAnsi"/>
                <w:b/>
              </w:rPr>
            </w:pPr>
          </w:p>
          <w:p w:rsidR="008860B4" w:rsidRDefault="007639F6" w:rsidP="0004675D">
            <w:pPr>
              <w:pStyle w:val="TableParagraph"/>
              <w:spacing w:before="1"/>
              <w:ind w:left="97" w:right="446"/>
              <w:rPr>
                <w:rFonts w:asciiTheme="minorHAnsi" w:hAnsiTheme="minorHAnsi" w:cstheme="minorHAnsi"/>
              </w:rPr>
            </w:pPr>
            <w:r w:rsidRPr="0004675D">
              <w:rPr>
                <w:rFonts w:asciiTheme="minorHAnsi" w:hAnsiTheme="minorHAnsi" w:cstheme="minorHAnsi"/>
              </w:rPr>
              <w:t>At minimum, samples should be at least 8 hours apart.</w:t>
            </w:r>
          </w:p>
          <w:p w:rsidR="000E0725" w:rsidRDefault="000E0725" w:rsidP="0004675D">
            <w:pPr>
              <w:pStyle w:val="TableParagraph"/>
              <w:spacing w:before="1"/>
              <w:ind w:left="97" w:right="446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  <w:p w:rsidR="000E0725" w:rsidRDefault="00AE1BA8" w:rsidP="000E0725">
            <w:pPr>
              <w:pStyle w:val="TableParagraph"/>
              <w:spacing w:before="1"/>
              <w:ind w:left="97" w:right="84"/>
              <w:rPr>
                <w:rFonts w:asciiTheme="minorHAnsi" w:hAnsiTheme="minorHAnsi" w:cstheme="minorHAnsi"/>
              </w:rPr>
            </w:pPr>
            <w:hyperlink r:id="rId4" w:history="1">
              <w:r w:rsidR="000E0725" w:rsidRPr="000E0725">
                <w:rPr>
                  <w:rStyle w:val="Hyperlink"/>
                  <w:rFonts w:asciiTheme="minorHAnsi" w:hAnsiTheme="minorHAnsi" w:cstheme="minorHAnsi"/>
                </w:rPr>
                <w:t>Guidance for high quality sputum collection.</w:t>
              </w:r>
            </w:hyperlink>
          </w:p>
          <w:p w:rsidR="000E0725" w:rsidRDefault="000E0725" w:rsidP="0004675D">
            <w:pPr>
              <w:pStyle w:val="TableParagraph"/>
              <w:spacing w:before="1"/>
              <w:ind w:left="97" w:right="446"/>
              <w:rPr>
                <w:rFonts w:asciiTheme="minorHAnsi" w:hAnsiTheme="minorHAnsi" w:cstheme="minorHAnsi"/>
              </w:rPr>
            </w:pPr>
          </w:p>
          <w:p w:rsidR="000E0725" w:rsidRPr="0004675D" w:rsidRDefault="000E0725" w:rsidP="000E0725">
            <w:pPr>
              <w:pStyle w:val="TableParagraph"/>
              <w:spacing w:before="1"/>
              <w:ind w:left="97" w:right="44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Submit specimens to the lab as soon as possible.  Do not hold and submit specimens in a batch. </w:t>
            </w:r>
          </w:p>
        </w:tc>
      </w:tr>
      <w:tr w:rsidR="008860B4" w:rsidRPr="0004675D" w:rsidTr="000E0725">
        <w:trPr>
          <w:trHeight w:val="3221"/>
        </w:trPr>
        <w:tc>
          <w:tcPr>
            <w:tcW w:w="1723" w:type="dxa"/>
          </w:tcPr>
          <w:p w:rsidR="008860B4" w:rsidRPr="0004675D" w:rsidRDefault="007639F6" w:rsidP="0004675D">
            <w:pPr>
              <w:pStyle w:val="TableParagraph"/>
              <w:spacing w:before="19" w:line="254" w:lineRule="auto"/>
              <w:ind w:left="105" w:right="338"/>
              <w:rPr>
                <w:rFonts w:asciiTheme="minorHAnsi" w:hAnsiTheme="minorHAnsi" w:cstheme="minorHAnsi"/>
              </w:rPr>
            </w:pPr>
            <w:r w:rsidRPr="0004675D">
              <w:rPr>
                <w:rFonts w:asciiTheme="minorHAnsi" w:hAnsiTheme="minorHAnsi" w:cstheme="minorHAnsi"/>
              </w:rPr>
              <w:t xml:space="preserve">Establish </w:t>
            </w:r>
            <w:r w:rsidRPr="0004675D">
              <w:rPr>
                <w:rFonts w:asciiTheme="minorHAnsi" w:hAnsiTheme="minorHAnsi" w:cstheme="minorHAnsi"/>
                <w:spacing w:val="-6"/>
              </w:rPr>
              <w:t xml:space="preserve">the </w:t>
            </w:r>
            <w:r w:rsidRPr="0004675D">
              <w:rPr>
                <w:rFonts w:asciiTheme="minorHAnsi" w:hAnsiTheme="minorHAnsi" w:cstheme="minorHAnsi"/>
                <w:spacing w:val="-9"/>
                <w:u w:val="single"/>
              </w:rPr>
              <w:t xml:space="preserve">earliest </w:t>
            </w:r>
            <w:r w:rsidRPr="0004675D">
              <w:rPr>
                <w:rFonts w:asciiTheme="minorHAnsi" w:hAnsiTheme="minorHAnsi" w:cstheme="minorHAnsi"/>
                <w:u w:val="single"/>
              </w:rPr>
              <w:t>date</w:t>
            </w:r>
            <w:r w:rsidRPr="0004675D">
              <w:rPr>
                <w:rFonts w:asciiTheme="minorHAnsi" w:hAnsiTheme="minorHAnsi" w:cstheme="minorHAnsi"/>
              </w:rPr>
              <w:t xml:space="preserve"> a </w:t>
            </w:r>
            <w:r w:rsidRPr="0004675D">
              <w:rPr>
                <w:rFonts w:asciiTheme="minorHAnsi" w:hAnsiTheme="minorHAnsi" w:cstheme="minorHAnsi"/>
                <w:spacing w:val="-5"/>
              </w:rPr>
              <w:t xml:space="preserve">client can </w:t>
            </w:r>
            <w:r w:rsidRPr="0004675D">
              <w:rPr>
                <w:rFonts w:asciiTheme="minorHAnsi" w:hAnsiTheme="minorHAnsi" w:cstheme="minorHAnsi"/>
              </w:rPr>
              <w:t xml:space="preserve">be </w:t>
            </w:r>
            <w:r w:rsidRPr="0004675D">
              <w:rPr>
                <w:rFonts w:asciiTheme="minorHAnsi" w:hAnsiTheme="minorHAnsi" w:cstheme="minorHAnsi"/>
                <w:spacing w:val="-6"/>
              </w:rPr>
              <w:t xml:space="preserve">considered non-infectious </w:t>
            </w:r>
            <w:r w:rsidRPr="0004675D">
              <w:rPr>
                <w:rFonts w:asciiTheme="minorHAnsi" w:hAnsiTheme="minorHAnsi" w:cstheme="minorHAnsi"/>
                <w:spacing w:val="-4"/>
              </w:rPr>
              <w:t xml:space="preserve">and </w:t>
            </w:r>
            <w:r w:rsidRPr="0004675D">
              <w:rPr>
                <w:rFonts w:asciiTheme="minorHAnsi" w:hAnsiTheme="minorHAnsi" w:cstheme="minorHAnsi"/>
                <w:spacing w:val="-5"/>
              </w:rPr>
              <w:t xml:space="preserve">can </w:t>
            </w:r>
            <w:r w:rsidRPr="0004675D">
              <w:rPr>
                <w:rFonts w:asciiTheme="minorHAnsi" w:hAnsiTheme="minorHAnsi" w:cstheme="minorHAnsi"/>
                <w:spacing w:val="-3"/>
              </w:rPr>
              <w:t xml:space="preserve">be </w:t>
            </w:r>
            <w:r w:rsidRPr="0004675D">
              <w:rPr>
                <w:rFonts w:asciiTheme="minorHAnsi" w:hAnsiTheme="minorHAnsi" w:cstheme="minorHAnsi"/>
                <w:spacing w:val="-5"/>
              </w:rPr>
              <w:t xml:space="preserve">removed </w:t>
            </w:r>
            <w:r w:rsidRPr="0004675D">
              <w:rPr>
                <w:rFonts w:asciiTheme="minorHAnsi" w:hAnsiTheme="minorHAnsi" w:cstheme="minorHAnsi"/>
              </w:rPr>
              <w:t>from isolation</w:t>
            </w:r>
          </w:p>
        </w:tc>
        <w:tc>
          <w:tcPr>
            <w:tcW w:w="1530" w:type="dxa"/>
          </w:tcPr>
          <w:p w:rsidR="008860B4" w:rsidRPr="0004675D" w:rsidRDefault="007639F6" w:rsidP="0004675D">
            <w:pPr>
              <w:pStyle w:val="TableParagraph"/>
              <w:spacing w:before="19"/>
              <w:ind w:left="89" w:right="83"/>
              <w:rPr>
                <w:rFonts w:asciiTheme="minorHAnsi" w:hAnsiTheme="minorHAnsi" w:cstheme="minorHAnsi"/>
              </w:rPr>
            </w:pPr>
            <w:r w:rsidRPr="0004675D">
              <w:rPr>
                <w:rFonts w:asciiTheme="minorHAnsi" w:hAnsiTheme="minorHAnsi" w:cstheme="minorHAnsi"/>
              </w:rPr>
              <w:t>Smear conversion or smear improvement</w:t>
            </w:r>
            <w:r w:rsidR="007153DF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3600" w:type="dxa"/>
          </w:tcPr>
          <w:p w:rsidR="008860B4" w:rsidRPr="0004675D" w:rsidRDefault="007153DF" w:rsidP="0004675D">
            <w:pPr>
              <w:pStyle w:val="TableParagraph"/>
              <w:ind w:left="89" w:right="13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Collect one </w:t>
            </w:r>
            <w:r w:rsidR="007639F6" w:rsidRPr="0004675D">
              <w:rPr>
                <w:rFonts w:asciiTheme="minorHAnsi" w:hAnsiTheme="minorHAnsi" w:cstheme="minorHAnsi"/>
              </w:rPr>
              <w:t>specimen every 7–10 days; with maximum of 3/month</w:t>
            </w:r>
          </w:p>
          <w:p w:rsidR="008860B4" w:rsidRPr="0004675D" w:rsidRDefault="008860B4" w:rsidP="0004675D">
            <w:pPr>
              <w:pStyle w:val="TableParagraph"/>
              <w:spacing w:before="6"/>
              <w:ind w:left="89"/>
              <w:rPr>
                <w:rFonts w:asciiTheme="minorHAnsi" w:hAnsiTheme="minorHAnsi" w:cstheme="minorHAnsi"/>
                <w:b/>
              </w:rPr>
            </w:pPr>
          </w:p>
          <w:p w:rsidR="008860B4" w:rsidRPr="0004675D" w:rsidRDefault="007639F6" w:rsidP="0004675D">
            <w:pPr>
              <w:pStyle w:val="TableParagraph"/>
              <w:ind w:left="89" w:right="183"/>
              <w:rPr>
                <w:rFonts w:asciiTheme="minorHAnsi" w:hAnsiTheme="minorHAnsi" w:cstheme="minorHAnsi"/>
              </w:rPr>
            </w:pPr>
            <w:r w:rsidRPr="0004675D">
              <w:rPr>
                <w:rFonts w:asciiTheme="minorHAnsi" w:hAnsiTheme="minorHAnsi" w:cstheme="minorHAnsi"/>
              </w:rPr>
              <w:t>One specimen should be collected 55-60 days after treatment initiation</w:t>
            </w:r>
          </w:p>
          <w:p w:rsidR="008860B4" w:rsidRPr="0004675D" w:rsidRDefault="008860B4" w:rsidP="0004675D">
            <w:pPr>
              <w:pStyle w:val="TableParagraph"/>
              <w:spacing w:before="4"/>
              <w:ind w:left="89"/>
              <w:rPr>
                <w:rFonts w:asciiTheme="minorHAnsi" w:hAnsiTheme="minorHAnsi" w:cstheme="minorHAnsi"/>
                <w:b/>
              </w:rPr>
            </w:pPr>
          </w:p>
          <w:p w:rsidR="008860B4" w:rsidRPr="0004675D" w:rsidRDefault="007153DF" w:rsidP="0004675D">
            <w:pPr>
              <w:pStyle w:val="TableParagraph"/>
              <w:ind w:left="89" w:right="42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If </w:t>
            </w:r>
            <w:r w:rsidR="007639F6" w:rsidRPr="0004675D">
              <w:rPr>
                <w:rFonts w:asciiTheme="minorHAnsi" w:hAnsiTheme="minorHAnsi" w:cstheme="minorHAnsi"/>
              </w:rPr>
              <w:t>urgent to remove from isolation, upon the first negative smear follow with collecting one every other day. If any have a positive smear resume 7-10 day frequency</w:t>
            </w:r>
          </w:p>
        </w:tc>
        <w:tc>
          <w:tcPr>
            <w:tcW w:w="2790" w:type="dxa"/>
          </w:tcPr>
          <w:p w:rsidR="008860B4" w:rsidRPr="0004675D" w:rsidRDefault="007639F6" w:rsidP="0004675D">
            <w:pPr>
              <w:pStyle w:val="TableParagraph"/>
              <w:spacing w:before="19"/>
              <w:ind w:left="112" w:right="328"/>
              <w:rPr>
                <w:rFonts w:asciiTheme="minorHAnsi" w:hAnsiTheme="minorHAnsi" w:cstheme="minorHAnsi"/>
              </w:rPr>
            </w:pPr>
            <w:r w:rsidRPr="0004675D">
              <w:rPr>
                <w:rFonts w:asciiTheme="minorHAnsi" w:hAnsiTheme="minorHAnsi" w:cstheme="minorHAnsi"/>
              </w:rPr>
              <w:t>Total number of specimens will vary from client to client.</w:t>
            </w:r>
          </w:p>
          <w:p w:rsidR="008860B4" w:rsidRPr="0004675D" w:rsidRDefault="008860B4" w:rsidP="0004675D">
            <w:pPr>
              <w:pStyle w:val="TableParagraph"/>
              <w:spacing w:before="2"/>
              <w:ind w:left="112"/>
              <w:rPr>
                <w:rFonts w:asciiTheme="minorHAnsi" w:hAnsiTheme="minorHAnsi" w:cstheme="minorHAnsi"/>
                <w:b/>
              </w:rPr>
            </w:pPr>
          </w:p>
          <w:p w:rsidR="008860B4" w:rsidRPr="0004675D" w:rsidRDefault="007639F6" w:rsidP="0004675D">
            <w:pPr>
              <w:pStyle w:val="TableParagraph"/>
              <w:ind w:left="112" w:right="177"/>
              <w:rPr>
                <w:rFonts w:asciiTheme="minorHAnsi" w:hAnsiTheme="minorHAnsi" w:cstheme="minorHAnsi"/>
              </w:rPr>
            </w:pPr>
            <w:r w:rsidRPr="0004675D">
              <w:rPr>
                <w:rFonts w:asciiTheme="minorHAnsi" w:hAnsiTheme="minorHAnsi" w:cstheme="minorHAnsi"/>
              </w:rPr>
              <w:t>When there is evidence of increasing difficulty with spontaneous sputum production collect a specimen every 7 days, not every 10 days</w:t>
            </w:r>
          </w:p>
        </w:tc>
        <w:tc>
          <w:tcPr>
            <w:tcW w:w="4500" w:type="dxa"/>
          </w:tcPr>
          <w:p w:rsidR="008860B4" w:rsidRPr="0004675D" w:rsidRDefault="007639F6" w:rsidP="0004675D">
            <w:pPr>
              <w:pStyle w:val="TableParagraph"/>
              <w:spacing w:before="19"/>
              <w:ind w:left="97" w:right="165"/>
              <w:rPr>
                <w:rFonts w:asciiTheme="minorHAnsi" w:hAnsiTheme="minorHAnsi" w:cstheme="minorHAnsi"/>
              </w:rPr>
            </w:pPr>
            <w:proofErr w:type="gramStart"/>
            <w:r w:rsidRPr="0004675D">
              <w:rPr>
                <w:rFonts w:asciiTheme="minorHAnsi" w:hAnsiTheme="minorHAnsi" w:cstheme="minorHAnsi"/>
              </w:rPr>
              <w:t>Single specimens should be observed by HD staff</w:t>
            </w:r>
            <w:r w:rsidR="004E594B">
              <w:rPr>
                <w:rFonts w:asciiTheme="minorHAnsi" w:hAnsiTheme="minorHAnsi" w:cstheme="minorHAnsi"/>
              </w:rPr>
              <w:t xml:space="preserve"> when feasible</w:t>
            </w:r>
            <w:proofErr w:type="gramEnd"/>
            <w:r w:rsidRPr="0004675D">
              <w:rPr>
                <w:rFonts w:asciiTheme="minorHAnsi" w:hAnsiTheme="minorHAnsi" w:cstheme="minorHAnsi"/>
              </w:rPr>
              <w:t>.</w:t>
            </w:r>
          </w:p>
          <w:p w:rsidR="008860B4" w:rsidRPr="0004675D" w:rsidRDefault="008860B4" w:rsidP="0004675D">
            <w:pPr>
              <w:pStyle w:val="TableParagraph"/>
              <w:spacing w:before="11"/>
              <w:ind w:left="97"/>
              <w:rPr>
                <w:rFonts w:asciiTheme="minorHAnsi" w:hAnsiTheme="minorHAnsi" w:cstheme="minorHAnsi"/>
                <w:b/>
              </w:rPr>
            </w:pPr>
          </w:p>
          <w:p w:rsidR="008860B4" w:rsidRPr="0004675D" w:rsidRDefault="007639F6" w:rsidP="0004675D">
            <w:pPr>
              <w:pStyle w:val="TableParagraph"/>
              <w:ind w:left="97" w:right="275"/>
              <w:rPr>
                <w:rFonts w:asciiTheme="minorHAnsi" w:hAnsiTheme="minorHAnsi" w:cstheme="minorHAnsi"/>
              </w:rPr>
            </w:pPr>
            <w:r w:rsidRPr="0004675D">
              <w:rPr>
                <w:rFonts w:asciiTheme="minorHAnsi" w:hAnsiTheme="minorHAnsi" w:cstheme="minorHAnsi"/>
              </w:rPr>
              <w:t>Collecting a specimen 55 – 60 days after treatment initiation provides valuable information about treatment response</w:t>
            </w:r>
          </w:p>
          <w:p w:rsidR="008860B4" w:rsidRPr="0004675D" w:rsidRDefault="008860B4" w:rsidP="0004675D">
            <w:pPr>
              <w:pStyle w:val="TableParagraph"/>
              <w:spacing w:before="9"/>
              <w:ind w:left="97"/>
              <w:rPr>
                <w:rFonts w:asciiTheme="minorHAnsi" w:hAnsiTheme="minorHAnsi" w:cstheme="minorHAnsi"/>
                <w:b/>
              </w:rPr>
            </w:pPr>
          </w:p>
          <w:p w:rsidR="008860B4" w:rsidRPr="0004675D" w:rsidRDefault="007639F6" w:rsidP="0004675D">
            <w:pPr>
              <w:pStyle w:val="TableParagraph"/>
              <w:ind w:left="97" w:right="144"/>
              <w:rPr>
                <w:rFonts w:asciiTheme="minorHAnsi" w:hAnsiTheme="minorHAnsi" w:cstheme="minorHAnsi"/>
              </w:rPr>
            </w:pPr>
            <w:r w:rsidRPr="0004675D">
              <w:rPr>
                <w:rFonts w:asciiTheme="minorHAnsi" w:hAnsiTheme="minorHAnsi" w:cstheme="minorHAnsi"/>
                <w:b/>
              </w:rPr>
              <w:t xml:space="preserve">Additional criteria to release from isolation </w:t>
            </w:r>
            <w:r w:rsidRPr="0004675D">
              <w:rPr>
                <w:rFonts w:asciiTheme="minorHAnsi" w:hAnsiTheme="minorHAnsi" w:cstheme="minorHAnsi"/>
              </w:rPr>
              <w:t>“</w:t>
            </w:r>
            <w:hyperlink r:id="rId5" w:history="1">
              <w:r w:rsidRPr="007153DF">
                <w:rPr>
                  <w:rStyle w:val="Hyperlink"/>
                  <w:rFonts w:asciiTheme="minorHAnsi" w:hAnsiTheme="minorHAnsi" w:cstheme="minorHAnsi"/>
                </w:rPr>
                <w:t>Controlling Tuberculosis in the United States</w:t>
              </w:r>
            </w:hyperlink>
            <w:r w:rsidRPr="0004675D">
              <w:rPr>
                <w:rFonts w:asciiTheme="minorHAnsi" w:hAnsiTheme="minorHAnsi" w:cstheme="minorHAnsi"/>
              </w:rPr>
              <w:t>,” 11/4/2005, Vol. 54, No. RR- 12, Page 9, Box 3</w:t>
            </w:r>
          </w:p>
        </w:tc>
      </w:tr>
      <w:tr w:rsidR="008860B4" w:rsidRPr="0004675D" w:rsidTr="000E0725">
        <w:trPr>
          <w:trHeight w:val="2503"/>
        </w:trPr>
        <w:tc>
          <w:tcPr>
            <w:tcW w:w="1723" w:type="dxa"/>
          </w:tcPr>
          <w:p w:rsidR="008860B4" w:rsidRPr="0004675D" w:rsidRDefault="007639F6" w:rsidP="007153DF">
            <w:pPr>
              <w:pStyle w:val="TableParagraph"/>
              <w:spacing w:before="19"/>
              <w:ind w:left="105" w:right="83"/>
              <w:rPr>
                <w:rFonts w:asciiTheme="minorHAnsi" w:hAnsiTheme="minorHAnsi" w:cstheme="minorHAnsi"/>
              </w:rPr>
            </w:pPr>
            <w:r w:rsidRPr="0004675D">
              <w:rPr>
                <w:rFonts w:asciiTheme="minorHAnsi" w:hAnsiTheme="minorHAnsi" w:cstheme="minorHAnsi"/>
              </w:rPr>
              <w:t>Monitor for response to treatment</w:t>
            </w:r>
          </w:p>
          <w:p w:rsidR="0004675D" w:rsidRDefault="007639F6" w:rsidP="0004675D">
            <w:pPr>
              <w:pStyle w:val="TableParagraph"/>
              <w:spacing w:before="2" w:line="252" w:lineRule="auto"/>
              <w:ind w:left="105" w:right="397"/>
              <w:rPr>
                <w:rFonts w:asciiTheme="minorHAnsi" w:hAnsiTheme="minorHAnsi" w:cstheme="minorHAnsi"/>
                <w:b/>
              </w:rPr>
            </w:pPr>
            <w:r w:rsidRPr="0004675D">
              <w:rPr>
                <w:rFonts w:asciiTheme="minorHAnsi" w:hAnsiTheme="minorHAnsi" w:cstheme="minorHAnsi"/>
                <w:b/>
              </w:rPr>
              <w:t xml:space="preserve">and </w:t>
            </w:r>
          </w:p>
          <w:p w:rsidR="008860B4" w:rsidRPr="0004675D" w:rsidRDefault="007153DF" w:rsidP="0004675D">
            <w:pPr>
              <w:pStyle w:val="TableParagraph"/>
              <w:spacing w:before="2" w:line="252" w:lineRule="auto"/>
              <w:ind w:left="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Determine</w:t>
            </w:r>
            <w:r w:rsidR="0004675D">
              <w:rPr>
                <w:rFonts w:asciiTheme="minorHAnsi" w:hAnsiTheme="minorHAnsi" w:cstheme="minorHAnsi"/>
              </w:rPr>
              <w:t xml:space="preserve"> </w:t>
            </w:r>
            <w:r w:rsidR="007639F6" w:rsidRPr="0004675D">
              <w:rPr>
                <w:rFonts w:asciiTheme="minorHAnsi" w:hAnsiTheme="minorHAnsi" w:cstheme="minorHAnsi"/>
              </w:rPr>
              <w:t>need for extension of treatment</w:t>
            </w:r>
          </w:p>
        </w:tc>
        <w:tc>
          <w:tcPr>
            <w:tcW w:w="1530" w:type="dxa"/>
          </w:tcPr>
          <w:p w:rsidR="008860B4" w:rsidRPr="0004675D" w:rsidRDefault="007639F6" w:rsidP="0004675D">
            <w:pPr>
              <w:pStyle w:val="TableParagraph"/>
              <w:spacing w:before="19"/>
              <w:ind w:left="89" w:right="83"/>
              <w:rPr>
                <w:rFonts w:asciiTheme="minorHAnsi" w:hAnsiTheme="minorHAnsi" w:cstheme="minorHAnsi"/>
              </w:rPr>
            </w:pPr>
            <w:r w:rsidRPr="0004675D">
              <w:rPr>
                <w:rFonts w:asciiTheme="minorHAnsi" w:hAnsiTheme="minorHAnsi" w:cstheme="minorHAnsi"/>
              </w:rPr>
              <w:t>Culture conversion</w:t>
            </w:r>
          </w:p>
        </w:tc>
        <w:tc>
          <w:tcPr>
            <w:tcW w:w="3600" w:type="dxa"/>
          </w:tcPr>
          <w:p w:rsidR="008860B4" w:rsidRPr="0004675D" w:rsidRDefault="007153DF" w:rsidP="0004675D">
            <w:pPr>
              <w:pStyle w:val="TableParagraph"/>
              <w:spacing w:before="26"/>
              <w:ind w:left="89" w:right="12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Collect on</w:t>
            </w:r>
            <w:r w:rsidR="007639F6" w:rsidRPr="0004675D">
              <w:rPr>
                <w:rFonts w:asciiTheme="minorHAnsi" w:hAnsiTheme="minorHAnsi" w:cstheme="minorHAnsi"/>
              </w:rPr>
              <w:t xml:space="preserve">e sample </w:t>
            </w:r>
            <w:r>
              <w:rPr>
                <w:rFonts w:asciiTheme="minorHAnsi" w:hAnsiTheme="minorHAnsi" w:cstheme="minorHAnsi"/>
              </w:rPr>
              <w:t>every 7-</w:t>
            </w:r>
            <w:r w:rsidR="007639F6" w:rsidRPr="0004675D">
              <w:rPr>
                <w:rFonts w:asciiTheme="minorHAnsi" w:hAnsiTheme="minorHAnsi" w:cstheme="minorHAnsi"/>
              </w:rPr>
              <w:t xml:space="preserve">10 days, with maximum of 3/month, until 2 consecutive sputum </w:t>
            </w:r>
            <w:r w:rsidR="007639F6" w:rsidRPr="0004675D">
              <w:rPr>
                <w:rFonts w:asciiTheme="minorHAnsi" w:hAnsiTheme="minorHAnsi" w:cstheme="minorHAnsi"/>
                <w:u w:val="single"/>
              </w:rPr>
              <w:t xml:space="preserve">cultures </w:t>
            </w:r>
            <w:r w:rsidR="007639F6" w:rsidRPr="0004675D">
              <w:rPr>
                <w:rFonts w:asciiTheme="minorHAnsi" w:hAnsiTheme="minorHAnsi" w:cstheme="minorHAnsi"/>
              </w:rPr>
              <w:t>are negative with no positive culture results thereafter.</w:t>
            </w:r>
          </w:p>
          <w:p w:rsidR="007153DF" w:rsidRDefault="007153DF" w:rsidP="0004675D">
            <w:pPr>
              <w:pStyle w:val="TableParagraph"/>
              <w:spacing w:before="35"/>
              <w:ind w:left="89" w:right="48" w:hanging="3"/>
              <w:rPr>
                <w:rFonts w:asciiTheme="minorHAnsi" w:hAnsiTheme="minorHAnsi" w:cstheme="minorHAnsi"/>
                <w:b/>
              </w:rPr>
            </w:pPr>
          </w:p>
          <w:p w:rsidR="008860B4" w:rsidRPr="0004675D" w:rsidRDefault="007639F6" w:rsidP="0004675D">
            <w:pPr>
              <w:pStyle w:val="TableParagraph"/>
              <w:spacing w:before="35"/>
              <w:ind w:left="89" w:right="48" w:hanging="3"/>
              <w:rPr>
                <w:rFonts w:asciiTheme="minorHAnsi" w:hAnsiTheme="minorHAnsi" w:cstheme="minorHAnsi"/>
              </w:rPr>
            </w:pPr>
            <w:r w:rsidRPr="0004675D">
              <w:rPr>
                <w:rFonts w:asciiTheme="minorHAnsi" w:hAnsiTheme="minorHAnsi" w:cstheme="minorHAnsi"/>
                <w:b/>
              </w:rPr>
              <w:t xml:space="preserve">Continue monthly collection until treatment completion for: </w:t>
            </w:r>
            <w:proofErr w:type="spellStart"/>
            <w:r w:rsidRPr="0004675D">
              <w:rPr>
                <w:rFonts w:asciiTheme="minorHAnsi" w:hAnsiTheme="minorHAnsi" w:cstheme="minorHAnsi"/>
              </w:rPr>
              <w:t>Rifamycin</w:t>
            </w:r>
            <w:proofErr w:type="spellEnd"/>
            <w:r w:rsidRPr="0004675D">
              <w:rPr>
                <w:rFonts w:asciiTheme="minorHAnsi" w:hAnsiTheme="minorHAnsi" w:cstheme="minorHAnsi"/>
              </w:rPr>
              <w:t xml:space="preserve"> resistance; MDR/XDR-TB; HIV+</w:t>
            </w:r>
          </w:p>
        </w:tc>
        <w:tc>
          <w:tcPr>
            <w:tcW w:w="2790" w:type="dxa"/>
          </w:tcPr>
          <w:p w:rsidR="008860B4" w:rsidRPr="0004675D" w:rsidRDefault="007639F6" w:rsidP="0004675D">
            <w:pPr>
              <w:pStyle w:val="TableParagraph"/>
              <w:spacing w:before="19"/>
              <w:ind w:left="112" w:right="62"/>
              <w:rPr>
                <w:rFonts w:asciiTheme="minorHAnsi" w:hAnsiTheme="minorHAnsi" w:cstheme="minorHAnsi"/>
              </w:rPr>
            </w:pPr>
            <w:r w:rsidRPr="0004675D">
              <w:rPr>
                <w:rFonts w:asciiTheme="minorHAnsi" w:hAnsiTheme="minorHAnsi" w:cstheme="minorHAnsi"/>
              </w:rPr>
              <w:t xml:space="preserve">Until 2 consecutive sputum </w:t>
            </w:r>
            <w:r w:rsidRPr="0004675D">
              <w:rPr>
                <w:rFonts w:asciiTheme="minorHAnsi" w:hAnsiTheme="minorHAnsi" w:cstheme="minorHAnsi"/>
                <w:u w:val="single"/>
              </w:rPr>
              <w:t xml:space="preserve">cultures </w:t>
            </w:r>
            <w:r w:rsidRPr="0004675D">
              <w:rPr>
                <w:rFonts w:asciiTheme="minorHAnsi" w:hAnsiTheme="minorHAnsi" w:cstheme="minorHAnsi"/>
              </w:rPr>
              <w:t>are negative with no positive culture results thereafter.</w:t>
            </w:r>
          </w:p>
        </w:tc>
        <w:tc>
          <w:tcPr>
            <w:tcW w:w="4500" w:type="dxa"/>
          </w:tcPr>
          <w:p w:rsidR="008860B4" w:rsidRPr="0004675D" w:rsidRDefault="007639F6" w:rsidP="0004675D">
            <w:pPr>
              <w:pStyle w:val="TableParagraph"/>
              <w:spacing w:before="19"/>
              <w:ind w:left="97" w:right="165"/>
              <w:rPr>
                <w:rFonts w:asciiTheme="minorHAnsi" w:hAnsiTheme="minorHAnsi" w:cstheme="minorHAnsi"/>
              </w:rPr>
            </w:pPr>
            <w:proofErr w:type="gramStart"/>
            <w:r w:rsidRPr="0004675D">
              <w:rPr>
                <w:rFonts w:asciiTheme="minorHAnsi" w:hAnsiTheme="minorHAnsi" w:cstheme="minorHAnsi"/>
              </w:rPr>
              <w:t>Single specimens should be observed by HD staff</w:t>
            </w:r>
            <w:r w:rsidR="004E594B">
              <w:rPr>
                <w:rFonts w:asciiTheme="minorHAnsi" w:hAnsiTheme="minorHAnsi" w:cstheme="minorHAnsi"/>
              </w:rPr>
              <w:t xml:space="preserve"> when feasible</w:t>
            </w:r>
            <w:proofErr w:type="gramEnd"/>
            <w:r w:rsidRPr="0004675D">
              <w:rPr>
                <w:rFonts w:asciiTheme="minorHAnsi" w:hAnsiTheme="minorHAnsi" w:cstheme="minorHAnsi"/>
              </w:rPr>
              <w:t>.</w:t>
            </w:r>
          </w:p>
          <w:p w:rsidR="008860B4" w:rsidRPr="0004675D" w:rsidRDefault="008860B4" w:rsidP="0004675D">
            <w:pPr>
              <w:pStyle w:val="TableParagraph"/>
              <w:spacing w:before="9"/>
              <w:ind w:left="97"/>
              <w:rPr>
                <w:rFonts w:asciiTheme="minorHAnsi" w:hAnsiTheme="minorHAnsi" w:cstheme="minorHAnsi"/>
                <w:b/>
              </w:rPr>
            </w:pPr>
          </w:p>
          <w:p w:rsidR="008860B4" w:rsidRPr="0004675D" w:rsidRDefault="007639F6" w:rsidP="0004675D">
            <w:pPr>
              <w:pStyle w:val="TableParagraph"/>
              <w:spacing w:before="1"/>
              <w:ind w:left="97" w:right="245"/>
              <w:rPr>
                <w:rFonts w:asciiTheme="minorHAnsi" w:hAnsiTheme="minorHAnsi" w:cstheme="minorHAnsi"/>
              </w:rPr>
            </w:pPr>
            <w:r w:rsidRPr="0004675D">
              <w:rPr>
                <w:rFonts w:asciiTheme="minorHAnsi" w:hAnsiTheme="minorHAnsi" w:cstheme="minorHAnsi"/>
              </w:rPr>
              <w:t>If unable to produc</w:t>
            </w:r>
            <w:r w:rsidR="004E594B">
              <w:rPr>
                <w:rFonts w:asciiTheme="minorHAnsi" w:hAnsiTheme="minorHAnsi" w:cstheme="minorHAnsi"/>
              </w:rPr>
              <w:t>e sputa spontaneously, s</w:t>
            </w:r>
            <w:r w:rsidR="0014203C">
              <w:rPr>
                <w:rFonts w:asciiTheme="minorHAnsi" w:hAnsiTheme="minorHAnsi" w:cstheme="minorHAnsi"/>
              </w:rPr>
              <w:t>everal 2</w:t>
            </w:r>
            <w:r w:rsidRPr="0004675D">
              <w:rPr>
                <w:rFonts w:asciiTheme="minorHAnsi" w:hAnsiTheme="minorHAnsi" w:cstheme="minorHAnsi"/>
              </w:rPr>
              <w:t>0 minute induction attempts on different days, including early AM, should be undertaken before deciding that a client can no longer produce sputum.</w:t>
            </w:r>
          </w:p>
        </w:tc>
      </w:tr>
    </w:tbl>
    <w:p w:rsidR="00017D34" w:rsidRDefault="00684F51" w:rsidP="0004675D">
      <w:pPr>
        <w:spacing w:before="35"/>
        <w:ind w:left="1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*A</w:t>
      </w:r>
      <w:r w:rsidR="007153DF" w:rsidRPr="007153DF">
        <w:rPr>
          <w:rFonts w:asciiTheme="minorHAnsi" w:hAnsiTheme="minorHAnsi" w:cstheme="minorHAnsi"/>
        </w:rPr>
        <w:t xml:space="preserve"> smear result from DCLS that indicates </w:t>
      </w:r>
      <w:r>
        <w:rPr>
          <w:rFonts w:asciiTheme="minorHAnsi" w:hAnsiTheme="minorHAnsi" w:cstheme="minorHAnsi"/>
        </w:rPr>
        <w:t>‘</w:t>
      </w:r>
      <w:r>
        <w:rPr>
          <w:rFonts w:asciiTheme="minorHAnsi" w:hAnsiTheme="minorHAnsi" w:cstheme="minorHAnsi"/>
          <w:b/>
          <w:bCs/>
        </w:rPr>
        <w:t>1-2 AFB seen’</w:t>
      </w:r>
      <w:r w:rsidR="00A64D7F">
        <w:rPr>
          <w:rFonts w:asciiTheme="minorHAnsi" w:hAnsiTheme="minorHAnsi" w:cstheme="minorHAnsi"/>
        </w:rPr>
        <w:t>, i</w:t>
      </w:r>
      <w:r w:rsidR="007153DF" w:rsidRPr="007153DF">
        <w:rPr>
          <w:rFonts w:asciiTheme="minorHAnsi" w:hAnsiTheme="minorHAnsi" w:cstheme="minorHAnsi"/>
        </w:rPr>
        <w:t>s not classified as negative or positive. The result includes language</w:t>
      </w:r>
      <w:r>
        <w:rPr>
          <w:rFonts w:asciiTheme="minorHAnsi" w:hAnsiTheme="minorHAnsi" w:cstheme="minorHAnsi"/>
        </w:rPr>
        <w:t xml:space="preserve"> that recommends</w:t>
      </w:r>
      <w:r w:rsidR="007153DF" w:rsidRPr="007153DF">
        <w:rPr>
          <w:rFonts w:asciiTheme="minorHAnsi" w:hAnsiTheme="minorHAnsi" w:cstheme="minorHAnsi"/>
        </w:rPr>
        <w:t xml:space="preserve"> collection of another specimen. Prior to collecting another specimen, consider the case at hand, and </w:t>
      </w:r>
      <w:r>
        <w:rPr>
          <w:rFonts w:asciiTheme="minorHAnsi" w:hAnsiTheme="minorHAnsi" w:cstheme="minorHAnsi"/>
        </w:rPr>
        <w:t>whether</w:t>
      </w:r>
      <w:r w:rsidR="007153DF" w:rsidRPr="007153DF">
        <w:rPr>
          <w:rFonts w:asciiTheme="minorHAnsi" w:hAnsiTheme="minorHAnsi" w:cstheme="minorHAnsi"/>
        </w:rPr>
        <w:t xml:space="preserve"> a case mana</w:t>
      </w:r>
      <w:r>
        <w:rPr>
          <w:rFonts w:asciiTheme="minorHAnsi" w:hAnsiTheme="minorHAnsi" w:cstheme="minorHAnsi"/>
        </w:rPr>
        <w:t xml:space="preserve">gement decision needs to </w:t>
      </w:r>
      <w:proofErr w:type="gramStart"/>
      <w:r>
        <w:rPr>
          <w:rFonts w:asciiTheme="minorHAnsi" w:hAnsiTheme="minorHAnsi" w:cstheme="minorHAnsi"/>
        </w:rPr>
        <w:t>be made</w:t>
      </w:r>
      <w:proofErr w:type="gramEnd"/>
      <w:r w:rsidR="007153DF" w:rsidRPr="007153DF">
        <w:rPr>
          <w:rFonts w:asciiTheme="minorHAnsi" w:hAnsiTheme="minorHAnsi" w:cstheme="minorHAnsi"/>
        </w:rPr>
        <w:t xml:space="preserve"> based on this result.  Do not hesitate to reach out to the TB Program or treating clinician to discuss the result and decide on next steps.</w:t>
      </w:r>
    </w:p>
    <w:p w:rsidR="007153DF" w:rsidRPr="0004675D" w:rsidRDefault="007153DF" w:rsidP="0004675D">
      <w:pPr>
        <w:spacing w:before="35"/>
        <w:ind w:left="104"/>
        <w:rPr>
          <w:rFonts w:asciiTheme="minorHAnsi" w:hAnsiTheme="minorHAnsi" w:cstheme="minorHAnsi"/>
        </w:rPr>
      </w:pPr>
    </w:p>
    <w:p w:rsidR="008860B4" w:rsidRPr="0004675D" w:rsidRDefault="007153DF" w:rsidP="0004675D">
      <w:pPr>
        <w:spacing w:before="35"/>
        <w:ind w:left="1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VDH TB 01/2021</w:t>
      </w:r>
    </w:p>
    <w:sectPr w:rsidR="008860B4" w:rsidRPr="0004675D" w:rsidSect="007153DF">
      <w:type w:val="continuous"/>
      <w:pgSz w:w="15840" w:h="12240" w:orient="landscape"/>
      <w:pgMar w:top="432" w:right="720" w:bottom="27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0B4"/>
    <w:rsid w:val="00017D34"/>
    <w:rsid w:val="0004675D"/>
    <w:rsid w:val="000E0725"/>
    <w:rsid w:val="0014203C"/>
    <w:rsid w:val="001818A4"/>
    <w:rsid w:val="004E594B"/>
    <w:rsid w:val="005D38AC"/>
    <w:rsid w:val="00684F51"/>
    <w:rsid w:val="007153DF"/>
    <w:rsid w:val="00747FEA"/>
    <w:rsid w:val="007639F6"/>
    <w:rsid w:val="00874B2B"/>
    <w:rsid w:val="008860B4"/>
    <w:rsid w:val="00A64D7F"/>
    <w:rsid w:val="00AE1BA8"/>
    <w:rsid w:val="00C5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A242C"/>
  <w15:docId w15:val="{765AF217-7165-4C2F-842C-BCE37B9C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4"/>
    </w:pPr>
  </w:style>
  <w:style w:type="character" w:styleId="Hyperlink">
    <w:name w:val="Hyperlink"/>
    <w:basedOn w:val="DefaultParagraphFont"/>
    <w:uiPriority w:val="99"/>
    <w:unhideWhenUsed/>
    <w:rsid w:val="007153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dc.gov/mmwr/preview/mmwrhtml/rr5412a1.htm" TargetMode="External"/><Relationship Id="rId4" Type="http://schemas.openxmlformats.org/officeDocument/2006/relationships/hyperlink" Target="https://www.aphl.org/programs/infectious_disease/tuberculosis/Documents/April_2018_Guidelines%20for%20Submission%20of%20Sputum%20Specimens%20for%20Tuberculosis%20Testing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Khalil, Amanda Maust (VDH)</dc:creator>
  <cp:lastModifiedBy>Amanda Khalil</cp:lastModifiedBy>
  <cp:revision>11</cp:revision>
  <dcterms:created xsi:type="dcterms:W3CDTF">2021-01-11T19:45:00Z</dcterms:created>
  <dcterms:modified xsi:type="dcterms:W3CDTF">2021-01-22T21:21:00Z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2018-11-07T00:00:00Z</vt:filetime>
  </property>
  <property fmtid="{D5CDD505-2E9C-101B-9397-08002B2CF9AE}" pid="3" name="LastSaved">
    <vt:filetime>2020-07-30T00:00:00Z</vt:filetime>
  </property>
</Properties>
</file>