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CCA5C" w14:textId="0DE7BC6C" w:rsidR="004C43A4" w:rsidRPr="00A277FB" w:rsidRDefault="00A277FB">
      <w:pPr>
        <w:rPr>
          <w:b/>
          <w:sz w:val="36"/>
          <w:szCs w:val="36"/>
        </w:rPr>
      </w:pPr>
      <w:r w:rsidRPr="00A277FB">
        <w:rPr>
          <w:noProof/>
          <w:sz w:val="36"/>
          <w:szCs w:val="36"/>
        </w:rPr>
        <w:drawing>
          <wp:anchor distT="0" distB="0" distL="114300" distR="114300" simplePos="0" relativeHeight="251658240" behindDoc="0" locked="0" layoutInCell="1" allowOverlap="1" wp14:anchorId="40D9CC22" wp14:editId="32234ECA">
            <wp:simplePos x="0" y="0"/>
            <wp:positionH relativeFrom="margin">
              <wp:align>right</wp:align>
            </wp:positionH>
            <wp:positionV relativeFrom="paragraph">
              <wp:posOffset>0</wp:posOffset>
            </wp:positionV>
            <wp:extent cx="1729105" cy="619125"/>
            <wp:effectExtent l="0" t="0" r="4445" b="9525"/>
            <wp:wrapSquare wrapText="bothSides"/>
            <wp:docPr id="1" name="Picture 1" descr="C:\Users\kfa77897\Pictures\VDH-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fa77897\Pictures\VDH-bla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910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094D" w:rsidRPr="00A277FB">
        <w:rPr>
          <w:b/>
          <w:color w:val="000000" w:themeColor="text1"/>
          <w:sz w:val="36"/>
          <w:szCs w:val="36"/>
        </w:rPr>
        <w:t xml:space="preserve">Working </w:t>
      </w:r>
      <w:r w:rsidR="00FC5A1C" w:rsidRPr="00A277FB">
        <w:rPr>
          <w:b/>
          <w:sz w:val="36"/>
          <w:szCs w:val="36"/>
        </w:rPr>
        <w:t xml:space="preserve">Guidance for </w:t>
      </w:r>
      <w:r w:rsidR="00AC6C46" w:rsidRPr="00A277FB">
        <w:rPr>
          <w:b/>
          <w:sz w:val="36"/>
          <w:szCs w:val="36"/>
        </w:rPr>
        <w:t>Cyanobacteria Bloom</w:t>
      </w:r>
      <w:r w:rsidR="00BE0757" w:rsidRPr="00A277FB">
        <w:rPr>
          <w:b/>
          <w:sz w:val="36"/>
          <w:szCs w:val="36"/>
        </w:rPr>
        <w:t xml:space="preserve"> Advisory Management </w:t>
      </w:r>
    </w:p>
    <w:p w14:paraId="10DC05A4" w14:textId="5AB40B6B" w:rsidR="00BE0757" w:rsidRPr="00A277FB" w:rsidRDefault="0075094D">
      <w:pPr>
        <w:rPr>
          <w:i/>
        </w:rPr>
      </w:pPr>
      <w:r w:rsidRPr="00A277FB">
        <w:rPr>
          <w:i/>
        </w:rPr>
        <w:t xml:space="preserve">Updated </w:t>
      </w:r>
      <w:r w:rsidR="00A120F4" w:rsidRPr="00A277FB">
        <w:rPr>
          <w:i/>
        </w:rPr>
        <w:t>12</w:t>
      </w:r>
      <w:r w:rsidR="00B265F9" w:rsidRPr="00A277FB">
        <w:rPr>
          <w:i/>
        </w:rPr>
        <w:t xml:space="preserve"> </w:t>
      </w:r>
      <w:r w:rsidR="00A120F4" w:rsidRPr="00A277FB">
        <w:rPr>
          <w:i/>
        </w:rPr>
        <w:t>Feb</w:t>
      </w:r>
      <w:r w:rsidR="00B265F9" w:rsidRPr="00A277FB">
        <w:rPr>
          <w:i/>
        </w:rPr>
        <w:t>.</w:t>
      </w:r>
      <w:r w:rsidR="00A120F4" w:rsidRPr="00A277FB">
        <w:rPr>
          <w:i/>
        </w:rPr>
        <w:t xml:space="preserve"> 2021</w:t>
      </w:r>
    </w:p>
    <w:p w14:paraId="4826F065" w14:textId="4D246C01" w:rsidR="00A277FB" w:rsidRDefault="00A277FB">
      <w:r>
        <w:t>For more information on t</w:t>
      </w:r>
      <w:r w:rsidR="00A93006">
        <w:t xml:space="preserve">his guidance please contact </w:t>
      </w:r>
      <w:hyperlink r:id="rId6" w:history="1">
        <w:r w:rsidRPr="00491973">
          <w:rPr>
            <w:rStyle w:val="Hyperlink"/>
          </w:rPr>
          <w:t>Margaret.Smigo@vdh.virginia.gov</w:t>
        </w:r>
      </w:hyperlink>
      <w:r>
        <w:rPr>
          <w:rStyle w:val="Hyperlink"/>
          <w:color w:val="auto"/>
          <w:u w:val="none"/>
        </w:rPr>
        <w:t xml:space="preserve">. </w:t>
      </w:r>
      <w:r>
        <w:t xml:space="preserve">This guidance is posted at </w:t>
      </w:r>
      <w:hyperlink r:id="rId7" w:history="1">
        <w:r w:rsidRPr="00EC4990">
          <w:rPr>
            <w:rStyle w:val="Hyperlink"/>
          </w:rPr>
          <w:t>www.SwimHealthyVa.com</w:t>
        </w:r>
      </w:hyperlink>
      <w:r>
        <w:t>.</w:t>
      </w:r>
    </w:p>
    <w:p w14:paraId="63D10C5D" w14:textId="77777777" w:rsidR="00235F45" w:rsidRPr="00235F45" w:rsidRDefault="00235F45" w:rsidP="00A277FB">
      <w:pPr>
        <w:spacing w:after="0" w:line="240" w:lineRule="auto"/>
        <w:rPr>
          <w:b/>
        </w:rPr>
      </w:pPr>
      <w:r w:rsidRPr="00235F45">
        <w:rPr>
          <w:b/>
        </w:rPr>
        <w:t>Advisory thresholds</w:t>
      </w:r>
    </w:p>
    <w:p w14:paraId="65D436EE" w14:textId="6274DDD1" w:rsidR="00235F45" w:rsidRDefault="00B27C32" w:rsidP="00A277FB">
      <w:pPr>
        <w:spacing w:after="0" w:line="240" w:lineRule="auto"/>
      </w:pPr>
      <w:r>
        <w:t xml:space="preserve">The Environmental Protection Agency (EPA) issued recommended recreational water quality criteria for </w:t>
      </w:r>
      <w:r w:rsidR="00B64AA6">
        <w:t>microcystin</w:t>
      </w:r>
      <w:r>
        <w:t xml:space="preserve"> and cylindrospermopsin in May 2019. These recommendations include</w:t>
      </w:r>
      <w:r w:rsidR="00547A37">
        <w:t xml:space="preserve"> water column</w:t>
      </w:r>
      <w:r>
        <w:t xml:space="preserve"> thresholds for both cyanobacteria cell counts and specific toxin concentrations.  The Virginia Department of Health (VDH) thresholds described here </w:t>
      </w:r>
      <w:r w:rsidR="00C3181D">
        <w:t>are based on the EPA recommendations</w:t>
      </w:r>
      <w:r>
        <w:t>.   R</w:t>
      </w:r>
      <w:r w:rsidR="00FE2E6D" w:rsidRPr="002905B4">
        <w:t xml:space="preserve">ecreational (swimming) advisories will be recommended when water column sample concentrations are greater than or equal to any of the </w:t>
      </w:r>
      <w:r w:rsidR="006E76F1">
        <w:t xml:space="preserve">below </w:t>
      </w:r>
      <w:r w:rsidR="00FE2E6D" w:rsidRPr="002905B4">
        <w:t xml:space="preserve">thresholds </w:t>
      </w:r>
      <w:r w:rsidR="006E76F1">
        <w:t>associated with Harmful Algal Bl</w:t>
      </w:r>
      <w:r w:rsidR="00235F45">
        <w:t>o</w:t>
      </w:r>
      <w:r w:rsidR="006E76F1">
        <w:t xml:space="preserve">oms (HABs; </w:t>
      </w:r>
      <w:r w:rsidR="00FE2E6D" w:rsidRPr="002905B4">
        <w:t>Table 1</w:t>
      </w:r>
      <w:r w:rsidR="006E76F1">
        <w:t>)</w:t>
      </w:r>
      <w:r w:rsidR="00B64AA6">
        <w:t>.</w:t>
      </w:r>
      <w:r w:rsidR="00FE2E6D" w:rsidRPr="002905B4">
        <w:t xml:space="preserve"> In addition</w:t>
      </w:r>
      <w:r w:rsidR="00356CC5">
        <w:t>,</w:t>
      </w:r>
      <w:r w:rsidR="00FE2E6D" w:rsidRPr="002905B4">
        <w:t xml:space="preserve"> the presence and extent of </w:t>
      </w:r>
      <w:r w:rsidR="00547A37">
        <w:t xml:space="preserve">potentially toxic </w:t>
      </w:r>
      <w:r w:rsidR="00FE2E6D" w:rsidRPr="002905B4">
        <w:t>algal scums or mats may be used in conjunction with these thresholds as grounds for issuance of advisories.</w:t>
      </w:r>
      <w:r w:rsidR="00FE2E6D">
        <w:t xml:space="preserve"> </w:t>
      </w:r>
      <w:r w:rsidR="00B64AA6">
        <w:t>R</w:t>
      </w:r>
      <w:r w:rsidR="00B04800">
        <w:t xml:space="preserve">esponses </w:t>
      </w:r>
      <w:r w:rsidR="00B64AA6">
        <w:t xml:space="preserve">to suspected blooms are prioritized </w:t>
      </w:r>
      <w:r w:rsidR="00B04800">
        <w:t>during the recreational season (May</w:t>
      </w:r>
      <w:r w:rsidR="00356CC5">
        <w:t xml:space="preserve"> 1 through </w:t>
      </w:r>
      <w:r w:rsidR="00B04800">
        <w:t>October</w:t>
      </w:r>
      <w:r w:rsidR="00356CC5">
        <w:t xml:space="preserve"> 31</w:t>
      </w:r>
      <w:r w:rsidR="00B04800">
        <w:t>) and in publicly accessible water bodies.</w:t>
      </w:r>
    </w:p>
    <w:p w14:paraId="0F5808BB" w14:textId="77777777" w:rsidR="00A277FB" w:rsidRDefault="00A277FB" w:rsidP="00A277FB">
      <w:pPr>
        <w:spacing w:after="0" w:line="240" w:lineRule="auto"/>
      </w:pPr>
    </w:p>
    <w:p w14:paraId="194C3EED" w14:textId="29F72DC6" w:rsidR="00235F45" w:rsidRDefault="00FE2E6D" w:rsidP="00A277FB">
      <w:pPr>
        <w:spacing w:after="0" w:line="240" w:lineRule="auto"/>
        <w:rPr>
          <w:i/>
        </w:rPr>
      </w:pPr>
      <w:r>
        <w:t xml:space="preserve">Table 1:  Draft </w:t>
      </w:r>
      <w:r w:rsidR="00B64AA6">
        <w:t xml:space="preserve">cyanobacteria </w:t>
      </w:r>
      <w:r>
        <w:t xml:space="preserve">bloom recreational advisory thresholds. </w:t>
      </w:r>
    </w:p>
    <w:tbl>
      <w:tblPr>
        <w:tblStyle w:val="TableGrid"/>
        <w:tblW w:w="0" w:type="auto"/>
        <w:tblBorders>
          <w:left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169"/>
        <w:gridCol w:w="5181"/>
      </w:tblGrid>
      <w:tr w:rsidR="00235F45" w:rsidRPr="008B4EA4" w14:paraId="1CCCBC90" w14:textId="77777777" w:rsidTr="00235F45">
        <w:tc>
          <w:tcPr>
            <w:tcW w:w="4169" w:type="dxa"/>
            <w:tcBorders>
              <w:top w:val="single" w:sz="4" w:space="0" w:color="auto"/>
              <w:bottom w:val="single" w:sz="4" w:space="0" w:color="auto"/>
            </w:tcBorders>
            <w:vAlign w:val="center"/>
          </w:tcPr>
          <w:p w14:paraId="1D16C43F" w14:textId="77777777" w:rsidR="00235F45" w:rsidRPr="002644EA" w:rsidRDefault="00235F45" w:rsidP="00235F45">
            <w:pPr>
              <w:jc w:val="center"/>
              <w:rPr>
                <w:rFonts w:cstheme="minorHAnsi"/>
                <w:b/>
              </w:rPr>
            </w:pPr>
            <w:r>
              <w:rPr>
                <w:rFonts w:cstheme="minorHAnsi"/>
                <w:b/>
              </w:rPr>
              <w:t>Criteria</w:t>
            </w:r>
          </w:p>
        </w:tc>
        <w:tc>
          <w:tcPr>
            <w:tcW w:w="5181" w:type="dxa"/>
            <w:tcBorders>
              <w:top w:val="single" w:sz="4" w:space="0" w:color="auto"/>
              <w:bottom w:val="single" w:sz="4" w:space="0" w:color="auto"/>
            </w:tcBorders>
            <w:vAlign w:val="center"/>
          </w:tcPr>
          <w:p w14:paraId="0D735691" w14:textId="77777777" w:rsidR="00235F45" w:rsidRPr="002644EA" w:rsidRDefault="00235F45" w:rsidP="00235F45">
            <w:pPr>
              <w:jc w:val="center"/>
              <w:rPr>
                <w:rFonts w:cstheme="minorHAnsi"/>
                <w:b/>
              </w:rPr>
            </w:pPr>
            <w:r>
              <w:rPr>
                <w:rFonts w:cstheme="minorHAnsi"/>
                <w:b/>
              </w:rPr>
              <w:t>Concentration</w:t>
            </w:r>
          </w:p>
        </w:tc>
      </w:tr>
      <w:tr w:rsidR="00235F45" w:rsidRPr="008B4EA4" w14:paraId="5718ACC4" w14:textId="77777777" w:rsidTr="00235F45">
        <w:tc>
          <w:tcPr>
            <w:tcW w:w="4169" w:type="dxa"/>
            <w:tcBorders>
              <w:top w:val="single" w:sz="4" w:space="0" w:color="auto"/>
            </w:tcBorders>
            <w:vAlign w:val="center"/>
          </w:tcPr>
          <w:p w14:paraId="756AA984" w14:textId="1072D872" w:rsidR="00235F45" w:rsidRPr="008B4EA4" w:rsidRDefault="00235F45" w:rsidP="00235F45">
            <w:pPr>
              <w:jc w:val="center"/>
              <w:rPr>
                <w:i/>
              </w:rPr>
            </w:pPr>
            <w:r w:rsidRPr="008B4EA4">
              <w:rPr>
                <w:i/>
              </w:rPr>
              <w:t>Microcystis</w:t>
            </w:r>
            <w:r w:rsidR="001E4E33">
              <w:t xml:space="preserve"> species</w:t>
            </w:r>
          </w:p>
        </w:tc>
        <w:tc>
          <w:tcPr>
            <w:tcW w:w="5181" w:type="dxa"/>
            <w:tcBorders>
              <w:top w:val="single" w:sz="4" w:space="0" w:color="auto"/>
            </w:tcBorders>
            <w:vAlign w:val="center"/>
          </w:tcPr>
          <w:p w14:paraId="17F6188E" w14:textId="77777777" w:rsidR="00235F45" w:rsidRPr="008B4EA4" w:rsidRDefault="00235F45" w:rsidP="00235F45">
            <w:pPr>
              <w:jc w:val="center"/>
            </w:pPr>
            <w:r w:rsidRPr="008B4EA4">
              <w:t>40,000</w:t>
            </w:r>
            <w:r>
              <w:t xml:space="preserve"> </w:t>
            </w:r>
            <w:r w:rsidRPr="008B4EA4">
              <w:t>(total cells/mL)</w:t>
            </w:r>
          </w:p>
        </w:tc>
      </w:tr>
      <w:tr w:rsidR="00235F45" w:rsidRPr="008B4EA4" w14:paraId="16B2E9E2" w14:textId="77777777" w:rsidTr="00235F45">
        <w:tc>
          <w:tcPr>
            <w:tcW w:w="4169" w:type="dxa"/>
            <w:tcBorders>
              <w:bottom w:val="nil"/>
            </w:tcBorders>
            <w:vAlign w:val="center"/>
          </w:tcPr>
          <w:p w14:paraId="68A8C958" w14:textId="3D5F9079" w:rsidR="00235F45" w:rsidRPr="008B4EA4" w:rsidRDefault="001E4E33" w:rsidP="00235F45">
            <w:pPr>
              <w:jc w:val="center"/>
            </w:pPr>
            <w:r>
              <w:t>Total toxigenic species*</w:t>
            </w:r>
          </w:p>
        </w:tc>
        <w:tc>
          <w:tcPr>
            <w:tcW w:w="5181" w:type="dxa"/>
            <w:tcBorders>
              <w:bottom w:val="nil"/>
            </w:tcBorders>
            <w:vAlign w:val="center"/>
          </w:tcPr>
          <w:p w14:paraId="2E41359F" w14:textId="77777777" w:rsidR="00235F45" w:rsidRPr="008B4EA4" w:rsidRDefault="00235F45" w:rsidP="00235F45">
            <w:pPr>
              <w:jc w:val="center"/>
            </w:pPr>
            <w:r w:rsidRPr="008B4EA4">
              <w:t>100,000</w:t>
            </w:r>
            <w:r>
              <w:t xml:space="preserve"> </w:t>
            </w:r>
            <w:r w:rsidRPr="008B4EA4">
              <w:t>(total cells/mL)</w:t>
            </w:r>
          </w:p>
        </w:tc>
      </w:tr>
      <w:tr w:rsidR="00235F45" w:rsidRPr="008B4EA4" w14:paraId="233A77D6" w14:textId="77777777" w:rsidTr="00235F45">
        <w:tc>
          <w:tcPr>
            <w:tcW w:w="4169" w:type="dxa"/>
            <w:tcBorders>
              <w:top w:val="nil"/>
              <w:bottom w:val="nil"/>
            </w:tcBorders>
            <w:vAlign w:val="center"/>
          </w:tcPr>
          <w:p w14:paraId="68C343C3" w14:textId="77777777" w:rsidR="00235F45" w:rsidRPr="008B4EA4" w:rsidRDefault="00235F45" w:rsidP="00235F45">
            <w:pPr>
              <w:jc w:val="center"/>
            </w:pPr>
            <w:r w:rsidRPr="008B4EA4">
              <w:t xml:space="preserve">Microcystin </w:t>
            </w:r>
            <w:r>
              <w:t>toxin</w:t>
            </w:r>
          </w:p>
        </w:tc>
        <w:tc>
          <w:tcPr>
            <w:tcW w:w="5181" w:type="dxa"/>
            <w:tcBorders>
              <w:top w:val="nil"/>
              <w:bottom w:val="nil"/>
            </w:tcBorders>
            <w:vAlign w:val="center"/>
          </w:tcPr>
          <w:p w14:paraId="260B86AE" w14:textId="2930CD2D" w:rsidR="00235F45" w:rsidRPr="008B4EA4" w:rsidRDefault="0048091B" w:rsidP="00547A37">
            <w:pPr>
              <w:jc w:val="center"/>
            </w:pPr>
            <w:r>
              <w:t xml:space="preserve">8 </w:t>
            </w:r>
            <w:r>
              <w:rPr>
                <w:rFonts w:cstheme="minorHAnsi"/>
              </w:rPr>
              <w:t>µ</w:t>
            </w:r>
            <w:r w:rsidR="00235F45" w:rsidRPr="008B4EA4">
              <w:t>g/L</w:t>
            </w:r>
            <w:r w:rsidR="00235F45">
              <w:t xml:space="preserve"> (ppb) </w:t>
            </w:r>
          </w:p>
        </w:tc>
      </w:tr>
      <w:tr w:rsidR="00235F45" w:rsidRPr="008B4EA4" w14:paraId="29102B8E" w14:textId="77777777" w:rsidTr="00235F45">
        <w:tc>
          <w:tcPr>
            <w:tcW w:w="4169" w:type="dxa"/>
            <w:tcBorders>
              <w:top w:val="nil"/>
            </w:tcBorders>
            <w:vAlign w:val="center"/>
          </w:tcPr>
          <w:p w14:paraId="1514102E" w14:textId="77777777" w:rsidR="00235F45" w:rsidRPr="008B4EA4" w:rsidRDefault="00235F45" w:rsidP="00235F45">
            <w:pPr>
              <w:jc w:val="center"/>
            </w:pPr>
            <w:r w:rsidRPr="008B4EA4">
              <w:t xml:space="preserve">Cylindrospermopsin </w:t>
            </w:r>
            <w:r>
              <w:t>toxin</w:t>
            </w:r>
          </w:p>
        </w:tc>
        <w:tc>
          <w:tcPr>
            <w:tcW w:w="5181" w:type="dxa"/>
            <w:tcBorders>
              <w:top w:val="nil"/>
            </w:tcBorders>
            <w:vAlign w:val="center"/>
          </w:tcPr>
          <w:p w14:paraId="3DBD7A78" w14:textId="4D68A6AA" w:rsidR="00235F45" w:rsidRPr="008B4EA4" w:rsidRDefault="00235F45" w:rsidP="00547A37">
            <w:pPr>
              <w:jc w:val="center"/>
            </w:pPr>
            <w:r w:rsidRPr="008B4EA4">
              <w:t>15</w:t>
            </w:r>
            <w:r>
              <w:t xml:space="preserve"> </w:t>
            </w:r>
            <w:r w:rsidR="0048091B">
              <w:rPr>
                <w:rFonts w:cstheme="minorHAnsi"/>
              </w:rPr>
              <w:t>µ</w:t>
            </w:r>
            <w:r w:rsidRPr="008B4EA4">
              <w:t>g/L</w:t>
            </w:r>
            <w:r>
              <w:t xml:space="preserve"> (ppb) </w:t>
            </w:r>
          </w:p>
        </w:tc>
      </w:tr>
    </w:tbl>
    <w:p w14:paraId="48923603" w14:textId="3C03C2E9" w:rsidR="00FE2E6D" w:rsidRDefault="00FE2E6D" w:rsidP="00FE2E6D">
      <w:pPr>
        <w:rPr>
          <w:i/>
        </w:rPr>
      </w:pPr>
      <w:r w:rsidRPr="00BB454C">
        <w:rPr>
          <w:i/>
        </w:rPr>
        <w:t>*Toxigenic species list is subject to change based on most recent research and is available upon request.</w:t>
      </w:r>
    </w:p>
    <w:p w14:paraId="20506E9E" w14:textId="77777777" w:rsidR="005C5668" w:rsidRPr="00A55B35" w:rsidRDefault="005C5668" w:rsidP="00A277FB">
      <w:pPr>
        <w:spacing w:after="0" w:line="240" w:lineRule="auto"/>
        <w:rPr>
          <w:b/>
        </w:rPr>
      </w:pPr>
      <w:r w:rsidRPr="00A55B35">
        <w:rPr>
          <w:b/>
        </w:rPr>
        <w:t xml:space="preserve">Follow-up </w:t>
      </w:r>
      <w:r w:rsidR="009B256D" w:rsidRPr="00A55B35">
        <w:rPr>
          <w:b/>
        </w:rPr>
        <w:t>Monitoring</w:t>
      </w:r>
    </w:p>
    <w:p w14:paraId="3CBB482A" w14:textId="1FD5B811" w:rsidR="00A277FB" w:rsidRDefault="007D4667" w:rsidP="00B64AA6">
      <w:pPr>
        <w:spacing w:after="120" w:line="240" w:lineRule="auto"/>
      </w:pPr>
      <w:r>
        <w:t>Once an advisory is in place</w:t>
      </w:r>
      <w:r w:rsidR="009B256D">
        <w:t>,</w:t>
      </w:r>
      <w:r>
        <w:t xml:space="preserve"> the focus </w:t>
      </w:r>
      <w:r w:rsidR="009B256D">
        <w:t>of monitoring</w:t>
      </w:r>
      <w:r>
        <w:t xml:space="preserve"> </w:t>
      </w:r>
      <w:r w:rsidR="009B256D">
        <w:t xml:space="preserve">is to provide information that will inform VDH on whether it is appropriate to </w:t>
      </w:r>
      <w:r>
        <w:t>lift</w:t>
      </w:r>
      <w:r w:rsidR="00B0450D">
        <w:t>, extend, or</w:t>
      </w:r>
      <w:r>
        <w:t xml:space="preserve"> </w:t>
      </w:r>
      <w:r w:rsidR="00B0450D">
        <w:t>modify the advisory</w:t>
      </w:r>
      <w:r w:rsidR="00E42694" w:rsidRPr="00B265F9">
        <w:t xml:space="preserve">.  </w:t>
      </w:r>
      <w:r w:rsidR="00DC0A83" w:rsidRPr="00B265F9">
        <w:t>T</w:t>
      </w:r>
      <w:r w:rsidR="005C5668" w:rsidRPr="00B265F9">
        <w:t>he frequency of follow-up monitoring is subject to the availability of staff, resources, and lab capacity.</w:t>
      </w:r>
      <w:r w:rsidR="00B64AA6">
        <w:t xml:space="preserve"> </w:t>
      </w:r>
      <w:r w:rsidR="006C2CF2">
        <w:t>M</w:t>
      </w:r>
      <w:r w:rsidR="005C5668" w:rsidRPr="00B265F9">
        <w:t>onitoring</w:t>
      </w:r>
      <w:r w:rsidR="006C2CF2">
        <w:t xml:space="preserve"> every two weeks</w:t>
      </w:r>
      <w:r w:rsidR="005C5668" w:rsidRPr="00B265F9">
        <w:t xml:space="preserve"> is </w:t>
      </w:r>
      <w:r w:rsidR="00DC0A83" w:rsidRPr="00B265F9">
        <w:t>ideal</w:t>
      </w:r>
      <w:r w:rsidR="005C5668" w:rsidRPr="00B265F9">
        <w:t xml:space="preserve"> if personnel and resources are available</w:t>
      </w:r>
      <w:r w:rsidR="00DC0A83">
        <w:t xml:space="preserve"> but this frequency is not essential in every case and may not be possible based on resource and personnel availability</w:t>
      </w:r>
      <w:r w:rsidR="005C5668" w:rsidRPr="00B265F9">
        <w:t>.</w:t>
      </w:r>
      <w:r w:rsidR="00B64AA6">
        <w:rPr>
          <w:b/>
        </w:rPr>
        <w:t xml:space="preserve"> </w:t>
      </w:r>
      <w:r w:rsidR="005C5668">
        <w:t>Most follow-up sampling includes both cell counts and toxin assays (microcystin and cylindrospermopsi</w:t>
      </w:r>
      <w:bookmarkStart w:id="0" w:name="_GoBack"/>
      <w:bookmarkEnd w:id="0"/>
      <w:r w:rsidR="005C5668">
        <w:t>n)</w:t>
      </w:r>
      <w:r w:rsidR="006C2CF2">
        <w:t>.</w:t>
      </w:r>
      <w:r w:rsidR="005C5668">
        <w:t xml:space="preserve"> However</w:t>
      </w:r>
      <w:r w:rsidR="00E42694">
        <w:t>,</w:t>
      </w:r>
      <w:r w:rsidR="005C5668">
        <w:t xml:space="preserve"> each follow-up investigation is designed </w:t>
      </w:r>
      <w:r>
        <w:t>by the HAB</w:t>
      </w:r>
      <w:r w:rsidR="005C5668">
        <w:t xml:space="preserve"> </w:t>
      </w:r>
      <w:r>
        <w:t>task force as most appropriate for the specific case and the resources available</w:t>
      </w:r>
      <w:r w:rsidR="00B265F9">
        <w:t xml:space="preserve">, therefore, </w:t>
      </w:r>
      <w:r>
        <w:t xml:space="preserve">the type and number of samples analyzed </w:t>
      </w:r>
      <w:r w:rsidR="00E42694">
        <w:t xml:space="preserve">is expected to </w:t>
      </w:r>
      <w:r>
        <w:t>var</w:t>
      </w:r>
      <w:r w:rsidR="00E42694">
        <w:t>y</w:t>
      </w:r>
      <w:r>
        <w:t xml:space="preserve"> among HAB advisor</w:t>
      </w:r>
      <w:r w:rsidR="00E42694">
        <w:t>ies</w:t>
      </w:r>
      <w:r>
        <w:t xml:space="preserve">. </w:t>
      </w:r>
      <w:r w:rsidR="006F465D">
        <w:t xml:space="preserve">  If the waterbody in question is a drinking water </w:t>
      </w:r>
      <w:r w:rsidR="006C2CF2">
        <w:t>source</w:t>
      </w:r>
      <w:r w:rsidR="006F465D">
        <w:t xml:space="preserve">, toxin assays should be done to provide </w:t>
      </w:r>
      <w:r w:rsidR="006C2CF2">
        <w:t xml:space="preserve">the VDH Office of Drinking Water </w:t>
      </w:r>
      <w:r w:rsidR="006F465D">
        <w:t>a reference of toxin concentration at the source water.</w:t>
      </w:r>
    </w:p>
    <w:p w14:paraId="534CD148" w14:textId="1C94403A" w:rsidR="00D529EC" w:rsidRDefault="0027207B">
      <w:r>
        <w:t xml:space="preserve">Swimming advisories </w:t>
      </w:r>
      <w:r w:rsidR="005A3A3E">
        <w:t>are typically</w:t>
      </w:r>
      <w:r>
        <w:t xml:space="preserve"> lifted </w:t>
      </w:r>
      <w:r w:rsidR="006E76F1">
        <w:t xml:space="preserve">when </w:t>
      </w:r>
      <w:r>
        <w:t>two consecutive</w:t>
      </w:r>
      <w:r w:rsidR="008B4EA4">
        <w:t xml:space="preserve"> </w:t>
      </w:r>
      <w:r w:rsidR="005A3A3E">
        <w:t xml:space="preserve">sampling events, taking place </w:t>
      </w:r>
      <w:r w:rsidR="00737A9C">
        <w:t>at least</w:t>
      </w:r>
      <w:r w:rsidR="00E42694">
        <w:t xml:space="preserve"> </w:t>
      </w:r>
      <w:r w:rsidR="005A3A3E">
        <w:t>10 days apart, indicate that</w:t>
      </w:r>
      <w:r w:rsidR="00C13B33">
        <w:t xml:space="preserve"> water column</w:t>
      </w:r>
      <w:r w:rsidR="008B4EA4">
        <w:t xml:space="preserve"> cell counts and toxins are below </w:t>
      </w:r>
      <w:r w:rsidR="006E76F1">
        <w:t xml:space="preserve">all </w:t>
      </w:r>
      <w:r w:rsidR="008B4EA4">
        <w:t>advisory thresholds.</w:t>
      </w:r>
      <w:r w:rsidR="00E450E2">
        <w:t xml:space="preserve"> </w:t>
      </w:r>
      <w:r w:rsidR="006E76F1">
        <w:t xml:space="preserve"> In certain circumstances, </w:t>
      </w:r>
      <w:r w:rsidR="008B4EA4">
        <w:t xml:space="preserve">VDH may recommend lifting advisories with </w:t>
      </w:r>
      <w:r w:rsidR="009B256D">
        <w:t xml:space="preserve">fewer </w:t>
      </w:r>
      <w:r w:rsidR="008B4EA4">
        <w:t>than two consecutive samples</w:t>
      </w:r>
      <w:r w:rsidR="006E76F1">
        <w:t>, or may extend advisories when water column concentrations are below thresholds but other factors indicate a continued risk of HAB exposure.</w:t>
      </w:r>
      <w:r w:rsidR="00B64AA6">
        <w:t xml:space="preserve"> </w:t>
      </w:r>
      <w:r w:rsidR="00482E42">
        <w:t>Special circumstances such as these will be described in announcements re</w:t>
      </w:r>
      <w:r w:rsidR="00B64AA6">
        <w:t xml:space="preserve">lated to specific advisories. </w:t>
      </w:r>
      <w:r w:rsidR="00482E42">
        <w:t>A</w:t>
      </w:r>
      <w:r w:rsidR="00356CC5">
        <w:t>dvisories may be lifted after October 31</w:t>
      </w:r>
      <w:r w:rsidR="00B0450D">
        <w:t xml:space="preserve"> (end of the recreation season)</w:t>
      </w:r>
      <w:r w:rsidR="00356CC5">
        <w:t xml:space="preserve"> when pr</w:t>
      </w:r>
      <w:r w:rsidR="00B0450D">
        <w:t>ior</w:t>
      </w:r>
      <w:r w:rsidR="00356CC5">
        <w:t xml:space="preserve"> sample results indicate that the thresholds are exceeded.</w:t>
      </w:r>
    </w:p>
    <w:p w14:paraId="6D4DD417" w14:textId="77777777" w:rsidR="00A277FB" w:rsidRDefault="00A277FB" w:rsidP="00A277FB">
      <w:pPr>
        <w:pBdr>
          <w:top w:val="nil"/>
          <w:left w:val="nil"/>
          <w:bottom w:val="nil"/>
          <w:right w:val="nil"/>
          <w:between w:val="nil"/>
        </w:pBdr>
        <w:spacing w:after="0" w:line="240" w:lineRule="auto"/>
        <w:rPr>
          <w:b/>
          <w:color w:val="000000"/>
        </w:rPr>
      </w:pPr>
      <w:r>
        <w:rPr>
          <w:b/>
          <w:color w:val="000000"/>
        </w:rPr>
        <w:lastRenderedPageBreak/>
        <w:t xml:space="preserve">Assessing Cyanobacteria Exposure Risk </w:t>
      </w:r>
      <w:r>
        <w:rPr>
          <w:b/>
        </w:rPr>
        <w:t xml:space="preserve">of </w:t>
      </w:r>
      <w:r>
        <w:rPr>
          <w:b/>
          <w:color w:val="000000"/>
        </w:rPr>
        <w:t xml:space="preserve">Scums </w:t>
      </w:r>
      <w:r>
        <w:rPr>
          <w:b/>
        </w:rPr>
        <w:t>or</w:t>
      </w:r>
      <w:r>
        <w:rPr>
          <w:b/>
          <w:color w:val="000000"/>
        </w:rPr>
        <w:t xml:space="preserve"> Floating/Benthic Mats</w:t>
      </w:r>
    </w:p>
    <w:p w14:paraId="34DB435D" w14:textId="201653B3" w:rsidR="00A277FB" w:rsidRDefault="00A277FB" w:rsidP="00A277FB">
      <w:pPr>
        <w:spacing w:after="0" w:line="240" w:lineRule="auto"/>
        <w:rPr>
          <w:color w:val="000000"/>
        </w:rPr>
      </w:pPr>
      <w:r>
        <w:t>Should field staff judge that conditions warrant, investigations may also include collection of “solid material” samples (i.e. algal scums or mats that are suspended in the water column, on the surface, or on the bottom).  Sampling of solid material is warranted when algal growth at the surface or on the bottom is spatially extensive, such that it cannot easily be avoided when accessing a water body for recreation. When warranted, samples containing solid material that does not disperse into the water column sample will be collected to provide supplemental information to the public and stakeholders on the bloom compositions.  These samples will be evaluated in the laboratory to determine if algal toxins are detectable or not and to determine the proportion of potentially toxic cyanobacteria present in the sample, relative to non-toxigenic algae.  Neither cell densities (algal cells per unit volume) nor toxin concentrations (mass toxin per unit volume) will be reported from solid material samples.  Because there are currently no accepted nor published advisory thresholds for solid materials for Virginia waters, information from solid materials will not be used as grounds alone for issuance of advisories.  Exceptions to this are cases where water column thresholds are exceeded, or when solid material at the surface with confirmed toxins and/or potentially toxigenic species is extensive and widespread in the waterbody, such that it cannot be avoided during water recreation activities and is therefore likely to result in accidental ingestion.</w:t>
      </w:r>
      <w:r>
        <w:rPr>
          <w:color w:val="000000"/>
        </w:rPr>
        <w:t> </w:t>
      </w:r>
    </w:p>
    <w:p w14:paraId="1395AF3B" w14:textId="77777777" w:rsidR="00A277FB" w:rsidRPr="00A277FB" w:rsidRDefault="00A277FB" w:rsidP="00A277FB">
      <w:pPr>
        <w:spacing w:after="0" w:line="240" w:lineRule="auto"/>
        <w:rPr>
          <w:color w:val="000000"/>
        </w:rPr>
      </w:pPr>
    </w:p>
    <w:p w14:paraId="38A1F3B4" w14:textId="77777777" w:rsidR="00D529EC" w:rsidRPr="00867DE3" w:rsidRDefault="00D529EC" w:rsidP="00A277FB">
      <w:pPr>
        <w:spacing w:after="0" w:line="240" w:lineRule="auto"/>
        <w:rPr>
          <w:b/>
          <w:u w:val="single"/>
        </w:rPr>
      </w:pPr>
      <w:r w:rsidRPr="00867DE3">
        <w:rPr>
          <w:b/>
          <w:u w:val="single"/>
        </w:rPr>
        <w:t>References:</w:t>
      </w:r>
    </w:p>
    <w:p w14:paraId="380F0BD9" w14:textId="77777777" w:rsidR="00D529EC" w:rsidRDefault="00D529EC" w:rsidP="00A277FB">
      <w:pPr>
        <w:spacing w:after="240" w:line="240" w:lineRule="auto"/>
      </w:pPr>
      <w:r>
        <w:t>W</w:t>
      </w:r>
      <w:r w:rsidR="00867DE3">
        <w:t xml:space="preserve">orld </w:t>
      </w:r>
      <w:r>
        <w:t>H</w:t>
      </w:r>
      <w:r w:rsidR="00867DE3">
        <w:t xml:space="preserve">ealth </w:t>
      </w:r>
      <w:r>
        <w:t>O</w:t>
      </w:r>
      <w:r w:rsidR="00867DE3">
        <w:t>rganization (WHO)</w:t>
      </w:r>
      <w:r>
        <w:t xml:space="preserve">. </w:t>
      </w:r>
      <w:r w:rsidR="00867DE3">
        <w:t xml:space="preserve">2003. </w:t>
      </w:r>
      <w:r w:rsidR="00867DE3" w:rsidRPr="00867DE3">
        <w:rPr>
          <w:i/>
        </w:rPr>
        <w:t>Guidelines for Safe Recreational Water Environments</w:t>
      </w:r>
      <w:r w:rsidR="00867DE3">
        <w:t xml:space="preserve">. </w:t>
      </w:r>
      <w:r w:rsidR="00867DE3" w:rsidRPr="00867DE3">
        <w:t>http://whqlibdoc.who.int/publications/2003/9241545801.pdf?ua=1</w:t>
      </w:r>
    </w:p>
    <w:p w14:paraId="07B5C17E" w14:textId="05E616CD" w:rsidR="0027207B" w:rsidRDefault="00867DE3">
      <w:r>
        <w:t>Environmental Protection Agency (EPA)</w:t>
      </w:r>
      <w:r w:rsidR="00D529EC">
        <w:t>.</w:t>
      </w:r>
      <w:r>
        <w:t xml:space="preserve">2019. </w:t>
      </w:r>
      <w:r w:rsidRPr="00867DE3">
        <w:rPr>
          <w:i/>
        </w:rPr>
        <w:t>Recommended Human Health Recreational Ambient Water Quality Criteria or Swimming Advisories for Microcystin and Cylindrospermopsin</w:t>
      </w:r>
      <w:r>
        <w:t xml:space="preserve">. </w:t>
      </w:r>
      <w:r w:rsidR="00D529EC">
        <w:t xml:space="preserve"> </w:t>
      </w:r>
      <w:r w:rsidRPr="00867DE3">
        <w:t>https://www.epa.gov/sites/production/files/2019-05/documents/hh-rec-criteria-habs-document-2019.pdf</w:t>
      </w:r>
    </w:p>
    <w:sectPr w:rsidR="00272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757"/>
    <w:rsid w:val="00072AE1"/>
    <w:rsid w:val="000F4053"/>
    <w:rsid w:val="001D362F"/>
    <w:rsid w:val="001E4E33"/>
    <w:rsid w:val="00235F45"/>
    <w:rsid w:val="002644EA"/>
    <w:rsid w:val="0027207B"/>
    <w:rsid w:val="0030532E"/>
    <w:rsid w:val="00336092"/>
    <w:rsid w:val="00356CC5"/>
    <w:rsid w:val="0048091B"/>
    <w:rsid w:val="00482E42"/>
    <w:rsid w:val="004C43A4"/>
    <w:rsid w:val="004F4516"/>
    <w:rsid w:val="00547A37"/>
    <w:rsid w:val="005A3A3E"/>
    <w:rsid w:val="005C5668"/>
    <w:rsid w:val="005E7CAD"/>
    <w:rsid w:val="0062100C"/>
    <w:rsid w:val="006C2CF2"/>
    <w:rsid w:val="006E76F1"/>
    <w:rsid w:val="006F465D"/>
    <w:rsid w:val="00721E75"/>
    <w:rsid w:val="00737A9C"/>
    <w:rsid w:val="0075094D"/>
    <w:rsid w:val="007A58EA"/>
    <w:rsid w:val="007C41D6"/>
    <w:rsid w:val="007D4667"/>
    <w:rsid w:val="007D54A8"/>
    <w:rsid w:val="00867DE3"/>
    <w:rsid w:val="008B4EA4"/>
    <w:rsid w:val="00906993"/>
    <w:rsid w:val="009471CF"/>
    <w:rsid w:val="009B256D"/>
    <w:rsid w:val="00A120F4"/>
    <w:rsid w:val="00A277FB"/>
    <w:rsid w:val="00A55B35"/>
    <w:rsid w:val="00A93006"/>
    <w:rsid w:val="00AC6C46"/>
    <w:rsid w:val="00AD401F"/>
    <w:rsid w:val="00AE7056"/>
    <w:rsid w:val="00B0450D"/>
    <w:rsid w:val="00B04800"/>
    <w:rsid w:val="00B265F9"/>
    <w:rsid w:val="00B27C32"/>
    <w:rsid w:val="00B64AA6"/>
    <w:rsid w:val="00BB454C"/>
    <w:rsid w:val="00BC020E"/>
    <w:rsid w:val="00BE0757"/>
    <w:rsid w:val="00C13B33"/>
    <w:rsid w:val="00C3181D"/>
    <w:rsid w:val="00D529EC"/>
    <w:rsid w:val="00DC0A83"/>
    <w:rsid w:val="00E42694"/>
    <w:rsid w:val="00E450E2"/>
    <w:rsid w:val="00E77F1F"/>
    <w:rsid w:val="00FC5A1C"/>
    <w:rsid w:val="00FE2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BCAB7"/>
  <w15:docId w15:val="{2268E40B-88A4-4636-8CAD-0565EF9A5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4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29EC"/>
    <w:rPr>
      <w:color w:val="0563C1" w:themeColor="hyperlink"/>
      <w:u w:val="single"/>
    </w:rPr>
  </w:style>
  <w:style w:type="paragraph" w:styleId="BalloonText">
    <w:name w:val="Balloon Text"/>
    <w:basedOn w:val="Normal"/>
    <w:link w:val="BalloonTextChar"/>
    <w:uiPriority w:val="99"/>
    <w:semiHidden/>
    <w:unhideWhenUsed/>
    <w:rsid w:val="000F4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053"/>
    <w:rPr>
      <w:rFonts w:ascii="Tahoma" w:hAnsi="Tahoma" w:cs="Tahoma"/>
      <w:sz w:val="16"/>
      <w:szCs w:val="16"/>
    </w:rPr>
  </w:style>
  <w:style w:type="character" w:styleId="CommentReference">
    <w:name w:val="annotation reference"/>
    <w:basedOn w:val="DefaultParagraphFont"/>
    <w:uiPriority w:val="99"/>
    <w:semiHidden/>
    <w:unhideWhenUsed/>
    <w:rsid w:val="000F4053"/>
    <w:rPr>
      <w:sz w:val="16"/>
      <w:szCs w:val="16"/>
    </w:rPr>
  </w:style>
  <w:style w:type="paragraph" w:styleId="CommentText">
    <w:name w:val="annotation text"/>
    <w:basedOn w:val="Normal"/>
    <w:link w:val="CommentTextChar"/>
    <w:uiPriority w:val="99"/>
    <w:semiHidden/>
    <w:unhideWhenUsed/>
    <w:rsid w:val="000F4053"/>
    <w:pPr>
      <w:spacing w:line="240" w:lineRule="auto"/>
    </w:pPr>
    <w:rPr>
      <w:sz w:val="20"/>
      <w:szCs w:val="20"/>
    </w:rPr>
  </w:style>
  <w:style w:type="character" w:customStyle="1" w:styleId="CommentTextChar">
    <w:name w:val="Comment Text Char"/>
    <w:basedOn w:val="DefaultParagraphFont"/>
    <w:link w:val="CommentText"/>
    <w:uiPriority w:val="99"/>
    <w:semiHidden/>
    <w:rsid w:val="000F4053"/>
    <w:rPr>
      <w:sz w:val="20"/>
      <w:szCs w:val="20"/>
    </w:rPr>
  </w:style>
  <w:style w:type="paragraph" w:styleId="CommentSubject">
    <w:name w:val="annotation subject"/>
    <w:basedOn w:val="CommentText"/>
    <w:next w:val="CommentText"/>
    <w:link w:val="CommentSubjectChar"/>
    <w:uiPriority w:val="99"/>
    <w:semiHidden/>
    <w:unhideWhenUsed/>
    <w:rsid w:val="000F4053"/>
    <w:rPr>
      <w:b/>
      <w:bCs/>
    </w:rPr>
  </w:style>
  <w:style w:type="character" w:customStyle="1" w:styleId="CommentSubjectChar">
    <w:name w:val="Comment Subject Char"/>
    <w:basedOn w:val="CommentTextChar"/>
    <w:link w:val="CommentSubject"/>
    <w:uiPriority w:val="99"/>
    <w:semiHidden/>
    <w:rsid w:val="000F4053"/>
    <w:rPr>
      <w:b/>
      <w:bCs/>
      <w:sz w:val="20"/>
      <w:szCs w:val="20"/>
    </w:rPr>
  </w:style>
  <w:style w:type="character" w:styleId="FollowedHyperlink">
    <w:name w:val="FollowedHyperlink"/>
    <w:basedOn w:val="DefaultParagraphFont"/>
    <w:uiPriority w:val="99"/>
    <w:semiHidden/>
    <w:unhideWhenUsed/>
    <w:rsid w:val="00AE70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wimHealthyV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argaret.Smigo@vdh.virginia.go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2970D-E0FC-4C5C-8E91-AAA270CCD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Smigo, Margaret (VDH)</dc:creator>
  <cp:lastModifiedBy>Smigo, Margaret (VDH)</cp:lastModifiedBy>
  <cp:revision>7</cp:revision>
  <dcterms:created xsi:type="dcterms:W3CDTF">2021-02-12T14:52:00Z</dcterms:created>
  <dcterms:modified xsi:type="dcterms:W3CDTF">2021-02-12T22:04:00Z</dcterms:modified>
</cp:coreProperties>
</file>