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DA08" w14:textId="7C71FDF0" w:rsidR="00A604FB" w:rsidRPr="006C59CE" w:rsidRDefault="008D3E2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59CE">
        <w:rPr>
          <w:rFonts w:asciiTheme="majorHAnsi" w:hAnsiTheme="majorHAnsi" w:cstheme="majorHAnsi"/>
          <w:b/>
          <w:sz w:val="24"/>
          <w:szCs w:val="24"/>
        </w:rPr>
        <w:t xml:space="preserve">VDH Clinical Criteria for Administration of COVID-19 Therapeutics </w:t>
      </w:r>
    </w:p>
    <w:p w14:paraId="55831888" w14:textId="77777777" w:rsidR="00A604FB" w:rsidRPr="006C59CE" w:rsidRDefault="008D3E2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59CE">
        <w:rPr>
          <w:rFonts w:asciiTheme="majorHAnsi" w:hAnsiTheme="majorHAnsi" w:cstheme="majorHAnsi"/>
          <w:b/>
          <w:sz w:val="24"/>
          <w:szCs w:val="24"/>
        </w:rPr>
        <w:t>for Treatment of COVID-19</w:t>
      </w:r>
    </w:p>
    <w:p w14:paraId="2150F904" w14:textId="77777777" w:rsidR="00A604FB" w:rsidRPr="006C59CE" w:rsidRDefault="008D3E2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59CE">
        <w:rPr>
          <w:rFonts w:asciiTheme="majorHAnsi" w:hAnsiTheme="majorHAnsi" w:cstheme="majorHAnsi"/>
          <w:b/>
          <w:sz w:val="24"/>
          <w:szCs w:val="24"/>
        </w:rPr>
        <w:t>(Monoclonal Antibodies (mAbs) and Oral Antivirals)</w:t>
      </w:r>
    </w:p>
    <w:p w14:paraId="3A6DDF9A" w14:textId="0E2C313D" w:rsidR="00A604FB" w:rsidRPr="006C59CE" w:rsidRDefault="008D3E2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59CE">
        <w:rPr>
          <w:rFonts w:asciiTheme="majorHAnsi" w:hAnsiTheme="majorHAnsi" w:cstheme="majorHAnsi"/>
          <w:b/>
          <w:sz w:val="24"/>
          <w:szCs w:val="24"/>
        </w:rPr>
        <w:t>December 2</w:t>
      </w:r>
      <w:r w:rsidR="00296639" w:rsidRPr="006C59CE">
        <w:rPr>
          <w:rFonts w:asciiTheme="majorHAnsi" w:hAnsiTheme="majorHAnsi" w:cstheme="majorHAnsi"/>
          <w:b/>
          <w:sz w:val="24"/>
          <w:szCs w:val="24"/>
        </w:rPr>
        <w:t>7</w:t>
      </w:r>
      <w:r w:rsidRPr="006C59CE">
        <w:rPr>
          <w:rFonts w:asciiTheme="majorHAnsi" w:hAnsiTheme="majorHAnsi" w:cstheme="majorHAnsi"/>
          <w:b/>
          <w:sz w:val="24"/>
          <w:szCs w:val="24"/>
        </w:rPr>
        <w:t>, 2021</w:t>
      </w:r>
    </w:p>
    <w:p w14:paraId="2427E5EC" w14:textId="77777777" w:rsidR="00A604FB" w:rsidRDefault="00A604FB">
      <w:pPr>
        <w:jc w:val="center"/>
        <w:rPr>
          <w:b/>
        </w:rPr>
      </w:pPr>
    </w:p>
    <w:p w14:paraId="29AC5372" w14:textId="77777777" w:rsidR="00A604FB" w:rsidRDefault="00A604FB">
      <w:pPr>
        <w:rPr>
          <w:b/>
        </w:rPr>
      </w:pPr>
    </w:p>
    <w:p w14:paraId="530A058B" w14:textId="015F0190" w:rsidR="00A604FB" w:rsidRDefault="008D3E29">
      <w:pPr>
        <w:spacing w:before="240" w:after="240"/>
      </w:pPr>
      <w:r>
        <w:rPr>
          <w:rFonts w:ascii="Calibri" w:eastAsia="Calibri" w:hAnsi="Calibri" w:cs="Calibri"/>
        </w:rPr>
        <w:t>The U.S. FDA has issued Emergency Use Authorization</w:t>
      </w:r>
      <w:r w:rsidR="0029663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(EUA</w:t>
      </w:r>
      <w:r w:rsidR="0029663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) for the use of the following therapeutics for treatment of COVID-19 in high-risk patients with mild to moderate symptoms:</w:t>
      </w:r>
    </w:p>
    <w:p w14:paraId="42838A20" w14:textId="77777777" w:rsidR="00A604FB" w:rsidRDefault="008D3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Sotrovimab - GlaxoSmithKline (mAb)</w:t>
      </w:r>
    </w:p>
    <w:p w14:paraId="4B56C54A" w14:textId="77777777" w:rsidR="00A604FB" w:rsidRDefault="008D3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Paxlovid - Pfizer (oral antiviral) – NEW</w:t>
      </w:r>
    </w:p>
    <w:p w14:paraId="5ADB95A7" w14:textId="77777777" w:rsidR="00A604FB" w:rsidRDefault="008D3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Molnupiravir – Merck (oral antiviral) – NEW  </w:t>
      </w:r>
    </w:p>
    <w:p w14:paraId="3509057B" w14:textId="77777777" w:rsidR="00A604FB" w:rsidRDefault="008D3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Bamlanivimab/etesevimab (“Bam/Ete”) - Eli Lilly (mAb) *</w:t>
      </w:r>
    </w:p>
    <w:p w14:paraId="3624030C" w14:textId="77777777" w:rsidR="00A604FB" w:rsidRDefault="008D3E2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REGEN-COV (casirivimab/imdevimab) - Regeneron Pharmaceuticals (mAb) *</w:t>
      </w:r>
    </w:p>
    <w:p w14:paraId="1E95A227" w14:textId="0127CAB0" w:rsidR="00A604FB" w:rsidRDefault="008D3E29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 HHS is evaluating current use as in vitro data shows these products are not likely to be effective against </w:t>
      </w:r>
      <w:r w:rsidR="00296639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Omicron</w:t>
      </w:r>
      <w:r w:rsidR="00296639">
        <w:rPr>
          <w:rFonts w:ascii="Calibri" w:eastAsia="Calibri" w:hAnsi="Calibri" w:cs="Calibri"/>
        </w:rPr>
        <w:t xml:space="preserve"> variant of SARS-CoV-2</w:t>
      </w:r>
      <w:r>
        <w:rPr>
          <w:rFonts w:ascii="Calibri" w:eastAsia="Calibri" w:hAnsi="Calibri" w:cs="Calibri"/>
        </w:rPr>
        <w:t>.</w:t>
      </w:r>
    </w:p>
    <w:p w14:paraId="6D7A6DE2" w14:textId="77777777" w:rsidR="00A604FB" w:rsidRDefault="008D3E29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Currently, COVID-19 therapeutic agents are in limited supply in the U.S. and the Commonwealth.  VDH will allocate these resources in a manner which maximizes their clinical benefit and protects against systemic unfairness and inequity.  In general (but not exactly), VDH recommends these resources be used according to the current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 xml:space="preserve">NIH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COVID-19 Treatment Guidelines Panel’s Interim Statement on Patient Prioritization for Outpatient Anti-SARS-CoV-2 Therapies or Preventive Strategies When There Are Logistical or Supply Constraints</w:t>
        </w:r>
      </w:hyperlink>
      <w:r>
        <w:rPr>
          <w:rFonts w:ascii="Calibri" w:eastAsia="Calibri" w:hAnsi="Calibri" w:cs="Calibri"/>
        </w:rPr>
        <w:t xml:space="preserve"> dated December 23, 2021.  This document focuses on outpatient COVID-19 treatment prioritization, not preventive therapy against COVID-19.  VDH concurs with the NIH Treatment Panel’s approach to preventive therapy (pre-exposure prophylaxis with EVUSHELD).</w:t>
      </w:r>
    </w:p>
    <w:p w14:paraId="06B1AB8A" w14:textId="77777777" w:rsidR="006C59CE" w:rsidRDefault="006C59CE">
      <w:pPr>
        <w:spacing w:before="240" w:after="240"/>
        <w:rPr>
          <w:rFonts w:ascii="Calibri" w:eastAsia="Calibri" w:hAnsi="Calibri" w:cs="Calibri"/>
          <w:b/>
          <w:u w:val="single"/>
        </w:rPr>
      </w:pPr>
    </w:p>
    <w:p w14:paraId="0CD66E64" w14:textId="3D3A7545" w:rsidR="00A604FB" w:rsidRDefault="008D3E29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A. General principles</w:t>
      </w:r>
      <w:r>
        <w:rPr>
          <w:rFonts w:ascii="Calibri" w:eastAsia="Calibri" w:hAnsi="Calibri" w:cs="Calibri"/>
        </w:rPr>
        <w:t>:</w:t>
      </w:r>
    </w:p>
    <w:p w14:paraId="06C39622" w14:textId="77777777" w:rsidR="00A604FB" w:rsidRPr="00AD5CF8" w:rsidRDefault="008D3E29">
      <w:pPr>
        <w:numPr>
          <w:ilvl w:val="0"/>
          <w:numId w:val="6"/>
        </w:numPr>
        <w:shd w:val="clear" w:color="auto" w:fill="FFFFFF"/>
        <w:spacing w:before="160"/>
        <w:ind w:left="580"/>
        <w:rPr>
          <w:rFonts w:ascii="Calibri" w:eastAsia="Calibri" w:hAnsi="Calibri" w:cs="Calibri"/>
          <w:sz w:val="20"/>
          <w:szCs w:val="20"/>
        </w:rPr>
      </w:pPr>
      <w:r w:rsidRPr="00AD5CF8">
        <w:rPr>
          <w:rFonts w:ascii="Calibri" w:eastAsia="Calibri" w:hAnsi="Calibri" w:cs="Calibri"/>
          <w:color w:val="171717"/>
        </w:rPr>
        <w:t>Treatment of COVID-19 over post-exposure prophylaxis (PEP) of SARS-CoV-2 infection.</w:t>
      </w:r>
    </w:p>
    <w:p w14:paraId="3167FA78" w14:textId="6BF29187" w:rsidR="00A604FB" w:rsidRPr="00AD5CF8" w:rsidRDefault="00296639" w:rsidP="00AD5CF8">
      <w:pPr>
        <w:numPr>
          <w:ilvl w:val="0"/>
          <w:numId w:val="6"/>
        </w:numPr>
        <w:shd w:val="clear" w:color="auto" w:fill="FFFFFF"/>
        <w:spacing w:before="240" w:after="240"/>
        <w:ind w:left="580"/>
        <w:rPr>
          <w:rFonts w:ascii="Calibri" w:eastAsia="Calibri" w:hAnsi="Calibri" w:cs="Calibri"/>
          <w:sz w:val="20"/>
          <w:szCs w:val="20"/>
          <w:shd w:val="clear" w:color="auto" w:fill="D9D9D9"/>
        </w:rPr>
      </w:pPr>
      <w:r w:rsidRPr="00AD5CF8">
        <w:rPr>
          <w:rFonts w:ascii="Calibri" w:eastAsia="Calibri" w:hAnsi="Calibri" w:cs="Calibri"/>
          <w:color w:val="171717"/>
        </w:rPr>
        <w:t>Vaccinated patients should remain eligible for COVID-19 therapeutics if they develop breakthrough infections and unvaccinated patients who develop COVID-19 should not be penalized by with</w:t>
      </w:r>
      <w:r w:rsidR="00AD5CF8" w:rsidRPr="00AD5CF8">
        <w:rPr>
          <w:rFonts w:ascii="Calibri" w:eastAsia="Calibri" w:hAnsi="Calibri" w:cs="Calibri"/>
          <w:color w:val="171717"/>
        </w:rPr>
        <w:t>holding COVID-19 therapeutics.</w:t>
      </w:r>
    </w:p>
    <w:p w14:paraId="3764698B" w14:textId="77777777" w:rsidR="00AD5CF8" w:rsidRDefault="00AD5CF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14:paraId="1A94BC7C" w14:textId="41070409" w:rsidR="00A604FB" w:rsidRDefault="008D3E29">
      <w:pPr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B. Patient Prioritization for Treatment of Mild to Moderate COVID-19 in Outpatients</w:t>
      </w:r>
    </w:p>
    <w:tbl>
      <w:tblPr>
        <w:tblW w:w="9315" w:type="dxa"/>
        <w:tblBorders>
          <w:top w:val="single" w:sz="6" w:space="0" w:color="CBD5DF"/>
          <w:left w:val="single" w:sz="6" w:space="0" w:color="CBD5DF"/>
          <w:bottom w:val="single" w:sz="6" w:space="0" w:color="CBD5DF"/>
          <w:right w:val="single" w:sz="6" w:space="0" w:color="CBD5DF"/>
          <w:insideH w:val="single" w:sz="6" w:space="0" w:color="CBD5DF"/>
          <w:insideV w:val="single" w:sz="6" w:space="0" w:color="CBD5D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15"/>
      </w:tblGrid>
      <w:tr w:rsidR="009268E7" w14:paraId="2F44CD4E" w14:textId="77777777" w:rsidTr="00EC5259">
        <w:trPr>
          <w:trHeight w:val="675"/>
        </w:trPr>
        <w:tc>
          <w:tcPr>
            <w:tcW w:w="900" w:type="dxa"/>
            <w:tcBorders>
              <w:top w:val="single" w:sz="6" w:space="0" w:color="065FA9"/>
              <w:left w:val="single" w:sz="6" w:space="0" w:color="065FA9"/>
              <w:bottom w:val="single" w:sz="6" w:space="0" w:color="1870EB"/>
              <w:right w:val="single" w:sz="6" w:space="0" w:color="1870EB"/>
            </w:tcBorders>
            <w:shd w:val="clear" w:color="auto" w:fill="065FA9"/>
            <w:tcMar>
              <w:top w:w="80" w:type="dxa"/>
              <w:left w:w="220" w:type="dxa"/>
              <w:bottom w:w="80" w:type="dxa"/>
              <w:right w:w="220" w:type="dxa"/>
            </w:tcMar>
          </w:tcPr>
          <w:p w14:paraId="5ABC555F" w14:textId="77777777" w:rsidR="009268E7" w:rsidRDefault="009268E7" w:rsidP="00EC5259">
            <w:pPr>
              <w:spacing w:before="240" w:after="220"/>
              <w:jc w:val="center"/>
              <w:rPr>
                <w:color w:val="171717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Tier</w:t>
            </w:r>
          </w:p>
        </w:tc>
        <w:tc>
          <w:tcPr>
            <w:tcW w:w="8415" w:type="dxa"/>
            <w:tcBorders>
              <w:top w:val="single" w:sz="6" w:space="0" w:color="065FA9"/>
              <w:left w:val="single" w:sz="6" w:space="0" w:color="065FA9"/>
              <w:bottom w:val="single" w:sz="6" w:space="0" w:color="1870EB"/>
              <w:right w:val="single" w:sz="6" w:space="0" w:color="1870EB"/>
            </w:tcBorders>
            <w:shd w:val="clear" w:color="auto" w:fill="065FA9"/>
            <w:tcMar>
              <w:top w:w="80" w:type="dxa"/>
              <w:left w:w="220" w:type="dxa"/>
              <w:bottom w:w="80" w:type="dxa"/>
              <w:right w:w="220" w:type="dxa"/>
            </w:tcMar>
          </w:tcPr>
          <w:p w14:paraId="0624079D" w14:textId="77777777" w:rsidR="009268E7" w:rsidRDefault="009268E7" w:rsidP="00EC5259">
            <w:pPr>
              <w:spacing w:before="240" w:after="220"/>
              <w:jc w:val="center"/>
              <w:rPr>
                <w:color w:val="171717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Risk Group</w:t>
            </w:r>
          </w:p>
        </w:tc>
      </w:tr>
      <w:tr w:rsidR="009268E7" w14:paraId="42CD0452" w14:textId="77777777" w:rsidTr="00C0755A">
        <w:trPr>
          <w:trHeight w:val="1282"/>
        </w:trPr>
        <w:tc>
          <w:tcPr>
            <w:tcW w:w="900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7D84F6CF" w14:textId="77777777" w:rsidR="009268E7" w:rsidRPr="00C0755A" w:rsidRDefault="009268E7" w:rsidP="00EC5259">
            <w:pPr>
              <w:spacing w:before="240" w:after="220"/>
              <w:jc w:val="center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1</w:t>
            </w:r>
          </w:p>
        </w:tc>
        <w:tc>
          <w:tcPr>
            <w:tcW w:w="8415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70FD5C5B" w14:textId="77777777" w:rsidR="009268E7" w:rsidRPr="00C0755A" w:rsidRDefault="009268E7" w:rsidP="00EC5259">
            <w:pPr>
              <w:spacing w:before="160" w:after="660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Immunocompromised individuals not expected to mount an adequate immune response to COVID-19 vaccination or SARS-CoV-2 infection due to their underlying conditions, regardless of vaccine status (see Immunocompromising Conditions</w:t>
            </w:r>
            <w:r w:rsidRPr="006C59CE">
              <w:rPr>
                <w:rFonts w:asciiTheme="majorHAnsi" w:hAnsiTheme="majorHAnsi" w:cstheme="majorHAnsi"/>
                <w:color w:val="171717"/>
                <w:sz w:val="28"/>
                <w:szCs w:val="28"/>
                <w:highlight w:val="white"/>
                <w:vertAlign w:val="superscript"/>
              </w:rPr>
              <w:t>#</w:t>
            </w:r>
            <w:r w:rsidRPr="006C59CE">
              <w:rPr>
                <w:rFonts w:asciiTheme="majorHAnsi" w:hAnsiTheme="majorHAnsi" w:cstheme="majorHAnsi"/>
                <w:color w:val="171717"/>
                <w:sz w:val="28"/>
                <w:szCs w:val="28"/>
                <w:highlight w:val="white"/>
              </w:rPr>
              <w:t xml:space="preserve"> </w:t>
            </w: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below)</w:t>
            </w:r>
          </w:p>
        </w:tc>
      </w:tr>
      <w:tr w:rsidR="009268E7" w14:paraId="1D148C33" w14:textId="77777777" w:rsidTr="00EC5259">
        <w:trPr>
          <w:trHeight w:val="1305"/>
        </w:trPr>
        <w:tc>
          <w:tcPr>
            <w:tcW w:w="900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4E2BA1F8" w14:textId="77777777" w:rsidR="009268E7" w:rsidRPr="00C0755A" w:rsidRDefault="009268E7" w:rsidP="00EC5259">
            <w:pPr>
              <w:spacing w:before="240" w:after="220"/>
              <w:jc w:val="center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2</w:t>
            </w:r>
          </w:p>
        </w:tc>
        <w:tc>
          <w:tcPr>
            <w:tcW w:w="8415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7AF17B4F" w14:textId="77777777" w:rsidR="009268E7" w:rsidRPr="00C0755A" w:rsidRDefault="009268E7" w:rsidP="00EC5259">
            <w:pPr>
              <w:spacing w:before="160" w:after="660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 xml:space="preserve">Regardless of vaccination status, individuals at the highest risk of severe disease who do not meet criteria in Tier 1 (anyone aged </w:t>
            </w:r>
            <w:r w:rsidRPr="00C0755A">
              <w:rPr>
                <w:rFonts w:asciiTheme="majorHAnsi" w:hAnsiTheme="majorHAnsi" w:cstheme="majorHAnsi"/>
                <w:color w:val="171717"/>
                <w:highlight w:val="white"/>
                <w:u w:val="single"/>
              </w:rPr>
              <w:t>&gt;</w:t>
            </w: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 xml:space="preserve"> 75 years, or anyone </w:t>
            </w:r>
            <w:r w:rsidRPr="00C0755A">
              <w:rPr>
                <w:rFonts w:asciiTheme="majorHAnsi" w:hAnsiTheme="majorHAnsi" w:cstheme="majorHAnsi"/>
                <w:color w:val="171717"/>
                <w:highlight w:val="white"/>
                <w:u w:val="single"/>
              </w:rPr>
              <w:t>&gt;</w:t>
            </w: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 xml:space="preserve"> 65 years with one or more additional risk factor(s) for progression to severe COVID-19) </w:t>
            </w:r>
          </w:p>
        </w:tc>
      </w:tr>
      <w:tr w:rsidR="009268E7" w14:paraId="24E60C09" w14:textId="77777777" w:rsidTr="00EC5259">
        <w:trPr>
          <w:trHeight w:val="1860"/>
        </w:trPr>
        <w:tc>
          <w:tcPr>
            <w:tcW w:w="900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385335CD" w14:textId="77777777" w:rsidR="009268E7" w:rsidRPr="00C0755A" w:rsidRDefault="009268E7" w:rsidP="00EC5259">
            <w:pPr>
              <w:spacing w:before="240" w:after="220"/>
              <w:jc w:val="center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3</w:t>
            </w:r>
          </w:p>
        </w:tc>
        <w:tc>
          <w:tcPr>
            <w:tcW w:w="8415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6B43D8EE" w14:textId="77777777" w:rsidR="009268E7" w:rsidRPr="00C0755A" w:rsidRDefault="009268E7" w:rsidP="00EC5259">
            <w:pPr>
              <w:shd w:val="clear" w:color="auto" w:fill="FFFFFF"/>
              <w:spacing w:before="160" w:after="440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Regardless of vaccination status, individuals at risk of severe disease not included in Tiers 1 or 2 (anyone aged 66-74 years, or anyone aged &lt;65 years with one or more clinical risk factors for progression to severe COVID-19)</w:t>
            </w:r>
          </w:p>
        </w:tc>
      </w:tr>
      <w:tr w:rsidR="009268E7" w14:paraId="6E1E8593" w14:textId="77777777" w:rsidTr="00EC5259">
        <w:trPr>
          <w:trHeight w:val="1860"/>
        </w:trPr>
        <w:tc>
          <w:tcPr>
            <w:tcW w:w="900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28688C90" w14:textId="77777777" w:rsidR="009268E7" w:rsidRPr="00C0755A" w:rsidRDefault="009268E7" w:rsidP="00EC5259">
            <w:pPr>
              <w:spacing w:before="240" w:after="220"/>
              <w:jc w:val="center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4</w:t>
            </w:r>
          </w:p>
        </w:tc>
        <w:tc>
          <w:tcPr>
            <w:tcW w:w="8415" w:type="dxa"/>
            <w:tcBorders>
              <w:top w:val="single" w:sz="6" w:space="0" w:color="CBD5DF"/>
              <w:left w:val="single" w:sz="6" w:space="0" w:color="CBD5DF"/>
              <w:bottom w:val="single" w:sz="6" w:space="0" w:color="CBD5DF"/>
              <w:right w:val="single" w:sz="6" w:space="0" w:color="CBD5DF"/>
            </w:tcBorders>
            <w:tcMar>
              <w:top w:w="80" w:type="dxa"/>
              <w:left w:w="220" w:type="dxa"/>
              <w:bottom w:w="80" w:type="dxa"/>
              <w:right w:w="80" w:type="dxa"/>
            </w:tcMar>
          </w:tcPr>
          <w:p w14:paraId="4DE53B3E" w14:textId="6C28530B" w:rsidR="009268E7" w:rsidRPr="00C0755A" w:rsidRDefault="009268E7" w:rsidP="00EC5259">
            <w:pPr>
              <w:spacing w:before="160" w:after="660"/>
              <w:rPr>
                <w:rFonts w:asciiTheme="majorHAnsi" w:hAnsiTheme="majorHAnsi" w:cstheme="majorHAnsi"/>
                <w:color w:val="171717"/>
                <w:highlight w:val="white"/>
              </w:rPr>
            </w:pPr>
            <w:r w:rsidRPr="00C0755A">
              <w:rPr>
                <w:rFonts w:asciiTheme="majorHAnsi" w:hAnsiTheme="majorHAnsi" w:cstheme="majorHAnsi"/>
                <w:color w:val="171717"/>
                <w:highlight w:val="white"/>
              </w:rPr>
              <w:t>After careful consideration by a licensed prescriber, patients with one or more high-risk condition(s) who meet the EUA criteria for the treatment drug may also receive COVID-19 therapeutics (mAbs or oral antivirals)</w:t>
            </w:r>
          </w:p>
        </w:tc>
      </w:tr>
    </w:tbl>
    <w:p w14:paraId="3762D42C" w14:textId="77777777" w:rsidR="00C0755A" w:rsidRDefault="00C0755A" w:rsidP="00C0755A">
      <w:pPr>
        <w:pStyle w:val="NoSpacing"/>
      </w:pPr>
    </w:p>
    <w:p w14:paraId="24FFE58E" w14:textId="71F74D71" w:rsidR="00C0755A" w:rsidRPr="006C59CE" w:rsidRDefault="00C0755A" w:rsidP="00C0755A">
      <w:pPr>
        <w:pStyle w:val="NoSpacing"/>
        <w:rPr>
          <w:rFonts w:asciiTheme="majorHAnsi" w:hAnsiTheme="majorHAnsi" w:cstheme="majorHAnsi"/>
          <w:b/>
          <w:bCs/>
        </w:rPr>
      </w:pPr>
      <w:r w:rsidRPr="006C59CE">
        <w:rPr>
          <w:rFonts w:asciiTheme="majorHAnsi" w:hAnsiTheme="majorHAnsi" w:cstheme="majorHAnsi"/>
          <w:b/>
          <w:bCs/>
        </w:rPr>
        <w:t># Immunocompromising conditions</w:t>
      </w:r>
    </w:p>
    <w:p w14:paraId="081640E5" w14:textId="77777777" w:rsidR="00C0755A" w:rsidRPr="00C0755A" w:rsidRDefault="00C0755A" w:rsidP="00C0755A">
      <w:pPr>
        <w:pStyle w:val="NoSpacing"/>
        <w:ind w:left="720" w:hanging="720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Patients who are within 1 year of receiving B-cell depleting therapies (e.g., rituximab, ocrelizumab, ofatumumab, alemtuzumab)</w:t>
      </w:r>
    </w:p>
    <w:p w14:paraId="58C44F88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Patients receiving Bruton tyrosine kinase inhibitors</w:t>
      </w:r>
    </w:p>
    <w:p w14:paraId="7E2BF30A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Chimeric antigen receptor T cell recipients</w:t>
      </w:r>
    </w:p>
    <w:p w14:paraId="7717B047" w14:textId="77777777" w:rsidR="00C0755A" w:rsidRPr="00C0755A" w:rsidRDefault="00C0755A" w:rsidP="00C0755A">
      <w:pPr>
        <w:pStyle w:val="NoSpacing"/>
        <w:ind w:left="720" w:hanging="720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Post-hematopoietic cell transplant recipients who have chronic graft versus host disease or who are taking immunosuppressive medications for another indication</w:t>
      </w:r>
    </w:p>
    <w:p w14:paraId="62D2987D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Patients with hematologic malignancies who are on active therapy</w:t>
      </w:r>
    </w:p>
    <w:p w14:paraId="4430E7A0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Lung transplant recipients</w:t>
      </w:r>
    </w:p>
    <w:p w14:paraId="2332B467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Patients who are within 1 year of receiving a solid-organ transplant (other than lung transplant)</w:t>
      </w:r>
    </w:p>
    <w:p w14:paraId="6B3F8DA3" w14:textId="77777777" w:rsidR="00C0755A" w:rsidRPr="00C0755A" w:rsidRDefault="00C0755A" w:rsidP="00C0755A">
      <w:pPr>
        <w:pStyle w:val="NoSpacing"/>
        <w:ind w:left="720" w:hanging="720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lastRenderedPageBreak/>
        <w:t>●</w:t>
      </w:r>
      <w:r w:rsidRPr="00C0755A">
        <w:rPr>
          <w:rFonts w:asciiTheme="majorHAnsi" w:hAnsiTheme="majorHAnsi" w:cstheme="majorHAnsi"/>
        </w:rPr>
        <w:tab/>
        <w:t>Solid-organ transplant recipients with recent treatment for acute rejection with T or B cell depleting agents</w:t>
      </w:r>
    </w:p>
    <w:p w14:paraId="0029853A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Patients with severe combined immunodeficiencies</w:t>
      </w:r>
    </w:p>
    <w:p w14:paraId="53E8C1D5" w14:textId="77777777" w:rsidR="00C0755A" w:rsidRPr="00C0755A" w:rsidRDefault="00C0755A" w:rsidP="00C0755A">
      <w:pPr>
        <w:pStyle w:val="NoSpacing"/>
        <w:rPr>
          <w:rFonts w:asciiTheme="majorHAnsi" w:hAnsiTheme="majorHAnsi" w:cstheme="majorHAnsi"/>
        </w:rPr>
      </w:pPr>
      <w:r w:rsidRPr="00C0755A">
        <w:rPr>
          <w:rFonts w:asciiTheme="majorHAnsi" w:hAnsiTheme="majorHAnsi" w:cstheme="majorHAnsi"/>
        </w:rPr>
        <w:t>●</w:t>
      </w:r>
      <w:r w:rsidRPr="00C0755A">
        <w:rPr>
          <w:rFonts w:asciiTheme="majorHAnsi" w:hAnsiTheme="majorHAnsi" w:cstheme="majorHAnsi"/>
        </w:rPr>
        <w:tab/>
        <w:t>Patients with untreated HIV who have a CD4 T lymphocyte cell count &lt;50 cells/mm3</w:t>
      </w:r>
    </w:p>
    <w:p w14:paraId="34F0496B" w14:textId="77777777" w:rsidR="006C59CE" w:rsidRDefault="006C59CE">
      <w:pPr>
        <w:spacing w:before="240" w:after="240"/>
      </w:pPr>
    </w:p>
    <w:p w14:paraId="1CA557C5" w14:textId="5C846601" w:rsidR="00A604FB" w:rsidRDefault="006C59CE">
      <w:pPr>
        <w:spacing w:before="240" w:after="240"/>
        <w:rPr>
          <w:rFonts w:ascii="Calibri" w:eastAsia="Calibri" w:hAnsi="Calibri" w:cs="Calibri"/>
        </w:rPr>
      </w:pPr>
      <w:hyperlink w:history="1">
        <w:r w:rsidRPr="00016083">
          <w:rPr>
            <w:rStyle w:val="Hyperlink"/>
            <w:rFonts w:ascii="Calibri" w:eastAsia="Calibri" w:hAnsi="Calibri" w:cs="Calibri"/>
          </w:rPr>
          <w:t>CDC Underlying Medical Conditions Associated with High Risk for Severe COVID-19: Information for Healthcare Providers</w:t>
        </w:r>
      </w:hyperlink>
      <w:r w:rsidR="008D3E29">
        <w:rPr>
          <w:rFonts w:ascii="Calibri" w:eastAsia="Calibri" w:hAnsi="Calibri" w:cs="Calibri"/>
        </w:rPr>
        <w:t xml:space="preserve"> (see </w:t>
      </w:r>
      <w:hyperlink r:id="rId9">
        <w:r w:rsidR="008D3E29">
          <w:rPr>
            <w:rFonts w:ascii="Calibri" w:eastAsia="Calibri" w:hAnsi="Calibri" w:cs="Calibri"/>
            <w:color w:val="1155CC"/>
            <w:u w:val="single"/>
          </w:rPr>
          <w:t>www.cdc.gov/coronavirus/2019-ncov/hcp/clinical-care/underlyingconditions.html</w:t>
        </w:r>
      </w:hyperlink>
      <w:r w:rsidR="008D3E29">
        <w:rPr>
          <w:rFonts w:ascii="Calibri" w:eastAsia="Calibri" w:hAnsi="Calibri" w:cs="Calibri"/>
        </w:rPr>
        <w:t xml:space="preserve">) </w:t>
      </w:r>
    </w:p>
    <w:p w14:paraId="0E24EE0C" w14:textId="77777777" w:rsidR="00A604FB" w:rsidRDefault="00A604FB">
      <w:pPr>
        <w:spacing w:before="240" w:after="240"/>
        <w:rPr>
          <w:rFonts w:ascii="Calibri" w:eastAsia="Calibri" w:hAnsi="Calibri" w:cs="Calibri"/>
        </w:rPr>
      </w:pPr>
    </w:p>
    <w:p w14:paraId="39CCEECB" w14:textId="77777777" w:rsidR="00A604FB" w:rsidRDefault="008D3E29">
      <w:pPr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C. Use of MAbs or Remdesivir for Treatment of COVID-19 When Omicron is Predominant Variant</w:t>
      </w:r>
    </w:p>
    <w:p w14:paraId="05F1B093" w14:textId="77777777" w:rsidR="00A604FB" w:rsidRDefault="008D3E29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a situation in which the Omicron variant represents the majority of COVID-19 infections in a region, VDH concurs with NIH’s recommendation regarding the use of IV Sotrovimab or IV Remdesivir as the drugs of choice to treat non-hospitalized patients with mild to moderate COVID-19 who are at high-risk of clinical progression to more severe illness.  Sotrovimab must be used according to its Emergency Use Authorization; however, remdesivir (an FDA approved medication) may be used off-label in accordance with the prescriber’s direction.  See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The COVID-19 Treatment Guidelines Panel's Statement on the Use of Anti-SARS-CoV-2 Monoclonal Antibodies or Remdesivir for the Treatment of COVID-19 in Nonhospitalized Patients When Omicron Is the Predominant Circulating Variant</w:t>
        </w:r>
      </w:hyperlink>
      <w:r>
        <w:rPr>
          <w:rFonts w:ascii="Calibri" w:eastAsia="Calibri" w:hAnsi="Calibri" w:cs="Calibri"/>
        </w:rPr>
        <w:t>.</w:t>
      </w:r>
    </w:p>
    <w:p w14:paraId="7D183053" w14:textId="77777777" w:rsidR="006C59CE" w:rsidRDefault="006C59CE">
      <w:pPr>
        <w:spacing w:before="240" w:after="240"/>
        <w:rPr>
          <w:rFonts w:ascii="Calibri" w:eastAsia="Calibri" w:hAnsi="Calibri" w:cs="Calibri"/>
          <w:b/>
          <w:u w:val="single"/>
        </w:rPr>
      </w:pPr>
    </w:p>
    <w:p w14:paraId="0899C5B9" w14:textId="3E70812B" w:rsidR="00A604FB" w:rsidRDefault="008D3E29">
      <w:pPr>
        <w:spacing w:before="240" w:after="24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D. References</w:t>
      </w:r>
    </w:p>
    <w:bookmarkStart w:id="0" w:name="_2w3gbfj0fyyx" w:colFirst="0" w:colLast="0"/>
    <w:bookmarkEnd w:id="0"/>
    <w:p w14:paraId="0E4307BA" w14:textId="77777777" w:rsidR="00A604FB" w:rsidRDefault="008D3E29">
      <w:pPr>
        <w:pStyle w:val="Heading1"/>
        <w:keepNext w:val="0"/>
        <w:keepLines w:val="0"/>
        <w:shd w:val="clear" w:color="auto" w:fill="FFFFFF"/>
        <w:spacing w:before="0" w:line="300" w:lineRule="auto"/>
        <w:rPr>
          <w:rFonts w:ascii="Calibri" w:eastAsia="Calibri" w:hAnsi="Calibri" w:cs="Calibri"/>
          <w:sz w:val="22"/>
          <w:szCs w:val="22"/>
        </w:rPr>
      </w:pPr>
      <w:r>
        <w:fldChar w:fldCharType="begin"/>
      </w:r>
      <w:r>
        <w:instrText xml:space="preserve"> HYPERLINK "https://www.covid19treatmentguidelines.nih.gov/therapies/statement-on-patient-prioritization-for-outpatient-therapies/" \h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The COVID-19 Treatment Guidelines Panel’s Interim Statement on Patient Prioritization for Outpatient Anti-SARS-CoV-2 Therapies or Preventive Strategies When There Are Logistical or Supply Constraints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- from NIH, updated December 23, 2021</w:t>
      </w:r>
    </w:p>
    <w:bookmarkStart w:id="1" w:name="_575wl15nts81" w:colFirst="0" w:colLast="0"/>
    <w:bookmarkEnd w:id="1"/>
    <w:p w14:paraId="3C8C22EB" w14:textId="77777777" w:rsidR="00A604FB" w:rsidRDefault="008D3E29">
      <w:pPr>
        <w:pStyle w:val="Heading1"/>
        <w:keepNext w:val="0"/>
        <w:keepLines w:val="0"/>
        <w:shd w:val="clear" w:color="auto" w:fill="FFFFFF"/>
        <w:spacing w:before="480" w:line="312" w:lineRule="auto"/>
        <w:rPr>
          <w:rFonts w:ascii="Calibri" w:eastAsia="Calibri" w:hAnsi="Calibri" w:cs="Calibri"/>
          <w:sz w:val="22"/>
          <w:szCs w:val="22"/>
        </w:rPr>
      </w:pPr>
      <w:r>
        <w:fldChar w:fldCharType="begin"/>
      </w:r>
      <w:r>
        <w:instrText xml:space="preserve"> HYPERLINK "https://www.cdc.gov/coronavirus/2019-ncov/hcp/clinical-care/underlyingconditions.html" \h </w:instrText>
      </w:r>
      <w:r>
        <w:fldChar w:fldCharType="separate"/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Underlying Medical Conditions Associated with Higher Risk for Severe COVID-19: Information for Healthcare Providers</w:t>
      </w: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- from CDC, updated October 14, 2021 </w:t>
      </w:r>
    </w:p>
    <w:p w14:paraId="67245B9F" w14:textId="77777777" w:rsidR="00A604FB" w:rsidRDefault="00A604FB"/>
    <w:sectPr w:rsidR="00A604FB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B59" w14:textId="77777777" w:rsidR="008209F0" w:rsidRDefault="008D3E29">
      <w:pPr>
        <w:spacing w:line="240" w:lineRule="auto"/>
      </w:pPr>
      <w:r>
        <w:separator/>
      </w:r>
    </w:p>
  </w:endnote>
  <w:endnote w:type="continuationSeparator" w:id="0">
    <w:p w14:paraId="57E6FA33" w14:textId="77777777" w:rsidR="008209F0" w:rsidRDefault="008D3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7F7" w14:textId="77777777" w:rsidR="00A604FB" w:rsidRDefault="00A604FB">
    <w:pPr>
      <w:ind w:left="8640" w:firstLine="720"/>
    </w:pPr>
  </w:p>
  <w:p w14:paraId="7F1E068C" w14:textId="77777777" w:rsidR="00A604FB" w:rsidRDefault="008D3E29">
    <w:pPr>
      <w:ind w:left="7200" w:firstLine="720"/>
      <w:rPr>
        <w:b/>
      </w:rPr>
    </w:pP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6724" w14:textId="77777777" w:rsidR="00A604FB" w:rsidRDefault="008D3E29">
    <w:pPr>
      <w:jc w:val="right"/>
    </w:pPr>
    <w:r>
      <w:fldChar w:fldCharType="begin"/>
    </w:r>
    <w:r>
      <w:instrText>PAGE</w:instrText>
    </w:r>
    <w:r w:rsidR="00835392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E330" w14:textId="77777777" w:rsidR="008209F0" w:rsidRDefault="008D3E29">
      <w:pPr>
        <w:spacing w:line="240" w:lineRule="auto"/>
      </w:pPr>
      <w:r>
        <w:separator/>
      </w:r>
    </w:p>
  </w:footnote>
  <w:footnote w:type="continuationSeparator" w:id="0">
    <w:p w14:paraId="0526598F" w14:textId="77777777" w:rsidR="008209F0" w:rsidRDefault="008D3E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E6B"/>
    <w:multiLevelType w:val="multilevel"/>
    <w:tmpl w:val="284C2D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17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44A2A"/>
    <w:multiLevelType w:val="multilevel"/>
    <w:tmpl w:val="DD4EB3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17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1F4270"/>
    <w:multiLevelType w:val="multilevel"/>
    <w:tmpl w:val="238AD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17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B14249"/>
    <w:multiLevelType w:val="multilevel"/>
    <w:tmpl w:val="64CA16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17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D97E25"/>
    <w:multiLevelType w:val="multilevel"/>
    <w:tmpl w:val="28AEFE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17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E307A42"/>
    <w:multiLevelType w:val="multilevel"/>
    <w:tmpl w:val="03C616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1717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4FB"/>
    <w:rsid w:val="00296639"/>
    <w:rsid w:val="006C59CE"/>
    <w:rsid w:val="008209F0"/>
    <w:rsid w:val="00835392"/>
    <w:rsid w:val="008D3E29"/>
    <w:rsid w:val="009268E7"/>
    <w:rsid w:val="00A0619E"/>
    <w:rsid w:val="00A604FB"/>
    <w:rsid w:val="00AD5CF8"/>
    <w:rsid w:val="00C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AC2A"/>
  <w15:docId w15:val="{D62731AC-1D57-4D08-A595-234C3820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2966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639"/>
  </w:style>
  <w:style w:type="paragraph" w:styleId="Footer">
    <w:name w:val="footer"/>
    <w:basedOn w:val="Normal"/>
    <w:link w:val="FooterChar"/>
    <w:uiPriority w:val="99"/>
    <w:unhideWhenUsed/>
    <w:rsid w:val="002966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639"/>
  </w:style>
  <w:style w:type="paragraph" w:styleId="NoSpacing">
    <w:name w:val="No Spacing"/>
    <w:uiPriority w:val="1"/>
    <w:qFormat/>
    <w:rsid w:val="00C0755A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C5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treatmentguidelines.nih.gov/therapies/statement-on-patient-prioritization-for-outpatient-therap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vid19treatmentguidelines.nih.gov/therapies/statement-on-patient-prioritization-for-outpatient-therapi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vid19treatmentguidelines.nih.gov/therapies/statement-on-anti-sars-cov-2-mabs-and-rdv-and-omicr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2019-ncov/hcp/clinical-care/underlyingconditi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</dc:creator>
  <cp:lastModifiedBy>B R</cp:lastModifiedBy>
  <cp:revision>3</cp:revision>
  <dcterms:created xsi:type="dcterms:W3CDTF">2021-12-28T02:55:00Z</dcterms:created>
  <dcterms:modified xsi:type="dcterms:W3CDTF">2021-12-28T02:58:00Z</dcterms:modified>
</cp:coreProperties>
</file>