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DA08" w14:textId="7C71FDF0" w:rsidR="00A604FB" w:rsidRPr="006C59CE" w:rsidRDefault="008D3E2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C59CE">
        <w:rPr>
          <w:rFonts w:asciiTheme="majorHAnsi" w:hAnsiTheme="majorHAnsi" w:cstheme="majorHAnsi"/>
          <w:b/>
          <w:sz w:val="24"/>
          <w:szCs w:val="24"/>
        </w:rPr>
        <w:t xml:space="preserve">VDH Clinical Criteria for Administration of COVID-19 Therapeutics </w:t>
      </w:r>
    </w:p>
    <w:p w14:paraId="55831888" w14:textId="77777777" w:rsidR="00A604FB" w:rsidRPr="006C59CE" w:rsidRDefault="008D3E2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C59CE">
        <w:rPr>
          <w:rFonts w:asciiTheme="majorHAnsi" w:hAnsiTheme="majorHAnsi" w:cstheme="majorHAnsi"/>
          <w:b/>
          <w:sz w:val="24"/>
          <w:szCs w:val="24"/>
        </w:rPr>
        <w:t>for Treatment of COVID-19</w:t>
      </w:r>
    </w:p>
    <w:p w14:paraId="2150F904" w14:textId="77777777" w:rsidR="00A604FB" w:rsidRPr="006C59CE" w:rsidRDefault="008D3E2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C59CE">
        <w:rPr>
          <w:rFonts w:asciiTheme="majorHAnsi" w:hAnsiTheme="majorHAnsi" w:cstheme="majorHAnsi"/>
          <w:b/>
          <w:sz w:val="24"/>
          <w:szCs w:val="24"/>
        </w:rPr>
        <w:t>(Monoclonal Antibodies (mAbs) and Oral Antivirals)</w:t>
      </w:r>
    </w:p>
    <w:p w14:paraId="3A6DDF9A" w14:textId="0E2C313D" w:rsidR="00A604FB" w:rsidRPr="006C59CE" w:rsidRDefault="008D3E2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C59CE">
        <w:rPr>
          <w:rFonts w:asciiTheme="majorHAnsi" w:hAnsiTheme="majorHAnsi" w:cstheme="majorHAnsi"/>
          <w:b/>
          <w:sz w:val="24"/>
          <w:szCs w:val="24"/>
        </w:rPr>
        <w:t>December 2</w:t>
      </w:r>
      <w:r w:rsidR="00296639" w:rsidRPr="006C59CE">
        <w:rPr>
          <w:rFonts w:asciiTheme="majorHAnsi" w:hAnsiTheme="majorHAnsi" w:cstheme="majorHAnsi"/>
          <w:b/>
          <w:sz w:val="24"/>
          <w:szCs w:val="24"/>
        </w:rPr>
        <w:t>7</w:t>
      </w:r>
      <w:r w:rsidRPr="006C59CE">
        <w:rPr>
          <w:rFonts w:asciiTheme="majorHAnsi" w:hAnsiTheme="majorHAnsi" w:cstheme="majorHAnsi"/>
          <w:b/>
          <w:sz w:val="24"/>
          <w:szCs w:val="24"/>
        </w:rPr>
        <w:t>, 2021</w:t>
      </w:r>
    </w:p>
    <w:p w14:paraId="2427E5EC" w14:textId="77777777" w:rsidR="00A604FB" w:rsidRDefault="00A604FB">
      <w:pPr>
        <w:jc w:val="center"/>
        <w:rPr>
          <w:b/>
        </w:rPr>
      </w:pPr>
    </w:p>
    <w:p w14:paraId="29AC5372" w14:textId="77777777" w:rsidR="00A604FB" w:rsidRDefault="00A604FB">
      <w:pPr>
        <w:rPr>
          <w:b/>
        </w:rPr>
      </w:pPr>
    </w:p>
    <w:p w14:paraId="530A058B" w14:textId="015F0190" w:rsidR="00A604FB" w:rsidRDefault="008D3E29">
      <w:pPr>
        <w:spacing w:before="240" w:after="240"/>
      </w:pPr>
      <w:r>
        <w:rPr>
          <w:rFonts w:ascii="Calibri" w:eastAsia="Calibri" w:hAnsi="Calibri" w:cs="Calibri"/>
        </w:rPr>
        <w:t>The U.S. FDA has issued Emergency Use Authorization</w:t>
      </w:r>
      <w:r w:rsidR="00296639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(EUA</w:t>
      </w:r>
      <w:r w:rsidR="00296639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) for the use of the following therapeutics for treatment of COVID-19 in high-risk patients with mild to moderate symptoms:</w:t>
      </w:r>
    </w:p>
    <w:p w14:paraId="42838A20" w14:textId="77777777" w:rsidR="00A604FB" w:rsidRDefault="008D3E2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Sotrovimab - GlaxoSmithKline (mAb)</w:t>
      </w:r>
    </w:p>
    <w:p w14:paraId="4B56C54A" w14:textId="77777777" w:rsidR="00A604FB" w:rsidRDefault="008D3E2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Paxlovid - Pfizer (oral antiviral) – NEW</w:t>
      </w:r>
    </w:p>
    <w:p w14:paraId="5ADB95A7" w14:textId="77777777" w:rsidR="00A604FB" w:rsidRDefault="008D3E2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Molnupiravir – Merck (oral antiviral) – NEW  </w:t>
      </w:r>
    </w:p>
    <w:p w14:paraId="3509057B" w14:textId="77777777" w:rsidR="00A604FB" w:rsidRDefault="008D3E2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Bamlanivimab/etesevimab (“Bam/Ete”) - Eli Lilly (mAb) *</w:t>
      </w:r>
    </w:p>
    <w:p w14:paraId="3624030C" w14:textId="77777777" w:rsidR="00A604FB" w:rsidRDefault="008D3E2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REGEN-COV (casirivimab/imdevimab) - Regeneron Pharmaceuticals (mAb) *</w:t>
      </w:r>
    </w:p>
    <w:p w14:paraId="1E95A227" w14:textId="0127CAB0" w:rsidR="00A604FB" w:rsidRDefault="008D3E29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 HHS is evaluating current use as in vitro data shows these products are not likely to be effective against </w:t>
      </w:r>
      <w:r w:rsidR="00296639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>Omicron</w:t>
      </w:r>
      <w:r w:rsidR="00296639">
        <w:rPr>
          <w:rFonts w:ascii="Calibri" w:eastAsia="Calibri" w:hAnsi="Calibri" w:cs="Calibri"/>
        </w:rPr>
        <w:t xml:space="preserve"> variant of SARS-CoV-2</w:t>
      </w:r>
      <w:r>
        <w:rPr>
          <w:rFonts w:ascii="Calibri" w:eastAsia="Calibri" w:hAnsi="Calibri" w:cs="Calibri"/>
        </w:rPr>
        <w:t>.</w:t>
      </w:r>
    </w:p>
    <w:p w14:paraId="6D7A6DE2" w14:textId="77777777" w:rsidR="00A604FB" w:rsidRDefault="008D3E29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Currently, COVID-19 therapeutic agents are in limited supply in the U.S. and the Commonwealth.  VDH will allocate these resources in a manner which maximizes their clinical benefit and protects against systemic unfairness and inequity.  In general (but not exactly), VDH recommends these resources be used according to the current </w:t>
      </w:r>
      <w:hyperlink r:id="rId7">
        <w:r>
          <w:rPr>
            <w:rFonts w:ascii="Calibri" w:eastAsia="Calibri" w:hAnsi="Calibri" w:cs="Calibri"/>
            <w:color w:val="1155CC"/>
            <w:u w:val="single"/>
          </w:rPr>
          <w:t xml:space="preserve">NIH </w:t>
        </w:r>
      </w:hyperlink>
      <w:hyperlink r:id="rId8">
        <w:r>
          <w:rPr>
            <w:rFonts w:ascii="Calibri" w:eastAsia="Calibri" w:hAnsi="Calibri" w:cs="Calibri"/>
            <w:color w:val="1155CC"/>
            <w:u w:val="single"/>
          </w:rPr>
          <w:t>COVID-19 Treatment Guidelines Panel’s Interim Statement on Patient Prioritization for Outpatient Anti-SARS-CoV-2 Therapies or Preventive Strategies When There Are Logistical or Supply Constraints</w:t>
        </w:r>
      </w:hyperlink>
      <w:r>
        <w:rPr>
          <w:rFonts w:ascii="Calibri" w:eastAsia="Calibri" w:hAnsi="Calibri" w:cs="Calibri"/>
        </w:rPr>
        <w:t xml:space="preserve"> dated December 23, 2021.  This document focuses on outpatient COVID-19 treatment prioritization, not preventive therapy against COVID-19.  VDH concurs with the NIH Treatment Panel’s approach to preventive therapy (pre-exposure prophylaxis with EVUSHELD).</w:t>
      </w:r>
    </w:p>
    <w:p w14:paraId="06B1AB8A" w14:textId="77777777" w:rsidR="006C59CE" w:rsidRDefault="006C59CE">
      <w:pPr>
        <w:spacing w:before="240" w:after="240"/>
        <w:rPr>
          <w:rFonts w:ascii="Calibri" w:eastAsia="Calibri" w:hAnsi="Calibri" w:cs="Calibri"/>
          <w:b/>
          <w:u w:val="single"/>
        </w:rPr>
      </w:pPr>
    </w:p>
    <w:p w14:paraId="0CD66E64" w14:textId="3D3A7545" w:rsidR="00A604FB" w:rsidRDefault="008D3E29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A. General principles</w:t>
      </w:r>
      <w:r>
        <w:rPr>
          <w:rFonts w:ascii="Calibri" w:eastAsia="Calibri" w:hAnsi="Calibri" w:cs="Calibri"/>
        </w:rPr>
        <w:t>:</w:t>
      </w:r>
    </w:p>
    <w:p w14:paraId="06C39622" w14:textId="77777777" w:rsidR="00A604FB" w:rsidRPr="00AD5CF8" w:rsidRDefault="008D3E29">
      <w:pPr>
        <w:numPr>
          <w:ilvl w:val="0"/>
          <w:numId w:val="6"/>
        </w:numPr>
        <w:shd w:val="clear" w:color="auto" w:fill="FFFFFF"/>
        <w:spacing w:before="160"/>
        <w:ind w:left="580"/>
        <w:rPr>
          <w:rFonts w:ascii="Calibri" w:eastAsia="Calibri" w:hAnsi="Calibri" w:cs="Calibri"/>
          <w:sz w:val="20"/>
          <w:szCs w:val="20"/>
        </w:rPr>
      </w:pPr>
      <w:r w:rsidRPr="00AD5CF8">
        <w:rPr>
          <w:rFonts w:ascii="Calibri" w:eastAsia="Calibri" w:hAnsi="Calibri" w:cs="Calibri"/>
          <w:color w:val="171717"/>
        </w:rPr>
        <w:t>Treatment of COVID-19 over post-exposure prophylaxis (PEP) of SARS-CoV-2 infection.</w:t>
      </w:r>
    </w:p>
    <w:p w14:paraId="3167FA78" w14:textId="6BF29187" w:rsidR="00A604FB" w:rsidRPr="00AD5CF8" w:rsidRDefault="00296639" w:rsidP="00AD5CF8">
      <w:pPr>
        <w:numPr>
          <w:ilvl w:val="0"/>
          <w:numId w:val="6"/>
        </w:numPr>
        <w:shd w:val="clear" w:color="auto" w:fill="FFFFFF"/>
        <w:spacing w:before="240" w:after="240"/>
        <w:ind w:left="580"/>
        <w:rPr>
          <w:rFonts w:ascii="Calibri" w:eastAsia="Calibri" w:hAnsi="Calibri" w:cs="Calibri"/>
          <w:sz w:val="20"/>
          <w:szCs w:val="20"/>
          <w:shd w:val="clear" w:color="auto" w:fill="D9D9D9"/>
        </w:rPr>
      </w:pPr>
      <w:r w:rsidRPr="00AD5CF8">
        <w:rPr>
          <w:rFonts w:ascii="Calibri" w:eastAsia="Calibri" w:hAnsi="Calibri" w:cs="Calibri"/>
          <w:color w:val="171717"/>
        </w:rPr>
        <w:t>Vaccinated patients should remain eligible for COVID-19 therapeutics if they develop breakthrough infections and unvaccinated patients who develop COVID-19 should not be penalized by with</w:t>
      </w:r>
      <w:r w:rsidR="00AD5CF8" w:rsidRPr="00AD5CF8">
        <w:rPr>
          <w:rFonts w:ascii="Calibri" w:eastAsia="Calibri" w:hAnsi="Calibri" w:cs="Calibri"/>
          <w:color w:val="171717"/>
        </w:rPr>
        <w:t>holding COVID-19 therapeutics.</w:t>
      </w:r>
    </w:p>
    <w:p w14:paraId="3764698B" w14:textId="77777777" w:rsidR="00AD5CF8" w:rsidRDefault="00AD5CF8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br w:type="page"/>
      </w:r>
    </w:p>
    <w:p w14:paraId="1A94BC7C" w14:textId="41070409" w:rsidR="00A604FB" w:rsidRDefault="008D3E29">
      <w:pPr>
        <w:spacing w:before="240" w:after="24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lastRenderedPageBreak/>
        <w:t>B. Patient Prioritization for Treatment of Mild to Moderate COVID-19 in Outpatients</w:t>
      </w:r>
    </w:p>
    <w:tbl>
      <w:tblPr>
        <w:tblW w:w="9315" w:type="dxa"/>
        <w:tblBorders>
          <w:top w:val="single" w:sz="6" w:space="0" w:color="CBD5DF"/>
          <w:left w:val="single" w:sz="6" w:space="0" w:color="CBD5DF"/>
          <w:bottom w:val="single" w:sz="6" w:space="0" w:color="CBD5DF"/>
          <w:right w:val="single" w:sz="6" w:space="0" w:color="CBD5DF"/>
          <w:insideH w:val="single" w:sz="6" w:space="0" w:color="CBD5DF"/>
          <w:insideV w:val="single" w:sz="6" w:space="0" w:color="CBD5DF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8415"/>
      </w:tblGrid>
      <w:tr w:rsidR="009268E7" w14:paraId="2F44CD4E" w14:textId="77777777" w:rsidTr="00EC5259">
        <w:trPr>
          <w:trHeight w:val="675"/>
        </w:trPr>
        <w:tc>
          <w:tcPr>
            <w:tcW w:w="900" w:type="dxa"/>
            <w:tcBorders>
              <w:top w:val="single" w:sz="6" w:space="0" w:color="065FA9"/>
              <w:left w:val="single" w:sz="6" w:space="0" w:color="065FA9"/>
              <w:bottom w:val="single" w:sz="6" w:space="0" w:color="1870EB"/>
              <w:right w:val="single" w:sz="6" w:space="0" w:color="1870EB"/>
            </w:tcBorders>
            <w:shd w:val="clear" w:color="auto" w:fill="065FA9"/>
            <w:tcMar>
              <w:top w:w="80" w:type="dxa"/>
              <w:left w:w="220" w:type="dxa"/>
              <w:bottom w:w="80" w:type="dxa"/>
              <w:right w:w="220" w:type="dxa"/>
            </w:tcMar>
          </w:tcPr>
          <w:p w14:paraId="5ABC555F" w14:textId="77777777" w:rsidR="009268E7" w:rsidRDefault="009268E7" w:rsidP="00EC5259">
            <w:pPr>
              <w:spacing w:before="240" w:after="220"/>
              <w:jc w:val="center"/>
              <w:rPr>
                <w:color w:val="171717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Tier</w:t>
            </w:r>
          </w:p>
        </w:tc>
        <w:tc>
          <w:tcPr>
            <w:tcW w:w="8415" w:type="dxa"/>
            <w:tcBorders>
              <w:top w:val="single" w:sz="6" w:space="0" w:color="065FA9"/>
              <w:left w:val="single" w:sz="6" w:space="0" w:color="065FA9"/>
              <w:bottom w:val="single" w:sz="6" w:space="0" w:color="1870EB"/>
              <w:right w:val="single" w:sz="6" w:space="0" w:color="1870EB"/>
            </w:tcBorders>
            <w:shd w:val="clear" w:color="auto" w:fill="065FA9"/>
            <w:tcMar>
              <w:top w:w="80" w:type="dxa"/>
              <w:left w:w="220" w:type="dxa"/>
              <w:bottom w:w="80" w:type="dxa"/>
              <w:right w:w="220" w:type="dxa"/>
            </w:tcMar>
          </w:tcPr>
          <w:p w14:paraId="0624079D" w14:textId="77777777" w:rsidR="009268E7" w:rsidRDefault="009268E7" w:rsidP="00EC5259">
            <w:pPr>
              <w:spacing w:before="240" w:after="220"/>
              <w:jc w:val="center"/>
              <w:rPr>
                <w:color w:val="171717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Risk Group</w:t>
            </w:r>
          </w:p>
        </w:tc>
      </w:tr>
      <w:tr w:rsidR="009268E7" w14:paraId="42CD0452" w14:textId="77777777" w:rsidTr="00C0755A">
        <w:trPr>
          <w:trHeight w:val="1282"/>
        </w:trPr>
        <w:tc>
          <w:tcPr>
            <w:tcW w:w="900" w:type="dxa"/>
            <w:tcBorders>
              <w:top w:val="single" w:sz="6" w:space="0" w:color="CBD5DF"/>
              <w:left w:val="single" w:sz="6" w:space="0" w:color="CBD5DF"/>
              <w:bottom w:val="single" w:sz="6" w:space="0" w:color="CBD5DF"/>
              <w:right w:val="single" w:sz="6" w:space="0" w:color="CBD5DF"/>
            </w:tcBorders>
            <w:tcMar>
              <w:top w:w="80" w:type="dxa"/>
              <w:left w:w="220" w:type="dxa"/>
              <w:bottom w:w="80" w:type="dxa"/>
              <w:right w:w="80" w:type="dxa"/>
            </w:tcMar>
          </w:tcPr>
          <w:p w14:paraId="7D84F6CF" w14:textId="77777777" w:rsidR="009268E7" w:rsidRPr="00C0755A" w:rsidRDefault="009268E7" w:rsidP="00EC5259">
            <w:pPr>
              <w:spacing w:before="240" w:after="220"/>
              <w:jc w:val="center"/>
              <w:rPr>
                <w:rFonts w:asciiTheme="majorHAnsi" w:hAnsiTheme="majorHAnsi" w:cstheme="majorHAnsi"/>
                <w:color w:val="171717"/>
                <w:highlight w:val="white"/>
              </w:rPr>
            </w:pPr>
            <w:r w:rsidRPr="00C0755A">
              <w:rPr>
                <w:rFonts w:asciiTheme="majorHAnsi" w:hAnsiTheme="majorHAnsi" w:cstheme="majorHAnsi"/>
                <w:color w:val="171717"/>
                <w:highlight w:val="white"/>
              </w:rPr>
              <w:t>1</w:t>
            </w:r>
          </w:p>
        </w:tc>
        <w:tc>
          <w:tcPr>
            <w:tcW w:w="8415" w:type="dxa"/>
            <w:tcBorders>
              <w:top w:val="single" w:sz="6" w:space="0" w:color="CBD5DF"/>
              <w:left w:val="single" w:sz="6" w:space="0" w:color="CBD5DF"/>
              <w:bottom w:val="single" w:sz="6" w:space="0" w:color="CBD5DF"/>
              <w:right w:val="single" w:sz="6" w:space="0" w:color="CBD5DF"/>
            </w:tcBorders>
            <w:tcMar>
              <w:top w:w="80" w:type="dxa"/>
              <w:left w:w="220" w:type="dxa"/>
              <w:bottom w:w="80" w:type="dxa"/>
              <w:right w:w="80" w:type="dxa"/>
            </w:tcMar>
          </w:tcPr>
          <w:p w14:paraId="70FD5C5B" w14:textId="77777777" w:rsidR="009268E7" w:rsidRPr="00C0755A" w:rsidRDefault="009268E7" w:rsidP="00EC5259">
            <w:pPr>
              <w:spacing w:before="160" w:after="660"/>
              <w:rPr>
                <w:rFonts w:asciiTheme="majorHAnsi" w:hAnsiTheme="majorHAnsi" w:cstheme="majorHAnsi"/>
                <w:color w:val="171717"/>
                <w:highlight w:val="white"/>
              </w:rPr>
            </w:pPr>
            <w:r w:rsidRPr="00C0755A">
              <w:rPr>
                <w:rFonts w:asciiTheme="majorHAnsi" w:hAnsiTheme="majorHAnsi" w:cstheme="majorHAnsi"/>
                <w:color w:val="171717"/>
                <w:highlight w:val="white"/>
              </w:rPr>
              <w:t>Immunocompromised individuals not expected to mount an adequate immune response to COVID-19 vaccination or SARS-CoV-2 infection due to their underlying conditions, regardless of vaccine status (see Immunocompromising Conditions</w:t>
            </w:r>
            <w:r w:rsidRPr="006C59CE">
              <w:rPr>
                <w:rFonts w:asciiTheme="majorHAnsi" w:hAnsiTheme="majorHAnsi" w:cstheme="majorHAnsi"/>
                <w:color w:val="171717"/>
                <w:sz w:val="28"/>
                <w:szCs w:val="28"/>
                <w:highlight w:val="white"/>
                <w:vertAlign w:val="superscript"/>
              </w:rPr>
              <w:t>#</w:t>
            </w:r>
            <w:r w:rsidRPr="006C59CE">
              <w:rPr>
                <w:rFonts w:asciiTheme="majorHAnsi" w:hAnsiTheme="majorHAnsi" w:cstheme="majorHAnsi"/>
                <w:color w:val="171717"/>
                <w:sz w:val="28"/>
                <w:szCs w:val="28"/>
                <w:highlight w:val="white"/>
              </w:rPr>
              <w:t xml:space="preserve"> </w:t>
            </w:r>
            <w:r w:rsidRPr="00C0755A">
              <w:rPr>
                <w:rFonts w:asciiTheme="majorHAnsi" w:hAnsiTheme="majorHAnsi" w:cstheme="majorHAnsi"/>
                <w:color w:val="171717"/>
                <w:highlight w:val="white"/>
              </w:rPr>
              <w:t>below)</w:t>
            </w:r>
          </w:p>
        </w:tc>
      </w:tr>
      <w:tr w:rsidR="009268E7" w14:paraId="1D148C33" w14:textId="77777777" w:rsidTr="00EC5259">
        <w:trPr>
          <w:trHeight w:val="1305"/>
        </w:trPr>
        <w:tc>
          <w:tcPr>
            <w:tcW w:w="900" w:type="dxa"/>
            <w:tcBorders>
              <w:top w:val="single" w:sz="6" w:space="0" w:color="CBD5DF"/>
              <w:left w:val="single" w:sz="6" w:space="0" w:color="CBD5DF"/>
              <w:bottom w:val="single" w:sz="6" w:space="0" w:color="CBD5DF"/>
              <w:right w:val="single" w:sz="6" w:space="0" w:color="CBD5DF"/>
            </w:tcBorders>
            <w:tcMar>
              <w:top w:w="80" w:type="dxa"/>
              <w:left w:w="220" w:type="dxa"/>
              <w:bottom w:w="80" w:type="dxa"/>
              <w:right w:w="80" w:type="dxa"/>
            </w:tcMar>
          </w:tcPr>
          <w:p w14:paraId="4E2BA1F8" w14:textId="77777777" w:rsidR="009268E7" w:rsidRPr="00C0755A" w:rsidRDefault="009268E7" w:rsidP="00EC5259">
            <w:pPr>
              <w:spacing w:before="240" w:after="220"/>
              <w:jc w:val="center"/>
              <w:rPr>
                <w:rFonts w:asciiTheme="majorHAnsi" w:hAnsiTheme="majorHAnsi" w:cstheme="majorHAnsi"/>
                <w:color w:val="171717"/>
                <w:highlight w:val="white"/>
              </w:rPr>
            </w:pPr>
            <w:r w:rsidRPr="00C0755A">
              <w:rPr>
                <w:rFonts w:asciiTheme="majorHAnsi" w:hAnsiTheme="majorHAnsi" w:cstheme="majorHAnsi"/>
                <w:color w:val="171717"/>
                <w:highlight w:val="white"/>
              </w:rPr>
              <w:t>2</w:t>
            </w:r>
          </w:p>
        </w:tc>
        <w:tc>
          <w:tcPr>
            <w:tcW w:w="8415" w:type="dxa"/>
            <w:tcBorders>
              <w:top w:val="single" w:sz="6" w:space="0" w:color="CBD5DF"/>
              <w:left w:val="single" w:sz="6" w:space="0" w:color="CBD5DF"/>
              <w:bottom w:val="single" w:sz="6" w:space="0" w:color="CBD5DF"/>
              <w:right w:val="single" w:sz="6" w:space="0" w:color="CBD5DF"/>
            </w:tcBorders>
            <w:tcMar>
              <w:top w:w="80" w:type="dxa"/>
              <w:left w:w="220" w:type="dxa"/>
              <w:bottom w:w="80" w:type="dxa"/>
              <w:right w:w="80" w:type="dxa"/>
            </w:tcMar>
          </w:tcPr>
          <w:p w14:paraId="7AF17B4F" w14:textId="77777777" w:rsidR="009268E7" w:rsidRPr="00C0755A" w:rsidRDefault="009268E7" w:rsidP="00EC5259">
            <w:pPr>
              <w:spacing w:before="160" w:after="660"/>
              <w:rPr>
                <w:rFonts w:asciiTheme="majorHAnsi" w:hAnsiTheme="majorHAnsi" w:cstheme="majorHAnsi"/>
                <w:color w:val="171717"/>
                <w:highlight w:val="white"/>
              </w:rPr>
            </w:pPr>
            <w:r w:rsidRPr="00C0755A">
              <w:rPr>
                <w:rFonts w:asciiTheme="majorHAnsi" w:hAnsiTheme="majorHAnsi" w:cstheme="majorHAnsi"/>
                <w:color w:val="171717"/>
                <w:highlight w:val="white"/>
              </w:rPr>
              <w:t xml:space="preserve">Regardless of vaccination status, individuals at the highest risk of severe disease who do not meet criteria in Tier 1 (anyone aged </w:t>
            </w:r>
            <w:r w:rsidRPr="00C0755A">
              <w:rPr>
                <w:rFonts w:asciiTheme="majorHAnsi" w:hAnsiTheme="majorHAnsi" w:cstheme="majorHAnsi"/>
                <w:color w:val="171717"/>
                <w:highlight w:val="white"/>
                <w:u w:val="single"/>
              </w:rPr>
              <w:t>&gt;</w:t>
            </w:r>
            <w:r w:rsidRPr="00C0755A">
              <w:rPr>
                <w:rFonts w:asciiTheme="majorHAnsi" w:hAnsiTheme="majorHAnsi" w:cstheme="majorHAnsi"/>
                <w:color w:val="171717"/>
                <w:highlight w:val="white"/>
              </w:rPr>
              <w:t xml:space="preserve"> 75 years, or anyone </w:t>
            </w:r>
            <w:r w:rsidRPr="00C0755A">
              <w:rPr>
                <w:rFonts w:asciiTheme="majorHAnsi" w:hAnsiTheme="majorHAnsi" w:cstheme="majorHAnsi"/>
                <w:color w:val="171717"/>
                <w:highlight w:val="white"/>
                <w:u w:val="single"/>
              </w:rPr>
              <w:t>&gt;</w:t>
            </w:r>
            <w:r w:rsidRPr="00C0755A">
              <w:rPr>
                <w:rFonts w:asciiTheme="majorHAnsi" w:hAnsiTheme="majorHAnsi" w:cstheme="majorHAnsi"/>
                <w:color w:val="171717"/>
                <w:highlight w:val="white"/>
              </w:rPr>
              <w:t xml:space="preserve"> 65 years with one or more additional risk factor(s) for progression to severe COVID-19) </w:t>
            </w:r>
          </w:p>
        </w:tc>
      </w:tr>
      <w:tr w:rsidR="009268E7" w14:paraId="24E60C09" w14:textId="77777777" w:rsidTr="00EC5259">
        <w:trPr>
          <w:trHeight w:val="1860"/>
        </w:trPr>
        <w:tc>
          <w:tcPr>
            <w:tcW w:w="900" w:type="dxa"/>
            <w:tcBorders>
              <w:top w:val="single" w:sz="6" w:space="0" w:color="CBD5DF"/>
              <w:left w:val="single" w:sz="6" w:space="0" w:color="CBD5DF"/>
              <w:bottom w:val="single" w:sz="6" w:space="0" w:color="CBD5DF"/>
              <w:right w:val="single" w:sz="6" w:space="0" w:color="CBD5DF"/>
            </w:tcBorders>
            <w:tcMar>
              <w:top w:w="80" w:type="dxa"/>
              <w:left w:w="220" w:type="dxa"/>
              <w:bottom w:w="80" w:type="dxa"/>
              <w:right w:w="80" w:type="dxa"/>
            </w:tcMar>
          </w:tcPr>
          <w:p w14:paraId="385335CD" w14:textId="77777777" w:rsidR="009268E7" w:rsidRPr="00C0755A" w:rsidRDefault="009268E7" w:rsidP="00EC5259">
            <w:pPr>
              <w:spacing w:before="240" w:after="220"/>
              <w:jc w:val="center"/>
              <w:rPr>
                <w:rFonts w:asciiTheme="majorHAnsi" w:hAnsiTheme="majorHAnsi" w:cstheme="majorHAnsi"/>
                <w:color w:val="171717"/>
                <w:highlight w:val="white"/>
              </w:rPr>
            </w:pPr>
            <w:r w:rsidRPr="00C0755A">
              <w:rPr>
                <w:rFonts w:asciiTheme="majorHAnsi" w:hAnsiTheme="majorHAnsi" w:cstheme="majorHAnsi"/>
                <w:color w:val="171717"/>
                <w:highlight w:val="white"/>
              </w:rPr>
              <w:t>3</w:t>
            </w:r>
          </w:p>
        </w:tc>
        <w:tc>
          <w:tcPr>
            <w:tcW w:w="8415" w:type="dxa"/>
            <w:tcBorders>
              <w:top w:val="single" w:sz="6" w:space="0" w:color="CBD5DF"/>
              <w:left w:val="single" w:sz="6" w:space="0" w:color="CBD5DF"/>
              <w:bottom w:val="single" w:sz="6" w:space="0" w:color="CBD5DF"/>
              <w:right w:val="single" w:sz="6" w:space="0" w:color="CBD5DF"/>
            </w:tcBorders>
            <w:tcMar>
              <w:top w:w="80" w:type="dxa"/>
              <w:left w:w="220" w:type="dxa"/>
              <w:bottom w:w="80" w:type="dxa"/>
              <w:right w:w="80" w:type="dxa"/>
            </w:tcMar>
          </w:tcPr>
          <w:p w14:paraId="6B43D8EE" w14:textId="77777777" w:rsidR="009268E7" w:rsidRPr="00C0755A" w:rsidRDefault="009268E7" w:rsidP="00EC5259">
            <w:pPr>
              <w:shd w:val="clear" w:color="auto" w:fill="FFFFFF"/>
              <w:spacing w:before="160" w:after="440"/>
              <w:rPr>
                <w:rFonts w:asciiTheme="majorHAnsi" w:hAnsiTheme="majorHAnsi" w:cstheme="majorHAnsi"/>
                <w:color w:val="171717"/>
                <w:highlight w:val="white"/>
              </w:rPr>
            </w:pPr>
            <w:r w:rsidRPr="00C0755A">
              <w:rPr>
                <w:rFonts w:asciiTheme="majorHAnsi" w:hAnsiTheme="majorHAnsi" w:cstheme="majorHAnsi"/>
                <w:color w:val="171717"/>
                <w:highlight w:val="white"/>
              </w:rPr>
              <w:t>Regardless of vaccination status, individuals at risk of severe disease not included in Tiers 1 or 2 (anyone aged 66-74 years, or anyone aged &lt;65 years with one or more clinical risk factors for progression to severe COVID-19)</w:t>
            </w:r>
          </w:p>
        </w:tc>
      </w:tr>
      <w:tr w:rsidR="009268E7" w14:paraId="6E1E8593" w14:textId="77777777" w:rsidTr="00EC5259">
        <w:trPr>
          <w:trHeight w:val="1860"/>
        </w:trPr>
        <w:tc>
          <w:tcPr>
            <w:tcW w:w="900" w:type="dxa"/>
            <w:tcBorders>
              <w:top w:val="single" w:sz="6" w:space="0" w:color="CBD5DF"/>
              <w:left w:val="single" w:sz="6" w:space="0" w:color="CBD5DF"/>
              <w:bottom w:val="single" w:sz="6" w:space="0" w:color="CBD5DF"/>
              <w:right w:val="single" w:sz="6" w:space="0" w:color="CBD5DF"/>
            </w:tcBorders>
            <w:tcMar>
              <w:top w:w="80" w:type="dxa"/>
              <w:left w:w="220" w:type="dxa"/>
              <w:bottom w:w="80" w:type="dxa"/>
              <w:right w:w="80" w:type="dxa"/>
            </w:tcMar>
          </w:tcPr>
          <w:p w14:paraId="28688C90" w14:textId="77777777" w:rsidR="009268E7" w:rsidRPr="00C0755A" w:rsidRDefault="009268E7" w:rsidP="00EC5259">
            <w:pPr>
              <w:spacing w:before="240" w:after="220"/>
              <w:jc w:val="center"/>
              <w:rPr>
                <w:rFonts w:asciiTheme="majorHAnsi" w:hAnsiTheme="majorHAnsi" w:cstheme="majorHAnsi"/>
                <w:color w:val="171717"/>
                <w:highlight w:val="white"/>
              </w:rPr>
            </w:pPr>
            <w:r w:rsidRPr="00C0755A">
              <w:rPr>
                <w:rFonts w:asciiTheme="majorHAnsi" w:hAnsiTheme="majorHAnsi" w:cstheme="majorHAnsi"/>
                <w:color w:val="171717"/>
                <w:highlight w:val="white"/>
              </w:rPr>
              <w:t>4</w:t>
            </w:r>
          </w:p>
        </w:tc>
        <w:tc>
          <w:tcPr>
            <w:tcW w:w="8415" w:type="dxa"/>
            <w:tcBorders>
              <w:top w:val="single" w:sz="6" w:space="0" w:color="CBD5DF"/>
              <w:left w:val="single" w:sz="6" w:space="0" w:color="CBD5DF"/>
              <w:bottom w:val="single" w:sz="6" w:space="0" w:color="CBD5DF"/>
              <w:right w:val="single" w:sz="6" w:space="0" w:color="CBD5DF"/>
            </w:tcBorders>
            <w:tcMar>
              <w:top w:w="80" w:type="dxa"/>
              <w:left w:w="220" w:type="dxa"/>
              <w:bottom w:w="80" w:type="dxa"/>
              <w:right w:w="80" w:type="dxa"/>
            </w:tcMar>
          </w:tcPr>
          <w:p w14:paraId="4DE53B3E" w14:textId="6C28530B" w:rsidR="009268E7" w:rsidRPr="00C0755A" w:rsidRDefault="009268E7" w:rsidP="00EC5259">
            <w:pPr>
              <w:spacing w:before="160" w:after="660"/>
              <w:rPr>
                <w:rFonts w:asciiTheme="majorHAnsi" w:hAnsiTheme="majorHAnsi" w:cstheme="majorHAnsi"/>
                <w:color w:val="171717"/>
                <w:highlight w:val="white"/>
              </w:rPr>
            </w:pPr>
            <w:r w:rsidRPr="00C0755A">
              <w:rPr>
                <w:rFonts w:asciiTheme="majorHAnsi" w:hAnsiTheme="majorHAnsi" w:cstheme="majorHAnsi"/>
                <w:color w:val="171717"/>
                <w:highlight w:val="white"/>
              </w:rPr>
              <w:t>After careful consideration by a licensed prescriber, patients with one or more high-risk condition(s) who meet the EUA criteria for the treatment drug may also receive COVID-19 therapeutics (mAbs or oral antivirals)</w:t>
            </w:r>
          </w:p>
        </w:tc>
      </w:tr>
    </w:tbl>
    <w:p w14:paraId="3762D42C" w14:textId="77777777" w:rsidR="00C0755A" w:rsidRDefault="00C0755A" w:rsidP="00C0755A">
      <w:pPr>
        <w:pStyle w:val="NoSpacing"/>
      </w:pPr>
    </w:p>
    <w:p w14:paraId="24FFE58E" w14:textId="71F74D71" w:rsidR="00C0755A" w:rsidRPr="006C59CE" w:rsidRDefault="00C0755A" w:rsidP="00C0755A">
      <w:pPr>
        <w:pStyle w:val="NoSpacing"/>
        <w:rPr>
          <w:rFonts w:asciiTheme="majorHAnsi" w:hAnsiTheme="majorHAnsi" w:cstheme="majorHAnsi"/>
          <w:b/>
          <w:bCs/>
        </w:rPr>
      </w:pPr>
      <w:r w:rsidRPr="006C59CE">
        <w:rPr>
          <w:rFonts w:asciiTheme="majorHAnsi" w:hAnsiTheme="majorHAnsi" w:cstheme="majorHAnsi"/>
          <w:b/>
          <w:bCs/>
        </w:rPr>
        <w:t># Immunocompromising conditions</w:t>
      </w:r>
    </w:p>
    <w:p w14:paraId="081640E5" w14:textId="77777777" w:rsidR="00C0755A" w:rsidRPr="00C0755A" w:rsidRDefault="00C0755A" w:rsidP="00C0755A">
      <w:pPr>
        <w:pStyle w:val="NoSpacing"/>
        <w:ind w:left="720" w:hanging="720"/>
        <w:rPr>
          <w:rFonts w:asciiTheme="majorHAnsi" w:hAnsiTheme="majorHAnsi" w:cstheme="majorHAnsi"/>
        </w:rPr>
      </w:pPr>
      <w:r w:rsidRPr="00C0755A">
        <w:rPr>
          <w:rFonts w:asciiTheme="majorHAnsi" w:hAnsiTheme="majorHAnsi" w:cstheme="majorHAnsi"/>
        </w:rPr>
        <w:t>●</w:t>
      </w:r>
      <w:r w:rsidRPr="00C0755A">
        <w:rPr>
          <w:rFonts w:asciiTheme="majorHAnsi" w:hAnsiTheme="majorHAnsi" w:cstheme="majorHAnsi"/>
        </w:rPr>
        <w:tab/>
        <w:t>Patients who are within 1 year of receiving B-cell depleting therapies (e.g., rituximab, ocrelizumab, ofatumumab, alemtuzumab)</w:t>
      </w:r>
    </w:p>
    <w:p w14:paraId="58C44F88" w14:textId="77777777" w:rsidR="00C0755A" w:rsidRPr="00C0755A" w:rsidRDefault="00C0755A" w:rsidP="00C0755A">
      <w:pPr>
        <w:pStyle w:val="NoSpacing"/>
        <w:rPr>
          <w:rFonts w:asciiTheme="majorHAnsi" w:hAnsiTheme="majorHAnsi" w:cstheme="majorHAnsi"/>
        </w:rPr>
      </w:pPr>
      <w:r w:rsidRPr="00C0755A">
        <w:rPr>
          <w:rFonts w:asciiTheme="majorHAnsi" w:hAnsiTheme="majorHAnsi" w:cstheme="majorHAnsi"/>
        </w:rPr>
        <w:t>●</w:t>
      </w:r>
      <w:r w:rsidRPr="00C0755A">
        <w:rPr>
          <w:rFonts w:asciiTheme="majorHAnsi" w:hAnsiTheme="majorHAnsi" w:cstheme="majorHAnsi"/>
        </w:rPr>
        <w:tab/>
        <w:t>Patients receiving Bruton tyrosine kinase inhibitors</w:t>
      </w:r>
    </w:p>
    <w:p w14:paraId="7E2BF30A" w14:textId="77777777" w:rsidR="00C0755A" w:rsidRPr="00C0755A" w:rsidRDefault="00C0755A" w:rsidP="00C0755A">
      <w:pPr>
        <w:pStyle w:val="NoSpacing"/>
        <w:rPr>
          <w:rFonts w:asciiTheme="majorHAnsi" w:hAnsiTheme="majorHAnsi" w:cstheme="majorHAnsi"/>
        </w:rPr>
      </w:pPr>
      <w:r w:rsidRPr="00C0755A">
        <w:rPr>
          <w:rFonts w:asciiTheme="majorHAnsi" w:hAnsiTheme="majorHAnsi" w:cstheme="majorHAnsi"/>
        </w:rPr>
        <w:t>●</w:t>
      </w:r>
      <w:r w:rsidRPr="00C0755A">
        <w:rPr>
          <w:rFonts w:asciiTheme="majorHAnsi" w:hAnsiTheme="majorHAnsi" w:cstheme="majorHAnsi"/>
        </w:rPr>
        <w:tab/>
        <w:t>Chimeric antigen receptor T cell recipients</w:t>
      </w:r>
    </w:p>
    <w:p w14:paraId="7717B047" w14:textId="77777777" w:rsidR="00C0755A" w:rsidRPr="00C0755A" w:rsidRDefault="00C0755A" w:rsidP="00C0755A">
      <w:pPr>
        <w:pStyle w:val="NoSpacing"/>
        <w:ind w:left="720" w:hanging="720"/>
        <w:rPr>
          <w:rFonts w:asciiTheme="majorHAnsi" w:hAnsiTheme="majorHAnsi" w:cstheme="majorHAnsi"/>
        </w:rPr>
      </w:pPr>
      <w:r w:rsidRPr="00C0755A">
        <w:rPr>
          <w:rFonts w:asciiTheme="majorHAnsi" w:hAnsiTheme="majorHAnsi" w:cstheme="majorHAnsi"/>
        </w:rPr>
        <w:t>●</w:t>
      </w:r>
      <w:r w:rsidRPr="00C0755A">
        <w:rPr>
          <w:rFonts w:asciiTheme="majorHAnsi" w:hAnsiTheme="majorHAnsi" w:cstheme="majorHAnsi"/>
        </w:rPr>
        <w:tab/>
        <w:t>Post-hematopoietic cell transplant recipients who have chronic graft versus host disease or who are taking immunosuppressive medications for another indication</w:t>
      </w:r>
    </w:p>
    <w:p w14:paraId="62D2987D" w14:textId="77777777" w:rsidR="00C0755A" w:rsidRPr="00C0755A" w:rsidRDefault="00C0755A" w:rsidP="00C0755A">
      <w:pPr>
        <w:pStyle w:val="NoSpacing"/>
        <w:rPr>
          <w:rFonts w:asciiTheme="majorHAnsi" w:hAnsiTheme="majorHAnsi" w:cstheme="majorHAnsi"/>
        </w:rPr>
      </w:pPr>
      <w:r w:rsidRPr="00C0755A">
        <w:rPr>
          <w:rFonts w:asciiTheme="majorHAnsi" w:hAnsiTheme="majorHAnsi" w:cstheme="majorHAnsi"/>
        </w:rPr>
        <w:t>●</w:t>
      </w:r>
      <w:r w:rsidRPr="00C0755A">
        <w:rPr>
          <w:rFonts w:asciiTheme="majorHAnsi" w:hAnsiTheme="majorHAnsi" w:cstheme="majorHAnsi"/>
        </w:rPr>
        <w:tab/>
        <w:t>Patients with hematologic malignancies who are on active therapy</w:t>
      </w:r>
    </w:p>
    <w:p w14:paraId="4430E7A0" w14:textId="77777777" w:rsidR="00C0755A" w:rsidRPr="00C0755A" w:rsidRDefault="00C0755A" w:rsidP="00C0755A">
      <w:pPr>
        <w:pStyle w:val="NoSpacing"/>
        <w:rPr>
          <w:rFonts w:asciiTheme="majorHAnsi" w:hAnsiTheme="majorHAnsi" w:cstheme="majorHAnsi"/>
        </w:rPr>
      </w:pPr>
      <w:r w:rsidRPr="00C0755A">
        <w:rPr>
          <w:rFonts w:asciiTheme="majorHAnsi" w:hAnsiTheme="majorHAnsi" w:cstheme="majorHAnsi"/>
        </w:rPr>
        <w:t>●</w:t>
      </w:r>
      <w:r w:rsidRPr="00C0755A">
        <w:rPr>
          <w:rFonts w:asciiTheme="majorHAnsi" w:hAnsiTheme="majorHAnsi" w:cstheme="majorHAnsi"/>
        </w:rPr>
        <w:tab/>
        <w:t>Lung transplant recipients</w:t>
      </w:r>
    </w:p>
    <w:p w14:paraId="2332B467" w14:textId="77777777" w:rsidR="00C0755A" w:rsidRPr="00C0755A" w:rsidRDefault="00C0755A" w:rsidP="00C0755A">
      <w:pPr>
        <w:pStyle w:val="NoSpacing"/>
        <w:rPr>
          <w:rFonts w:asciiTheme="majorHAnsi" w:hAnsiTheme="majorHAnsi" w:cstheme="majorHAnsi"/>
        </w:rPr>
      </w:pPr>
      <w:r w:rsidRPr="00C0755A">
        <w:rPr>
          <w:rFonts w:asciiTheme="majorHAnsi" w:hAnsiTheme="majorHAnsi" w:cstheme="majorHAnsi"/>
        </w:rPr>
        <w:t>●</w:t>
      </w:r>
      <w:r w:rsidRPr="00C0755A">
        <w:rPr>
          <w:rFonts w:asciiTheme="majorHAnsi" w:hAnsiTheme="majorHAnsi" w:cstheme="majorHAnsi"/>
        </w:rPr>
        <w:tab/>
        <w:t>Patients who are within 1 year of receiving a solid-organ transplant (other than lung transplant)</w:t>
      </w:r>
    </w:p>
    <w:p w14:paraId="6B3F8DA3" w14:textId="77777777" w:rsidR="00C0755A" w:rsidRPr="00C0755A" w:rsidRDefault="00C0755A" w:rsidP="00C0755A">
      <w:pPr>
        <w:pStyle w:val="NoSpacing"/>
        <w:ind w:left="720" w:hanging="720"/>
        <w:rPr>
          <w:rFonts w:asciiTheme="majorHAnsi" w:hAnsiTheme="majorHAnsi" w:cstheme="majorHAnsi"/>
        </w:rPr>
      </w:pPr>
      <w:r w:rsidRPr="00C0755A">
        <w:rPr>
          <w:rFonts w:asciiTheme="majorHAnsi" w:hAnsiTheme="majorHAnsi" w:cstheme="majorHAnsi"/>
        </w:rPr>
        <w:lastRenderedPageBreak/>
        <w:t>●</w:t>
      </w:r>
      <w:r w:rsidRPr="00C0755A">
        <w:rPr>
          <w:rFonts w:asciiTheme="majorHAnsi" w:hAnsiTheme="majorHAnsi" w:cstheme="majorHAnsi"/>
        </w:rPr>
        <w:tab/>
        <w:t>Solid-organ transplant recipients with recent treatment for acute rejection with T or B cell depleting agents</w:t>
      </w:r>
    </w:p>
    <w:p w14:paraId="0029853A" w14:textId="77777777" w:rsidR="00C0755A" w:rsidRPr="00C0755A" w:rsidRDefault="00C0755A" w:rsidP="00C0755A">
      <w:pPr>
        <w:pStyle w:val="NoSpacing"/>
        <w:rPr>
          <w:rFonts w:asciiTheme="majorHAnsi" w:hAnsiTheme="majorHAnsi" w:cstheme="majorHAnsi"/>
        </w:rPr>
      </w:pPr>
      <w:r w:rsidRPr="00C0755A">
        <w:rPr>
          <w:rFonts w:asciiTheme="majorHAnsi" w:hAnsiTheme="majorHAnsi" w:cstheme="majorHAnsi"/>
        </w:rPr>
        <w:t>●</w:t>
      </w:r>
      <w:r w:rsidRPr="00C0755A">
        <w:rPr>
          <w:rFonts w:asciiTheme="majorHAnsi" w:hAnsiTheme="majorHAnsi" w:cstheme="majorHAnsi"/>
        </w:rPr>
        <w:tab/>
        <w:t>Patients with severe combined immunodeficiencies</w:t>
      </w:r>
    </w:p>
    <w:p w14:paraId="53E8C1D5" w14:textId="77777777" w:rsidR="00C0755A" w:rsidRPr="00C0755A" w:rsidRDefault="00C0755A" w:rsidP="00C0755A">
      <w:pPr>
        <w:pStyle w:val="NoSpacing"/>
        <w:rPr>
          <w:rFonts w:asciiTheme="majorHAnsi" w:hAnsiTheme="majorHAnsi" w:cstheme="majorHAnsi"/>
        </w:rPr>
      </w:pPr>
      <w:r w:rsidRPr="00C0755A">
        <w:rPr>
          <w:rFonts w:asciiTheme="majorHAnsi" w:hAnsiTheme="majorHAnsi" w:cstheme="majorHAnsi"/>
        </w:rPr>
        <w:t>●</w:t>
      </w:r>
      <w:r w:rsidRPr="00C0755A">
        <w:rPr>
          <w:rFonts w:asciiTheme="majorHAnsi" w:hAnsiTheme="majorHAnsi" w:cstheme="majorHAnsi"/>
        </w:rPr>
        <w:tab/>
        <w:t>Patients with untreated HIV who have a CD4 T lymphocyte cell count &lt;50 cells/mm3</w:t>
      </w:r>
    </w:p>
    <w:p w14:paraId="34F0496B" w14:textId="77777777" w:rsidR="006C59CE" w:rsidRDefault="006C59CE">
      <w:pPr>
        <w:spacing w:before="240" w:after="240"/>
      </w:pPr>
    </w:p>
    <w:p w14:paraId="1CA557C5" w14:textId="5C846601" w:rsidR="00A604FB" w:rsidRDefault="006C59CE">
      <w:pPr>
        <w:spacing w:before="240" w:after="240"/>
        <w:rPr>
          <w:rFonts w:ascii="Calibri" w:eastAsia="Calibri" w:hAnsi="Calibri" w:cs="Calibri"/>
        </w:rPr>
      </w:pPr>
      <w:hyperlink w:history="1">
        <w:r w:rsidRPr="00016083">
          <w:rPr>
            <w:rStyle w:val="Hyperlink"/>
            <w:rFonts w:ascii="Calibri" w:eastAsia="Calibri" w:hAnsi="Calibri" w:cs="Calibri"/>
          </w:rPr>
          <w:t>CDC Underlying Medical Conditions Associated with High Risk for Severe COVID-19: Information for Healthcare Providers</w:t>
        </w:r>
      </w:hyperlink>
      <w:r w:rsidR="008D3E29">
        <w:rPr>
          <w:rFonts w:ascii="Calibri" w:eastAsia="Calibri" w:hAnsi="Calibri" w:cs="Calibri"/>
        </w:rPr>
        <w:t xml:space="preserve"> (see </w:t>
      </w:r>
      <w:hyperlink r:id="rId9">
        <w:r w:rsidR="008D3E29">
          <w:rPr>
            <w:rFonts w:ascii="Calibri" w:eastAsia="Calibri" w:hAnsi="Calibri" w:cs="Calibri"/>
            <w:color w:val="1155CC"/>
            <w:u w:val="single"/>
          </w:rPr>
          <w:t>www.cdc.gov/coronavirus/2019-ncov/hcp/clinical-care/underlyingconditions.html</w:t>
        </w:r>
      </w:hyperlink>
      <w:r w:rsidR="008D3E29">
        <w:rPr>
          <w:rFonts w:ascii="Calibri" w:eastAsia="Calibri" w:hAnsi="Calibri" w:cs="Calibri"/>
        </w:rPr>
        <w:t xml:space="preserve">) </w:t>
      </w:r>
    </w:p>
    <w:p w14:paraId="0E24EE0C" w14:textId="77777777" w:rsidR="00A604FB" w:rsidRDefault="00A604FB">
      <w:pPr>
        <w:spacing w:before="240" w:after="240"/>
        <w:rPr>
          <w:rFonts w:ascii="Calibri" w:eastAsia="Calibri" w:hAnsi="Calibri" w:cs="Calibri"/>
        </w:rPr>
      </w:pPr>
    </w:p>
    <w:p w14:paraId="39CCEECB" w14:textId="77777777" w:rsidR="00A604FB" w:rsidRDefault="008D3E29">
      <w:pPr>
        <w:spacing w:before="240" w:after="24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C. Use of MAbs or Remdesivir for Treatment of COVID-19 When Omicron is Predominant Variant</w:t>
      </w:r>
    </w:p>
    <w:p w14:paraId="05F1B093" w14:textId="77777777" w:rsidR="00A604FB" w:rsidRDefault="008D3E29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During a situation in which the Omicron variant represents the majority of COVID-19 infections in a region, VDH concurs with NIH’s recommendation regarding the use of IV Sotrovimab or IV Remdesivir as the drugs of choice to treat non-hospitalized patients with mild to moderate COVID-19 who are at high-risk of clinical progression to more severe illness.  Sotrovimab must be used according to its Emergency Use Authorization; however, remdesivir (an FDA approved medication) may be used off-label in accordance with the prescriber’s direction.  See </w:t>
      </w:r>
      <w:hyperlink r:id="rId10">
        <w:r>
          <w:rPr>
            <w:rFonts w:ascii="Calibri" w:eastAsia="Calibri" w:hAnsi="Calibri" w:cs="Calibri"/>
            <w:color w:val="1155CC"/>
            <w:u w:val="single"/>
          </w:rPr>
          <w:t>The COVID-19 Treatment Guidelines Panel's Statement on the Use of Anti-SARS-CoV-2 Monoclonal Antibodies or Remdesivir for the Treatment of COVID-19 in Nonhospitalized Patients When Omicron Is the Predominant Circulating Variant</w:t>
        </w:r>
      </w:hyperlink>
      <w:r>
        <w:rPr>
          <w:rFonts w:ascii="Calibri" w:eastAsia="Calibri" w:hAnsi="Calibri" w:cs="Calibri"/>
        </w:rPr>
        <w:t>.</w:t>
      </w:r>
    </w:p>
    <w:p w14:paraId="7D183053" w14:textId="77777777" w:rsidR="006C59CE" w:rsidRDefault="006C59CE">
      <w:pPr>
        <w:spacing w:before="240" w:after="240"/>
        <w:rPr>
          <w:rFonts w:ascii="Calibri" w:eastAsia="Calibri" w:hAnsi="Calibri" w:cs="Calibri"/>
          <w:b/>
          <w:u w:val="single"/>
        </w:rPr>
      </w:pPr>
    </w:p>
    <w:p w14:paraId="0899C5B9" w14:textId="3E70812B" w:rsidR="00A604FB" w:rsidRDefault="008D3E29">
      <w:pPr>
        <w:spacing w:before="240" w:after="24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D. References</w:t>
      </w:r>
    </w:p>
    <w:bookmarkStart w:id="0" w:name="_2w3gbfj0fyyx" w:colFirst="0" w:colLast="0"/>
    <w:bookmarkEnd w:id="0"/>
    <w:p w14:paraId="0E4307BA" w14:textId="77777777" w:rsidR="00A604FB" w:rsidRDefault="008D3E29">
      <w:pPr>
        <w:pStyle w:val="Heading1"/>
        <w:keepNext w:val="0"/>
        <w:keepLines w:val="0"/>
        <w:shd w:val="clear" w:color="auto" w:fill="FFFFFF"/>
        <w:spacing w:before="0" w:line="300" w:lineRule="auto"/>
        <w:rPr>
          <w:rFonts w:ascii="Calibri" w:eastAsia="Calibri" w:hAnsi="Calibri" w:cs="Calibri"/>
          <w:sz w:val="22"/>
          <w:szCs w:val="22"/>
        </w:rPr>
      </w:pPr>
      <w:r>
        <w:fldChar w:fldCharType="begin"/>
      </w:r>
      <w:r>
        <w:instrText xml:space="preserve"> HYPERLINK "https://www.covid19treatmentguidelines.nih.gov/therapies/statement-on-patient-prioritization-for-outpatient-therapies/" \h </w:instrText>
      </w:r>
      <w:r>
        <w:fldChar w:fldCharType="separate"/>
      </w:r>
      <w:r>
        <w:rPr>
          <w:rFonts w:ascii="Calibri" w:eastAsia="Calibri" w:hAnsi="Calibri" w:cs="Calibri"/>
          <w:color w:val="1155CC"/>
          <w:sz w:val="22"/>
          <w:szCs w:val="22"/>
          <w:u w:val="single"/>
        </w:rPr>
        <w:t>The COVID-19 Treatment Guidelines Panel’s Interim Statement on Patient Prioritization for Outpatient Anti-SARS-CoV-2 Therapies or Preventive Strategies When There Are Logistical or Supply Constraints</w:t>
      </w:r>
      <w:r>
        <w:rPr>
          <w:rFonts w:ascii="Calibri" w:eastAsia="Calibri" w:hAnsi="Calibri" w:cs="Calibri"/>
          <w:color w:val="1155CC"/>
          <w:sz w:val="22"/>
          <w:szCs w:val="22"/>
          <w:u w:val="single"/>
        </w:rPr>
        <w:fldChar w:fldCharType="end"/>
      </w:r>
      <w:r>
        <w:rPr>
          <w:rFonts w:ascii="Calibri" w:eastAsia="Calibri" w:hAnsi="Calibri" w:cs="Calibri"/>
          <w:sz w:val="22"/>
          <w:szCs w:val="22"/>
        </w:rPr>
        <w:t xml:space="preserve"> - from NIH, updated December 23, 2021</w:t>
      </w:r>
    </w:p>
    <w:bookmarkStart w:id="1" w:name="_575wl15nts81" w:colFirst="0" w:colLast="0"/>
    <w:bookmarkEnd w:id="1"/>
    <w:p w14:paraId="3C8C22EB" w14:textId="77777777" w:rsidR="00A604FB" w:rsidRDefault="008D3E29">
      <w:pPr>
        <w:pStyle w:val="Heading1"/>
        <w:keepNext w:val="0"/>
        <w:keepLines w:val="0"/>
        <w:shd w:val="clear" w:color="auto" w:fill="FFFFFF"/>
        <w:spacing w:before="480" w:line="312" w:lineRule="auto"/>
        <w:rPr>
          <w:rFonts w:ascii="Calibri" w:eastAsia="Calibri" w:hAnsi="Calibri" w:cs="Calibri"/>
          <w:sz w:val="22"/>
          <w:szCs w:val="22"/>
        </w:rPr>
      </w:pPr>
      <w:r>
        <w:fldChar w:fldCharType="begin"/>
      </w:r>
      <w:r>
        <w:instrText xml:space="preserve"> HYPERLINK "https://www.cdc.gov/coronavirus/2019-ncov/hcp/clinical-care/underlyingconditions.html" \h </w:instrText>
      </w:r>
      <w:r>
        <w:fldChar w:fldCharType="separate"/>
      </w:r>
      <w:r>
        <w:rPr>
          <w:rFonts w:ascii="Calibri" w:eastAsia="Calibri" w:hAnsi="Calibri" w:cs="Calibri"/>
          <w:color w:val="1155CC"/>
          <w:sz w:val="22"/>
          <w:szCs w:val="22"/>
          <w:u w:val="single"/>
        </w:rPr>
        <w:t>Underlying Medical Conditions Associated with Higher Risk for Severe COVID-19: Information for Healthcare Providers</w:t>
      </w:r>
      <w:r>
        <w:rPr>
          <w:rFonts w:ascii="Calibri" w:eastAsia="Calibri" w:hAnsi="Calibri" w:cs="Calibri"/>
          <w:color w:val="1155CC"/>
          <w:sz w:val="22"/>
          <w:szCs w:val="22"/>
          <w:u w:val="single"/>
        </w:rPr>
        <w:fldChar w:fldCharType="end"/>
      </w:r>
      <w:r>
        <w:rPr>
          <w:rFonts w:ascii="Calibri" w:eastAsia="Calibri" w:hAnsi="Calibri" w:cs="Calibri"/>
          <w:sz w:val="22"/>
          <w:szCs w:val="22"/>
        </w:rPr>
        <w:t xml:space="preserve"> - from CDC, updated October 14, 2021 </w:t>
      </w:r>
    </w:p>
    <w:p w14:paraId="67245B9F" w14:textId="77777777" w:rsidR="00A604FB" w:rsidRDefault="00A604FB"/>
    <w:sectPr w:rsidR="00A604FB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2EB59" w14:textId="77777777" w:rsidR="008209F0" w:rsidRDefault="008D3E29">
      <w:pPr>
        <w:spacing w:line="240" w:lineRule="auto"/>
      </w:pPr>
      <w:r>
        <w:separator/>
      </w:r>
    </w:p>
  </w:endnote>
  <w:endnote w:type="continuationSeparator" w:id="0">
    <w:p w14:paraId="57E6FA33" w14:textId="77777777" w:rsidR="008209F0" w:rsidRDefault="008D3E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7F7" w14:textId="77777777" w:rsidR="00A604FB" w:rsidRDefault="00A604FB">
    <w:pPr>
      <w:ind w:left="8640" w:firstLine="720"/>
    </w:pPr>
  </w:p>
  <w:p w14:paraId="7F1E068C" w14:textId="77777777" w:rsidR="00A604FB" w:rsidRDefault="008D3E29">
    <w:pPr>
      <w:ind w:left="7200" w:firstLine="720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46724" w14:textId="77777777" w:rsidR="00A604FB" w:rsidRDefault="008D3E29">
    <w:pPr>
      <w:jc w:val="right"/>
    </w:pPr>
    <w:r>
      <w:fldChar w:fldCharType="begin"/>
    </w:r>
    <w:r>
      <w:instrText>PAGE</w:instrText>
    </w:r>
    <w:r w:rsidR="00835392"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BE330" w14:textId="77777777" w:rsidR="008209F0" w:rsidRDefault="008D3E29">
      <w:pPr>
        <w:spacing w:line="240" w:lineRule="auto"/>
      </w:pPr>
      <w:r>
        <w:separator/>
      </w:r>
    </w:p>
  </w:footnote>
  <w:footnote w:type="continuationSeparator" w:id="0">
    <w:p w14:paraId="0526598F" w14:textId="77777777" w:rsidR="008209F0" w:rsidRDefault="008D3E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E6B"/>
    <w:multiLevelType w:val="multilevel"/>
    <w:tmpl w:val="284C2DE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71717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844A2A"/>
    <w:multiLevelType w:val="multilevel"/>
    <w:tmpl w:val="DD4EB35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71717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1F4270"/>
    <w:multiLevelType w:val="multilevel"/>
    <w:tmpl w:val="238AD25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71717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B14249"/>
    <w:multiLevelType w:val="multilevel"/>
    <w:tmpl w:val="64CA164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71717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AD97E25"/>
    <w:multiLevelType w:val="multilevel"/>
    <w:tmpl w:val="28AEFE0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71717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E307A42"/>
    <w:multiLevelType w:val="multilevel"/>
    <w:tmpl w:val="03C6162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71717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FB"/>
    <w:rsid w:val="00296639"/>
    <w:rsid w:val="006C59CE"/>
    <w:rsid w:val="008209F0"/>
    <w:rsid w:val="00835392"/>
    <w:rsid w:val="008D3E29"/>
    <w:rsid w:val="009268E7"/>
    <w:rsid w:val="00A0619E"/>
    <w:rsid w:val="00A604FB"/>
    <w:rsid w:val="00AD5CF8"/>
    <w:rsid w:val="00C0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5AC2A"/>
  <w15:docId w15:val="{D62731AC-1D57-4D08-A595-234C3820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Header">
    <w:name w:val="header"/>
    <w:basedOn w:val="Normal"/>
    <w:link w:val="HeaderChar"/>
    <w:uiPriority w:val="99"/>
    <w:unhideWhenUsed/>
    <w:rsid w:val="002966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639"/>
  </w:style>
  <w:style w:type="paragraph" w:styleId="Footer">
    <w:name w:val="footer"/>
    <w:basedOn w:val="Normal"/>
    <w:link w:val="FooterChar"/>
    <w:uiPriority w:val="99"/>
    <w:unhideWhenUsed/>
    <w:rsid w:val="002966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639"/>
  </w:style>
  <w:style w:type="paragraph" w:styleId="NoSpacing">
    <w:name w:val="No Spacing"/>
    <w:uiPriority w:val="1"/>
    <w:qFormat/>
    <w:rsid w:val="00C0755A"/>
    <w:pPr>
      <w:spacing w:line="240" w:lineRule="auto"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6C59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vid19treatmentguidelines.nih.gov/therapies/statement-on-patient-prioritization-for-outpatient-therapi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vid19treatmentguidelines.nih.gov/therapies/statement-on-patient-prioritization-for-outpatient-therapie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covid19treatmentguidelines.nih.gov/therapies/statement-on-anti-sars-cov-2-mabs-and-rdv-and-omicr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c.gov/coronavirus/2019-ncov/hcp/clinical-care/underlyingcondition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R</dc:creator>
  <cp:lastModifiedBy>B R</cp:lastModifiedBy>
  <cp:revision>3</cp:revision>
  <dcterms:created xsi:type="dcterms:W3CDTF">2021-12-28T02:55:00Z</dcterms:created>
  <dcterms:modified xsi:type="dcterms:W3CDTF">2021-12-28T02:58:00Z</dcterms:modified>
</cp:coreProperties>
</file>