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color w:val="000000"/>
          <w:sz w:val="4"/>
          <w:szCs w:val="4"/>
          <w:rtl w:val="0"/>
        </w:rPr>
        <w:t xml:space="preserve"> </w:t>
      </w:r>
      <w:r w:rsidDel="00000000" w:rsidR="00000000" w:rsidRPr="00000000">
        <w:rPr>
          <w:rtl w:val="0"/>
        </w:rPr>
      </w:r>
    </w:p>
    <w:tbl>
      <w:tblPr>
        <w:tblStyle w:val="Table1"/>
        <w:tblW w:w="11776.0" w:type="dxa"/>
        <w:jc w:val="center"/>
        <w:tblLayout w:type="fixed"/>
        <w:tblLook w:val="0400"/>
      </w:tblPr>
      <w:tblGrid>
        <w:gridCol w:w="11776"/>
        <w:tblGridChange w:id="0">
          <w:tblGrid>
            <w:gridCol w:w="11776"/>
          </w:tblGrid>
        </w:tblGridChange>
      </w:tblGrid>
      <w:tr>
        <w:trPr>
          <w:cantSplit w:val="0"/>
          <w:tblHeader w:val="0"/>
        </w:trPr>
        <w:tc>
          <w:tcPr>
            <w:shd w:fill="f2f2f2" w:val="clear"/>
            <w:tcMar>
              <w:top w:w="113.0" w:type="dxa"/>
              <w:left w:w="113.0" w:type="dxa"/>
              <w:bottom w:w="113.0" w:type="dxa"/>
              <w:right w:w="113.0" w:type="dxa"/>
            </w:tcMar>
          </w:tcPr>
          <w:p w:rsidR="00000000" w:rsidDel="00000000" w:rsidP="00000000" w:rsidRDefault="00000000" w:rsidRPr="00000000" w14:paraId="00000002">
            <w:pPr>
              <w:spacing w:after="240" w:before="240" w:lineRule="auto"/>
              <w:rPr>
                <w:b w:val="1"/>
              </w:rPr>
            </w:pPr>
            <w:r w:rsidDel="00000000" w:rsidR="00000000" w:rsidRPr="00000000">
              <w:rPr>
                <w:rFonts w:ascii="Calibri" w:cs="Calibri" w:eastAsia="Calibri" w:hAnsi="Calibri"/>
                <w:b w:val="1"/>
                <w:color w:val="7f7f7f"/>
                <w:sz w:val="18"/>
                <w:szCs w:val="18"/>
                <w:rtl w:val="0"/>
              </w:rPr>
              <w:t xml:space="preserve">Virginia Department of Health| Long-Term Care Facility Task Force Monthly Updates| August 2022</w:t>
            </w:r>
            <w:r w:rsidDel="00000000" w:rsidR="00000000" w:rsidRPr="00000000">
              <w:rPr>
                <w:rtl w:val="0"/>
              </w:rPr>
            </w:r>
          </w:p>
          <w:tbl>
            <w:tblPr>
              <w:tblStyle w:val="Table2"/>
              <w:tblW w:w="11550.0" w:type="dxa"/>
              <w:jc w:val="center"/>
              <w:tblLayout w:type="fixed"/>
              <w:tblLook w:val="0400"/>
            </w:tblPr>
            <w:tblGrid>
              <w:gridCol w:w="11550"/>
              <w:tblGridChange w:id="0">
                <w:tblGrid>
                  <w:gridCol w:w="11550"/>
                </w:tblGrid>
              </w:tblGridChange>
            </w:tblGrid>
            <w:tr>
              <w:trPr>
                <w:cantSplit w:val="0"/>
                <w:trHeight w:val="765" w:hRule="atLeast"/>
                <w:tblHeader w:val="0"/>
              </w:trPr>
              <w:tc>
                <w:tcPr>
                  <w:shd w:fill="ffffff" w:val="clear"/>
                  <w:tcMar>
                    <w:top w:w="454.0" w:type="dxa"/>
                    <w:left w:w="454.0" w:type="dxa"/>
                    <w:bottom w:w="454.0" w:type="dxa"/>
                    <w:right w:w="454.0" w:type="dxa"/>
                  </w:tcMar>
                </w:tcPr>
                <w:p w:rsidR="00000000" w:rsidDel="00000000" w:rsidP="00000000" w:rsidRDefault="00000000" w:rsidRPr="00000000" w14:paraId="00000003">
                  <w:pPr>
                    <w:keepNext w:val="1"/>
                    <w:rPr>
                      <w:rFonts w:ascii="Calibri" w:cs="Calibri" w:eastAsia="Calibri" w:hAnsi="Calibri"/>
                      <w:b w:val="1"/>
                      <w:color w:val="1f3864"/>
                      <w:sz w:val="42"/>
                      <w:szCs w:val="4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2600325</wp:posOffset>
                        </wp:positionH>
                        <wp:positionV relativeFrom="paragraph">
                          <wp:posOffset>38100</wp:posOffset>
                        </wp:positionV>
                        <wp:extent cx="1583460" cy="471268"/>
                        <wp:effectExtent b="0" l="0" r="0" t="0"/>
                        <wp:wrapSquare wrapText="bothSides" distB="0" distT="0" distL="114300" distR="114300"/>
                        <wp:docPr descr="Text, logo&#10;&#10;Description automatically generated" id="26" name="image2.jpg"/>
                        <a:graphic>
                          <a:graphicData uri="http://schemas.openxmlformats.org/drawingml/2006/picture">
                            <pic:pic>
                              <pic:nvPicPr>
                                <pic:cNvPr descr="Text, logo&#10;&#10;Description automatically generated" id="0" name="image2.jpg"/>
                                <pic:cNvPicPr preferRelativeResize="0"/>
                              </pic:nvPicPr>
                              <pic:blipFill>
                                <a:blip r:embed="rId7"/>
                                <a:srcRect b="0" l="0" r="0" t="0"/>
                                <a:stretch>
                                  <a:fillRect/>
                                </a:stretch>
                              </pic:blipFill>
                              <pic:spPr>
                                <a:xfrm>
                                  <a:off x="0" y="0"/>
                                  <a:ext cx="1583460" cy="471268"/>
                                </a:xfrm>
                                <a:prstGeom prst="rect"/>
                                <a:ln/>
                              </pic:spPr>
                            </pic:pic>
                          </a:graphicData>
                        </a:graphic>
                      </wp:anchor>
                    </w:drawing>
                  </w:r>
                </w:p>
                <w:p w:rsidR="00000000" w:rsidDel="00000000" w:rsidP="00000000" w:rsidRDefault="00000000" w:rsidRPr="00000000" w14:paraId="00000004">
                  <w:pPr>
                    <w:keepNext w:val="1"/>
                    <w:rPr>
                      <w:rFonts w:ascii="Calibri" w:cs="Calibri" w:eastAsia="Calibri" w:hAnsi="Calibri"/>
                      <w:b w:val="1"/>
                      <w:color w:val="1f3864"/>
                      <w:sz w:val="42"/>
                      <w:szCs w:val="42"/>
                    </w:rPr>
                  </w:pPr>
                  <w:r w:rsidDel="00000000" w:rsidR="00000000" w:rsidRPr="00000000">
                    <w:rPr>
                      <w:rtl w:val="0"/>
                    </w:rPr>
                  </w:r>
                </w:p>
                <w:p w:rsidR="00000000" w:rsidDel="00000000" w:rsidP="00000000" w:rsidRDefault="00000000" w:rsidRPr="00000000" w14:paraId="00000005">
                  <w:pPr>
                    <w:keepNext w:val="1"/>
                    <w:rPr>
                      <w:rFonts w:ascii="Calibri" w:cs="Calibri" w:eastAsia="Calibri" w:hAnsi="Calibri"/>
                      <w:b w:val="1"/>
                      <w:color w:val="1f3864"/>
                      <w:sz w:val="42"/>
                      <w:szCs w:val="42"/>
                    </w:rPr>
                  </w:pPr>
                  <w:r w:rsidDel="00000000" w:rsidR="00000000" w:rsidRPr="00000000">
                    <w:rPr>
                      <w:rFonts w:ascii="Calibri" w:cs="Calibri" w:eastAsia="Calibri" w:hAnsi="Calibri"/>
                      <w:b w:val="1"/>
                      <w:color w:val="00245d"/>
                    </w:rPr>
                    <w:drawing>
                      <wp:inline distB="0" distT="0" distL="0" distR="0">
                        <wp:extent cx="6604115" cy="1397551"/>
                        <wp:effectExtent b="0" l="0" r="0" t="0"/>
                        <wp:docPr id="2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604115" cy="1397551"/>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1"/>
                    <w:rPr>
                      <w:rFonts w:ascii="Calibri" w:cs="Calibri" w:eastAsia="Calibri" w:hAnsi="Calibri"/>
                      <w:b w:val="1"/>
                      <w:color w:val="1f3864"/>
                      <w:sz w:val="42"/>
                      <w:szCs w:val="42"/>
                    </w:rPr>
                  </w:pPr>
                  <w:r w:rsidDel="00000000" w:rsidR="00000000" w:rsidRPr="00000000">
                    <w:rPr>
                      <w:rtl w:val="0"/>
                    </w:rPr>
                  </w:r>
                </w:p>
                <w:p w:rsidR="00000000" w:rsidDel="00000000" w:rsidP="00000000" w:rsidRDefault="00000000" w:rsidRPr="00000000" w14:paraId="00000007">
                  <w:pPr>
                    <w:keepNext w:val="1"/>
                    <w:rPr>
                      <w:rFonts w:ascii="Times" w:cs="Times" w:eastAsia="Times" w:hAnsi="Times"/>
                      <w:b w:val="1"/>
                      <w:color w:val="2f5496"/>
                      <w:sz w:val="42"/>
                      <w:szCs w:val="42"/>
                    </w:rPr>
                  </w:pPr>
                  <w:r w:rsidDel="00000000" w:rsidR="00000000" w:rsidRPr="00000000">
                    <w:rPr>
                      <w:rFonts w:ascii="Times" w:cs="Times" w:eastAsia="Times" w:hAnsi="Times"/>
                      <w:b w:val="1"/>
                      <w:color w:val="2f5496"/>
                      <w:sz w:val="42"/>
                      <w:szCs w:val="42"/>
                      <w:rtl w:val="0"/>
                    </w:rPr>
                    <w:t xml:space="preserve">Long-Term Care Facility Task Force </w:t>
                  </w:r>
                </w:p>
                <w:p w:rsidR="00000000" w:rsidDel="00000000" w:rsidP="00000000" w:rsidRDefault="00000000" w:rsidRPr="00000000" w14:paraId="00000008">
                  <w:pPr>
                    <w:keepNext w:val="1"/>
                    <w:rPr>
                      <w:rFonts w:ascii="Times" w:cs="Times" w:eastAsia="Times" w:hAnsi="Times"/>
                      <w:b w:val="1"/>
                      <w:color w:val="2f5496"/>
                      <w:sz w:val="42"/>
                      <w:szCs w:val="42"/>
                    </w:rPr>
                  </w:pPr>
                  <w:r w:rsidDel="00000000" w:rsidR="00000000" w:rsidRPr="00000000">
                    <w:rPr>
                      <w:rFonts w:ascii="Times" w:cs="Times" w:eastAsia="Times" w:hAnsi="Times"/>
                      <w:b w:val="1"/>
                      <w:color w:val="2f5496"/>
                      <w:sz w:val="42"/>
                      <w:szCs w:val="42"/>
                      <w:rtl w:val="0"/>
                    </w:rPr>
                    <w:t xml:space="preserve">Monthly Updates</w:t>
                  </w:r>
                </w:p>
                <w:p w:rsidR="00000000" w:rsidDel="00000000" w:rsidP="00000000" w:rsidRDefault="00000000" w:rsidRPr="00000000" w14:paraId="00000009">
                  <w:pPr>
                    <w:keepNext w:val="1"/>
                    <w:rPr>
                      <w:b w:val="1"/>
                      <w:color w:val="1f3864"/>
                      <w:sz w:val="42"/>
                      <w:szCs w:val="42"/>
                    </w:rPr>
                  </w:pPr>
                  <w:r w:rsidDel="00000000" w:rsidR="00000000" w:rsidRPr="00000000">
                    <w:rPr>
                      <w:rtl w:val="0"/>
                    </w:rPr>
                  </w:r>
                </w:p>
                <w:p w:rsidR="00000000" w:rsidDel="00000000" w:rsidP="00000000" w:rsidRDefault="00000000" w:rsidRPr="00000000" w14:paraId="0000000A">
                  <w:pPr>
                    <w:shd w:fill="ffffff" w:val="clear"/>
                    <w:spacing w:line="240" w:lineRule="auto"/>
                    <w:rPr>
                      <w:rFonts w:ascii="Times" w:cs="Times" w:eastAsia="Times" w:hAnsi="Times"/>
                      <w:color w:val="141414"/>
                    </w:rPr>
                  </w:pPr>
                  <w:r w:rsidDel="00000000" w:rsidR="00000000" w:rsidRPr="00000000">
                    <w:rPr>
                      <w:b w:val="1"/>
                      <w:color w:val="2f5496"/>
                      <w:sz w:val="32"/>
                      <w:szCs w:val="32"/>
                      <w:rtl w:val="0"/>
                    </w:rPr>
                    <w:t xml:space="preserve">COVID-19 Burden in Virginia LTCF</w:t>
                  </w:r>
                  <w:r w:rsidDel="00000000" w:rsidR="00000000" w:rsidRPr="00000000">
                    <w:rPr>
                      <w:rtl w:val="0"/>
                    </w:rPr>
                  </w:r>
                </w:p>
                <w:p w:rsidR="00000000" w:rsidDel="00000000" w:rsidP="00000000" w:rsidRDefault="00000000" w:rsidRPr="00000000" w14:paraId="0000000B">
                  <w:pPr>
                    <w:shd w:fill="ffffff" w:val="clear"/>
                    <w:spacing w:line="240" w:lineRule="auto"/>
                    <w:rPr>
                      <w:rFonts w:ascii="Times" w:cs="Times" w:eastAsia="Times" w:hAnsi="Times"/>
                      <w:color w:val="141414"/>
                    </w:rPr>
                  </w:pPr>
                  <w:r w:rsidDel="00000000" w:rsidR="00000000" w:rsidRPr="00000000">
                    <w:rPr>
                      <w:rFonts w:ascii="Times" w:cs="Times" w:eastAsia="Times" w:hAnsi="Times"/>
                      <w:color w:val="202124"/>
                      <w:rtl w:val="0"/>
                    </w:rPr>
                    <w:t xml:space="preserve">There were 85 LTCF COVID-19 outbreaks reported in the past 30 days (as of 08/31). This is similar to the number of outbreaks reported (71) in the previous month (07/31 - 08/31). The number of reported nursing home resident and staff cases and hospitalizations have been slightly on the decline.</w:t>
                  </w:r>
                  <w:r w:rsidDel="00000000" w:rsidR="00000000" w:rsidRPr="00000000">
                    <w:rPr>
                      <w:rtl w:val="0"/>
                    </w:rPr>
                  </w:r>
                </w:p>
                <w:p w:rsidR="00000000" w:rsidDel="00000000" w:rsidP="00000000" w:rsidRDefault="00000000" w:rsidRPr="00000000" w14:paraId="0000000C">
                  <w:pPr>
                    <w:shd w:fill="ffffff" w:val="clear"/>
                    <w:spacing w:line="240" w:lineRule="auto"/>
                    <w:rPr>
                      <w:rFonts w:ascii="Times" w:cs="Times" w:eastAsia="Times" w:hAnsi="Times"/>
                      <w:color w:val="141414"/>
                    </w:rPr>
                  </w:pPr>
                  <w:r w:rsidDel="00000000" w:rsidR="00000000" w:rsidRPr="00000000">
                    <w:rPr>
                      <w:rtl w:val="0"/>
                    </w:rPr>
                  </w:r>
                </w:p>
                <w:p w:rsidR="00000000" w:rsidDel="00000000" w:rsidP="00000000" w:rsidRDefault="00000000" w:rsidRPr="00000000" w14:paraId="0000000D">
                  <w:pPr>
                    <w:shd w:fill="ffffff" w:val="clear"/>
                    <w:spacing w:line="240" w:lineRule="auto"/>
                    <w:rPr>
                      <w:rFonts w:ascii="Times" w:cs="Times" w:eastAsia="Times" w:hAnsi="Times"/>
                      <w:b w:val="1"/>
                      <w:color w:val="2f5496"/>
                      <w:sz w:val="32"/>
                      <w:szCs w:val="32"/>
                    </w:rPr>
                  </w:pPr>
                  <w:r w:rsidDel="00000000" w:rsidR="00000000" w:rsidRPr="00000000">
                    <w:rPr>
                      <w:rFonts w:ascii="Times" w:cs="Times" w:eastAsia="Times" w:hAnsi="Times"/>
                      <w:b w:val="1"/>
                      <w:color w:val="2f5496"/>
                      <w:sz w:val="32"/>
                      <w:szCs w:val="32"/>
                      <w:rtl w:val="0"/>
                    </w:rPr>
                    <w:t xml:space="preserve">EVUSHELD</w:t>
                  </w:r>
                  <w:r w:rsidDel="00000000" w:rsidR="00000000" w:rsidRPr="00000000">
                    <w:rPr>
                      <w:rFonts w:ascii="Times" w:cs="Times" w:eastAsia="Times" w:hAnsi="Times"/>
                      <w:b w:val="1"/>
                      <w:color w:val="2f5496"/>
                      <w:sz w:val="32"/>
                      <w:szCs w:val="32"/>
                      <w:rtl w:val="0"/>
                    </w:rPr>
                    <w:t xml:space="preserve"> Access Program Pilot</w:t>
                  </w:r>
                </w:p>
                <w:p w:rsidR="00000000" w:rsidDel="00000000" w:rsidP="00000000" w:rsidRDefault="00000000" w:rsidRPr="00000000" w14:paraId="0000000E">
                  <w:pPr>
                    <w:shd w:fill="ffffff" w:val="clear"/>
                    <w:spacing w:line="240" w:lineRule="auto"/>
                    <w:rPr>
                      <w:rFonts w:ascii="Times" w:cs="Times" w:eastAsia="Times" w:hAnsi="Times"/>
                      <w:b w:val="1"/>
                      <w:color w:val="2f5496"/>
                      <w:sz w:val="32"/>
                      <w:szCs w:val="32"/>
                    </w:rPr>
                  </w:pPr>
                  <w:r w:rsidDel="00000000" w:rsidR="00000000" w:rsidRPr="00000000">
                    <w:rPr>
                      <w:rtl w:val="0"/>
                    </w:rPr>
                  </w:r>
                </w:p>
                <w:p w:rsidR="00000000" w:rsidDel="00000000" w:rsidP="00000000" w:rsidRDefault="00000000" w:rsidRPr="00000000" w14:paraId="0000000F">
                  <w:pPr>
                    <w:spacing w:line="276" w:lineRule="auto"/>
                    <w:rPr>
                      <w:rFonts w:ascii="Times" w:cs="Times" w:eastAsia="Times" w:hAnsi="Times"/>
                      <w:b w:val="1"/>
                      <w:color w:val="141414"/>
                    </w:rPr>
                  </w:pPr>
                  <w:r w:rsidDel="00000000" w:rsidR="00000000" w:rsidRPr="00000000">
                    <w:rPr>
                      <w:rFonts w:ascii="Times" w:cs="Times" w:eastAsia="Times" w:hAnsi="Times"/>
                      <w:b w:val="1"/>
                      <w:color w:val="141414"/>
                      <w:rtl w:val="0"/>
                    </w:rPr>
                    <w:t xml:space="preserve">EVUSHELD Mobile Unit</w:t>
                  </w:r>
                </w:p>
                <w:p w:rsidR="00000000" w:rsidDel="00000000" w:rsidP="00000000" w:rsidRDefault="00000000" w:rsidRPr="00000000" w14:paraId="00000010">
                  <w:pPr>
                    <w:spacing w:line="276" w:lineRule="auto"/>
                    <w:rPr>
                      <w:rFonts w:ascii="Times" w:cs="Times" w:eastAsia="Times" w:hAnsi="Times"/>
                      <w:color w:val="141414"/>
                    </w:rPr>
                  </w:pPr>
                  <w:r w:rsidDel="00000000" w:rsidR="00000000" w:rsidRPr="00000000">
                    <w:rPr>
                      <w:rFonts w:ascii="Times" w:cs="Times" w:eastAsia="Times" w:hAnsi="Times"/>
                      <w:color w:val="141414"/>
                      <w:rtl w:val="0"/>
                    </w:rPr>
                    <w:t xml:space="preserve">Plans to launch in the Central Region by mid-to-late September; hope to expand to remaining regions and other facility types in the future. Currently 10 SNFs committed to taking part in the program and 15 interested.</w:t>
                  </w:r>
                </w:p>
                <w:p w:rsidR="00000000" w:rsidDel="00000000" w:rsidP="00000000" w:rsidRDefault="00000000" w:rsidRPr="00000000" w14:paraId="00000011">
                  <w:pPr>
                    <w:spacing w:line="276" w:lineRule="auto"/>
                    <w:rPr>
                      <w:rFonts w:ascii="Times" w:cs="Times" w:eastAsia="Times" w:hAnsi="Times"/>
                      <w:color w:val="141414"/>
                    </w:rPr>
                  </w:pPr>
                  <w:r w:rsidDel="00000000" w:rsidR="00000000" w:rsidRPr="00000000">
                    <w:rPr>
                      <w:rFonts w:ascii="Times" w:cs="Times" w:eastAsia="Times" w:hAnsi="Times"/>
                      <w:color w:val="141414"/>
                      <w:rtl w:val="0"/>
                    </w:rPr>
                    <w:t xml:space="preserve">If you are interested in bringing the EVUSHELD Mobile Unit to your facility please fill out </w:t>
                  </w:r>
                  <w:hyperlink r:id="rId9">
                    <w:r w:rsidDel="00000000" w:rsidR="00000000" w:rsidRPr="00000000">
                      <w:rPr>
                        <w:rFonts w:ascii="Times" w:cs="Times" w:eastAsia="Times" w:hAnsi="Times"/>
                        <w:color w:val="141414"/>
                        <w:u w:val="single"/>
                        <w:rtl w:val="0"/>
                      </w:rPr>
                      <w:t xml:space="preserve">EVUSHELD Access Interest Form</w:t>
                    </w:r>
                  </w:hyperlink>
                  <w:r w:rsidDel="00000000" w:rsidR="00000000" w:rsidRPr="00000000">
                    <w:rPr>
                      <w:rFonts w:ascii="Times" w:cs="Times" w:eastAsia="Times" w:hAnsi="Times"/>
                      <w:color w:val="141414"/>
                      <w:rtl w:val="0"/>
                    </w:rPr>
                    <w:t xml:space="preserve">  </w:t>
                  </w:r>
                </w:p>
                <w:p w:rsidR="00000000" w:rsidDel="00000000" w:rsidP="00000000" w:rsidRDefault="00000000" w:rsidRPr="00000000" w14:paraId="00000012">
                  <w:pPr>
                    <w:spacing w:line="276" w:lineRule="auto"/>
                    <w:rPr>
                      <w:rFonts w:ascii="Times" w:cs="Times" w:eastAsia="Times" w:hAnsi="Times"/>
                      <w:color w:val="141414"/>
                    </w:rPr>
                  </w:pPr>
                  <w:r w:rsidDel="00000000" w:rsidR="00000000" w:rsidRPr="00000000">
                    <w:rPr>
                      <w:rtl w:val="0"/>
                    </w:rPr>
                  </w:r>
                </w:p>
                <w:p w:rsidR="00000000" w:rsidDel="00000000" w:rsidP="00000000" w:rsidRDefault="00000000" w:rsidRPr="00000000" w14:paraId="00000013">
                  <w:pPr>
                    <w:spacing w:line="276" w:lineRule="auto"/>
                    <w:rPr>
                      <w:rFonts w:ascii="Times" w:cs="Times" w:eastAsia="Times" w:hAnsi="Times"/>
                      <w:color w:val="141414"/>
                    </w:rPr>
                  </w:pPr>
                  <w:r w:rsidDel="00000000" w:rsidR="00000000" w:rsidRPr="00000000">
                    <w:rPr>
                      <w:rFonts w:ascii="Times" w:cs="Times" w:eastAsia="Times" w:hAnsi="Times"/>
                      <w:color w:val="141414"/>
                      <w:rtl w:val="0"/>
                    </w:rPr>
                    <w:t xml:space="preserve">Reach out to </w:t>
                  </w:r>
                  <w:hyperlink r:id="rId10">
                    <w:r w:rsidDel="00000000" w:rsidR="00000000" w:rsidRPr="00000000">
                      <w:rPr>
                        <w:rFonts w:ascii="Times" w:cs="Times" w:eastAsia="Times" w:hAnsi="Times"/>
                        <w:color w:val="141414"/>
                        <w:u w:val="single"/>
                        <w:rtl w:val="0"/>
                      </w:rPr>
                      <w:t xml:space="preserve">COVID19Therapeutics@vdh.virginia.gov</w:t>
                    </w:r>
                  </w:hyperlink>
                  <w:r w:rsidDel="00000000" w:rsidR="00000000" w:rsidRPr="00000000">
                    <w:rPr>
                      <w:rFonts w:ascii="Times" w:cs="Times" w:eastAsia="Times" w:hAnsi="Times"/>
                      <w:color w:val="141414"/>
                      <w:rtl w:val="0"/>
                    </w:rPr>
                    <w:t xml:space="preserve"> for questions, comments, or feedback on information you’d like to see. For information on Therapeutics, go to the COVID-19 Virginia Therapeutics website </w:t>
                  </w:r>
                  <w:hyperlink r:id="rId11">
                    <w:r w:rsidDel="00000000" w:rsidR="00000000" w:rsidRPr="00000000">
                      <w:rPr>
                        <w:rFonts w:ascii="Times" w:cs="Times" w:eastAsia="Times" w:hAnsi="Times"/>
                        <w:color w:val="141414"/>
                        <w:u w:val="single"/>
                        <w:rtl w:val="0"/>
                      </w:rPr>
                      <w:t xml:space="preserve">here</w:t>
                    </w:r>
                  </w:hyperlink>
                  <w:r w:rsidDel="00000000" w:rsidR="00000000" w:rsidRPr="00000000">
                    <w:rPr>
                      <w:rFonts w:ascii="Times" w:cs="Times" w:eastAsia="Times" w:hAnsi="Times"/>
                      <w:color w:val="141414"/>
                      <w:rtl w:val="0"/>
                    </w:rPr>
                    <w:t xml:space="preserve"> . </w:t>
                  </w:r>
                </w:p>
                <w:p w:rsidR="00000000" w:rsidDel="00000000" w:rsidP="00000000" w:rsidRDefault="00000000" w:rsidRPr="00000000" w14:paraId="00000014">
                  <w:pPr>
                    <w:spacing w:line="276" w:lineRule="auto"/>
                    <w:rPr>
                      <w:rFonts w:ascii="Times" w:cs="Times" w:eastAsia="Times" w:hAnsi="Times"/>
                      <w:color w:val="141414"/>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Times" w:cs="Times" w:eastAsia="Times" w:hAnsi="Times"/>
                      <w:b w:val="1"/>
                      <w:color w:val="2f5496"/>
                      <w:sz w:val="32"/>
                      <w:szCs w:val="32"/>
                    </w:rPr>
                  </w:pPr>
                  <w:r w:rsidDel="00000000" w:rsidR="00000000" w:rsidRPr="00000000">
                    <w:rPr>
                      <w:rFonts w:ascii="Times" w:cs="Times" w:eastAsia="Times" w:hAnsi="Times"/>
                      <w:b w:val="1"/>
                      <w:color w:val="2f5496"/>
                      <w:sz w:val="32"/>
                      <w:szCs w:val="32"/>
                      <w:rtl w:val="0"/>
                    </w:rPr>
                    <w:t xml:space="preserve">COVID-19 Therapeutics Utilization in Nursing Homes</w:t>
                  </w:r>
                </w:p>
                <w:p w:rsidR="00000000" w:rsidDel="00000000" w:rsidP="00000000" w:rsidRDefault="00000000" w:rsidRPr="00000000" w14:paraId="00000016">
                  <w:pPr>
                    <w:shd w:fill="ffffff" w:val="clear"/>
                    <w:spacing w:line="240" w:lineRule="auto"/>
                    <w:rPr>
                      <w:rFonts w:ascii="Times" w:cs="Times" w:eastAsia="Times" w:hAnsi="Times"/>
                      <w:b w:val="1"/>
                      <w:color w:val="2f5496"/>
                      <w:sz w:val="32"/>
                      <w:szCs w:val="32"/>
                    </w:rPr>
                  </w:pPr>
                  <w:r w:rsidDel="00000000" w:rsidR="00000000" w:rsidRPr="00000000">
                    <w:rPr>
                      <w:rtl w:val="0"/>
                    </w:rPr>
                  </w:r>
                </w:p>
                <w:p w:rsidR="00000000" w:rsidDel="00000000" w:rsidP="00000000" w:rsidRDefault="00000000" w:rsidRPr="00000000" w14:paraId="00000017">
                  <w:pPr>
                    <w:spacing w:line="276" w:lineRule="auto"/>
                    <w:rPr>
                      <w:rFonts w:ascii="Times" w:cs="Times" w:eastAsia="Times" w:hAnsi="Times"/>
                      <w:b w:val="1"/>
                      <w:color w:val="141414"/>
                    </w:rPr>
                  </w:pPr>
                  <w:r w:rsidDel="00000000" w:rsidR="00000000" w:rsidRPr="00000000">
                    <w:rPr>
                      <w:rFonts w:ascii="Times" w:cs="Times" w:eastAsia="Times" w:hAnsi="Times"/>
                      <w:b w:val="1"/>
                      <w:color w:val="141414"/>
                      <w:rtl w:val="0"/>
                    </w:rPr>
                    <w:t xml:space="preserve">Bebtelovimab is Available for Purchase Commercially</w:t>
                  </w:r>
                </w:p>
                <w:p w:rsidR="00000000" w:rsidDel="00000000" w:rsidP="00000000" w:rsidRDefault="00000000" w:rsidRPr="00000000" w14:paraId="00000018">
                  <w:pPr>
                    <w:spacing w:line="276" w:lineRule="auto"/>
                    <w:rPr>
                      <w:rFonts w:ascii="Times" w:cs="Times" w:eastAsia="Times" w:hAnsi="Times"/>
                      <w:color w:val="141414"/>
                    </w:rPr>
                  </w:pPr>
                  <w:r w:rsidDel="00000000" w:rsidR="00000000" w:rsidRPr="00000000">
                    <w:rPr>
                      <w:rFonts w:ascii="Times" w:cs="Times" w:eastAsia="Times" w:hAnsi="Times"/>
                      <w:color w:val="141414"/>
                      <w:rtl w:val="0"/>
                    </w:rPr>
                    <w:t xml:space="preserve"> As of August 17, 2022, Bebtelovimab has become commercially available for purchase. Orders can be placed directly through AmerisourceBergen. USG will allocate the remaining supply of Bebtelovimab to jurisdictions based on populations on September 6, 2022. Providers should not bill patients or insurance for any USG-procured product. HHS &amp; VDH place a high priority on equitable availability of product. If a facility does not serve the under and/or uninsured, VDH encourages these locations to utilize the redistribution process to reallocate USG product for this vulnerable population. USG supply and administration of Bebtelovimab will still need to be reported in HPoP</w:t>
                  </w:r>
                </w:p>
                <w:p w:rsidR="00000000" w:rsidDel="00000000" w:rsidP="00000000" w:rsidRDefault="00000000" w:rsidRPr="00000000" w14:paraId="00000019">
                  <w:pPr>
                    <w:spacing w:line="276" w:lineRule="auto"/>
                    <w:rPr>
                      <w:rFonts w:ascii="Times" w:cs="Times" w:eastAsia="Times" w:hAnsi="Times"/>
                      <w:color w:val="141414"/>
                    </w:rPr>
                  </w:pPr>
                  <w:r w:rsidDel="00000000" w:rsidR="00000000" w:rsidRPr="00000000">
                    <w:rPr>
                      <w:rtl w:val="0"/>
                    </w:rPr>
                  </w:r>
                </w:p>
                <w:p w:rsidR="00000000" w:rsidDel="00000000" w:rsidP="00000000" w:rsidRDefault="00000000" w:rsidRPr="00000000" w14:paraId="0000001A">
                  <w:pPr>
                    <w:spacing w:line="276" w:lineRule="auto"/>
                    <w:rPr>
                      <w:rFonts w:ascii="Times" w:cs="Times" w:eastAsia="Times" w:hAnsi="Times"/>
                      <w:color w:val="141414"/>
                    </w:rPr>
                  </w:pPr>
                  <w:r w:rsidDel="00000000" w:rsidR="00000000" w:rsidRPr="00000000">
                    <w:rPr>
                      <w:rFonts w:ascii="Times" w:cs="Times" w:eastAsia="Times" w:hAnsi="Times"/>
                      <w:color w:val="141414"/>
                      <w:rtl w:val="0"/>
                    </w:rPr>
                    <w:t xml:space="preserve">If you would like to redistribute some of your USG Bebtelovimab, please fill out the redistribution survey </w:t>
                  </w:r>
                  <w:hyperlink r:id="rId12">
                    <w:r w:rsidDel="00000000" w:rsidR="00000000" w:rsidRPr="00000000">
                      <w:rPr>
                        <w:rFonts w:ascii="Times" w:cs="Times" w:eastAsia="Times" w:hAnsi="Times"/>
                        <w:color w:val="141414"/>
                        <w:u w:val="single"/>
                        <w:rtl w:val="0"/>
                      </w:rPr>
                      <w:t xml:space="preserve">Redistribution Survey</w:t>
                    </w:r>
                  </w:hyperlink>
                  <w:r w:rsidDel="00000000" w:rsidR="00000000" w:rsidRPr="00000000">
                    <w:rPr>
                      <w:rFonts w:ascii="Times" w:cs="Times" w:eastAsia="Times" w:hAnsi="Times"/>
                      <w:color w:val="141414"/>
                      <w:rtl w:val="0"/>
                    </w:rPr>
                    <w:t xml:space="preserve"> </w:t>
                  </w:r>
                </w:p>
                <w:p w:rsidR="00000000" w:rsidDel="00000000" w:rsidP="00000000" w:rsidRDefault="00000000" w:rsidRPr="00000000" w14:paraId="0000001B">
                  <w:pPr>
                    <w:spacing w:line="276" w:lineRule="auto"/>
                    <w:rPr>
                      <w:rFonts w:ascii="Times" w:cs="Times" w:eastAsia="Times" w:hAnsi="Times"/>
                      <w:color w:val="141414"/>
                    </w:rPr>
                  </w:pPr>
                  <w:r w:rsidDel="00000000" w:rsidR="00000000" w:rsidRPr="00000000">
                    <w:rPr>
                      <w:rtl w:val="0"/>
                    </w:rPr>
                  </w:r>
                </w:p>
                <w:p w:rsidR="00000000" w:rsidDel="00000000" w:rsidP="00000000" w:rsidRDefault="00000000" w:rsidRPr="00000000" w14:paraId="0000001C">
                  <w:pPr>
                    <w:shd w:fill="ffffff" w:val="clear"/>
                    <w:rPr>
                      <w:rFonts w:ascii="Times" w:cs="Times" w:eastAsia="Times" w:hAnsi="Times"/>
                      <w:b w:val="1"/>
                      <w:color w:val="2f5496"/>
                      <w:sz w:val="32"/>
                      <w:szCs w:val="32"/>
                    </w:rPr>
                  </w:pPr>
                  <w:r w:rsidDel="00000000" w:rsidR="00000000" w:rsidRPr="00000000">
                    <w:rPr>
                      <w:rFonts w:ascii="Times" w:cs="Times" w:eastAsia="Times" w:hAnsi="Times"/>
                      <w:b w:val="1"/>
                      <w:color w:val="2f5496"/>
                      <w:sz w:val="32"/>
                      <w:szCs w:val="32"/>
                      <w:rtl w:val="0"/>
                    </w:rPr>
                    <w:t xml:space="preserve">Virginia Healthcare Emergency Management Program Updates</w:t>
                  </w:r>
                </w:p>
                <w:p w:rsidR="00000000" w:rsidDel="00000000" w:rsidP="00000000" w:rsidRDefault="00000000" w:rsidRPr="00000000" w14:paraId="0000001D">
                  <w:pPr>
                    <w:shd w:fill="ffffff" w:val="clear"/>
                    <w:rPr>
                      <w:rFonts w:ascii="Times" w:cs="Times" w:eastAsia="Times" w:hAnsi="Times"/>
                      <w:b w:val="1"/>
                      <w:color w:val="2f5496"/>
                      <w:sz w:val="32"/>
                      <w:szCs w:val="32"/>
                    </w:rPr>
                  </w:pPr>
                  <w:r w:rsidDel="00000000" w:rsidR="00000000" w:rsidRPr="00000000">
                    <w:rPr>
                      <w:rtl w:val="0"/>
                    </w:rPr>
                  </w:r>
                </w:p>
                <w:p w:rsidR="00000000" w:rsidDel="00000000" w:rsidP="00000000" w:rsidRDefault="00000000" w:rsidRPr="00000000" w14:paraId="0000001E">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Through a partnership between VDH and the Virginia Hospital &amp;amp; Healthcare Association (VHHA)</w:t>
                  </w:r>
                </w:p>
                <w:p w:rsidR="00000000" w:rsidDel="00000000" w:rsidP="00000000" w:rsidRDefault="00000000" w:rsidRPr="00000000" w14:paraId="0000001F">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the Virginia Healthcare Emergency Management Program was created to help enhance Virginia’s</w:t>
                  </w:r>
                </w:p>
                <w:p w:rsidR="00000000" w:rsidDel="00000000" w:rsidP="00000000" w:rsidRDefault="00000000" w:rsidRPr="00000000" w14:paraId="00000020">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health care system capabilities to respond and recover from a wide range of public health and</w:t>
                  </w:r>
                </w:p>
                <w:p w:rsidR="00000000" w:rsidDel="00000000" w:rsidP="00000000" w:rsidRDefault="00000000" w:rsidRPr="00000000" w14:paraId="00000021">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healthcare emergencies. The VHEMP maintains and consists of six healthcare coalitions (HCCs).</w:t>
                  </w:r>
                </w:p>
                <w:p w:rsidR="00000000" w:rsidDel="00000000" w:rsidP="00000000" w:rsidRDefault="00000000" w:rsidRPr="00000000" w14:paraId="00000022">
                  <w:pPr>
                    <w:shd w:fill="ffffff" w:val="clear"/>
                    <w:rPr>
                      <w:rFonts w:ascii="Times" w:cs="Times" w:eastAsia="Times" w:hAnsi="Times"/>
                      <w:color w:val="141414"/>
                    </w:rPr>
                  </w:pPr>
                  <w:r w:rsidDel="00000000" w:rsidR="00000000" w:rsidRPr="00000000">
                    <w:rPr>
                      <w:rtl w:val="0"/>
                    </w:rPr>
                  </w:r>
                </w:p>
                <w:p w:rsidR="00000000" w:rsidDel="00000000" w:rsidP="00000000" w:rsidRDefault="00000000" w:rsidRPr="00000000" w14:paraId="00000023">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HCCs bring together individual health care and response organizations, such as acute care hospitals,</w:t>
                  </w:r>
                </w:p>
                <w:p w:rsidR="00000000" w:rsidDel="00000000" w:rsidP="00000000" w:rsidRDefault="00000000" w:rsidRPr="00000000" w14:paraId="00000024">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emergency medical service (EMS) providers, emergency management, public health, and long term care</w:t>
                  </w:r>
                </w:p>
                <w:p w:rsidR="00000000" w:rsidDel="00000000" w:rsidP="00000000" w:rsidRDefault="00000000" w:rsidRPr="00000000" w14:paraId="00000025">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partners to prepare and respond to emergencies and disasters. HCC members actively participate in</w:t>
                  </w:r>
                </w:p>
                <w:p w:rsidR="00000000" w:rsidDel="00000000" w:rsidP="00000000" w:rsidRDefault="00000000" w:rsidRPr="00000000" w14:paraId="00000026">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regional strategic planning, operational planning, information sharing, resource coordination and</w:t>
                  </w:r>
                </w:p>
                <w:p w:rsidR="00000000" w:rsidDel="00000000" w:rsidP="00000000" w:rsidRDefault="00000000" w:rsidRPr="00000000" w14:paraId="00000027">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management, and provide regional training and exercise opportunities. Additionally, (HCC) serve as a</w:t>
                  </w:r>
                </w:p>
                <w:p w:rsidR="00000000" w:rsidDel="00000000" w:rsidP="00000000" w:rsidRDefault="00000000" w:rsidRPr="00000000" w14:paraId="00000028">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communication and coordination role within their respective regions via the Regional Healthcare</w:t>
                  </w:r>
                </w:p>
                <w:p w:rsidR="00000000" w:rsidDel="00000000" w:rsidP="00000000" w:rsidRDefault="00000000" w:rsidRPr="00000000" w14:paraId="00000029">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Coordinating Center (RHCC).</w:t>
                  </w:r>
                </w:p>
                <w:p w:rsidR="00000000" w:rsidDel="00000000" w:rsidP="00000000" w:rsidRDefault="00000000" w:rsidRPr="00000000" w14:paraId="0000002A">
                  <w:pPr>
                    <w:shd w:fill="ffffff" w:val="clear"/>
                    <w:rPr>
                      <w:rFonts w:ascii="Times" w:cs="Times" w:eastAsia="Times" w:hAnsi="Times"/>
                      <w:color w:val="141414"/>
                    </w:rPr>
                  </w:pPr>
                  <w:r w:rsidDel="00000000" w:rsidR="00000000" w:rsidRPr="00000000">
                    <w:rPr>
                      <w:rtl w:val="0"/>
                    </w:rPr>
                  </w:r>
                </w:p>
                <w:p w:rsidR="00000000" w:rsidDel="00000000" w:rsidP="00000000" w:rsidRDefault="00000000" w:rsidRPr="00000000" w14:paraId="0000002B">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If you are interested in additional information or would like to become a member of your respective</w:t>
                  </w:r>
                </w:p>
                <w:p w:rsidR="00000000" w:rsidDel="00000000" w:rsidP="00000000" w:rsidRDefault="00000000" w:rsidRPr="00000000" w14:paraId="0000002C">
                  <w:pPr>
                    <w:shd w:fill="ffffff" w:val="clear"/>
                    <w:rPr>
                      <w:rFonts w:ascii="Times" w:cs="Times" w:eastAsia="Times" w:hAnsi="Times"/>
                      <w:color w:val="141414"/>
                    </w:rPr>
                  </w:pPr>
                  <w:r w:rsidDel="00000000" w:rsidR="00000000" w:rsidRPr="00000000">
                    <w:rPr>
                      <w:rFonts w:ascii="Times" w:cs="Times" w:eastAsia="Times" w:hAnsi="Times"/>
                      <w:color w:val="141414"/>
                      <w:rtl w:val="0"/>
                    </w:rPr>
                    <w:t xml:space="preserve">Healthcare Coalition, please click the link below for additional information and contact information.</w:t>
                  </w:r>
                </w:p>
                <w:p w:rsidR="00000000" w:rsidDel="00000000" w:rsidP="00000000" w:rsidRDefault="00000000" w:rsidRPr="00000000" w14:paraId="0000002D">
                  <w:pPr>
                    <w:shd w:fill="ffffff" w:val="clear"/>
                    <w:rPr>
                      <w:rFonts w:ascii="Times" w:cs="Times" w:eastAsia="Times" w:hAnsi="Times"/>
                      <w:color w:val="222222"/>
                    </w:rPr>
                  </w:pPr>
                  <w:hyperlink r:id="rId13">
                    <w:r w:rsidDel="00000000" w:rsidR="00000000" w:rsidRPr="00000000">
                      <w:rPr>
                        <w:rFonts w:ascii="Times" w:cs="Times" w:eastAsia="Times" w:hAnsi="Times"/>
                        <w:color w:val="1155cc"/>
                        <w:u w:val="single"/>
                        <w:rtl w:val="0"/>
                      </w:rPr>
                      <w:t xml:space="preserve">https://www.vdh.virginia.gov/emergency-preparedness/hospital-healthcare-preparedness/</w:t>
                    </w:r>
                  </w:hyperlink>
                  <w:r w:rsidDel="00000000" w:rsidR="00000000" w:rsidRPr="00000000">
                    <w:rPr>
                      <w:rtl w:val="0"/>
                    </w:rPr>
                  </w:r>
                </w:p>
                <w:p w:rsidR="00000000" w:rsidDel="00000000" w:rsidP="00000000" w:rsidRDefault="00000000" w:rsidRPr="00000000" w14:paraId="0000002E">
                  <w:pPr>
                    <w:shd w:fill="ffffff" w:val="clear"/>
                    <w:rPr>
                      <w:rFonts w:ascii="Times" w:cs="Times" w:eastAsia="Times" w:hAnsi="Times"/>
                      <w:color w:val="222222"/>
                    </w:rPr>
                  </w:pPr>
                  <w:r w:rsidDel="00000000" w:rsidR="00000000" w:rsidRPr="00000000">
                    <w:rPr>
                      <w:rtl w:val="0"/>
                    </w:rPr>
                  </w:r>
                </w:p>
                <w:p w:rsidR="00000000" w:rsidDel="00000000" w:rsidP="00000000" w:rsidRDefault="00000000" w:rsidRPr="00000000" w14:paraId="0000002F">
                  <w:pPr>
                    <w:shd w:fill="ffffff" w:val="clear"/>
                    <w:spacing w:line="240" w:lineRule="auto"/>
                    <w:rPr>
                      <w:rFonts w:ascii="Times" w:cs="Times" w:eastAsia="Times" w:hAnsi="Times"/>
                      <w:b w:val="1"/>
                      <w:color w:val="2f5496"/>
                      <w:sz w:val="32"/>
                      <w:szCs w:val="32"/>
                    </w:rPr>
                  </w:pPr>
                  <w:r w:rsidDel="00000000" w:rsidR="00000000" w:rsidRPr="00000000">
                    <w:rPr>
                      <w:rFonts w:ascii="Times" w:cs="Times" w:eastAsia="Times" w:hAnsi="Times"/>
                      <w:b w:val="1"/>
                      <w:color w:val="2f5496"/>
                      <w:sz w:val="32"/>
                      <w:szCs w:val="32"/>
                      <w:rtl w:val="0"/>
                    </w:rPr>
                    <w:t xml:space="preserve">COVID-19 Vaccine Update</w:t>
                  </w:r>
                </w:p>
                <w:p w:rsidR="00000000" w:rsidDel="00000000" w:rsidP="00000000" w:rsidRDefault="00000000" w:rsidRPr="00000000" w14:paraId="00000030">
                  <w:pPr>
                    <w:shd w:fill="ffffff" w:val="clear"/>
                    <w:spacing w:line="240" w:lineRule="auto"/>
                    <w:rPr>
                      <w:rFonts w:ascii="Times" w:cs="Times" w:eastAsia="Times" w:hAnsi="Times"/>
                      <w:b w:val="1"/>
                      <w:color w:val="2f5496"/>
                      <w:sz w:val="32"/>
                      <w:szCs w:val="32"/>
                    </w:rPr>
                  </w:pPr>
                  <w:r w:rsidDel="00000000" w:rsidR="00000000" w:rsidRPr="00000000">
                    <w:rPr>
                      <w:rtl w:val="0"/>
                    </w:rPr>
                  </w:r>
                </w:p>
                <w:p w:rsidR="00000000" w:rsidDel="00000000" w:rsidP="00000000" w:rsidRDefault="00000000" w:rsidRPr="00000000" w14:paraId="00000031">
                  <w:pPr>
                    <w:shd w:fill="ffffff" w:val="clear"/>
                    <w:spacing w:line="240" w:lineRule="auto"/>
                    <w:rPr>
                      <w:rFonts w:ascii="Times" w:cs="Times" w:eastAsia="Times" w:hAnsi="Times"/>
                      <w:b w:val="1"/>
                      <w:color w:val="141414"/>
                      <w:u w:val="single"/>
                    </w:rPr>
                  </w:pPr>
                  <w:r w:rsidDel="00000000" w:rsidR="00000000" w:rsidRPr="00000000">
                    <w:rPr>
                      <w:rFonts w:ascii="Times" w:cs="Times" w:eastAsia="Times" w:hAnsi="Times"/>
                      <w:b w:val="1"/>
                      <w:color w:val="141414"/>
                      <w:u w:val="single"/>
                      <w:rtl w:val="0"/>
                    </w:rPr>
                    <w:t xml:space="preserve">COVID-19 Fall Booster Vaccines</w:t>
                  </w:r>
                </w:p>
                <w:p w:rsidR="00000000" w:rsidDel="00000000" w:rsidP="00000000" w:rsidRDefault="00000000" w:rsidRPr="00000000" w14:paraId="00000032">
                  <w:pPr>
                    <w:shd w:fill="ffffff" w:val="clear"/>
                    <w:spacing w:line="240" w:lineRule="auto"/>
                    <w:rPr>
                      <w:rFonts w:ascii="Times" w:cs="Times" w:eastAsia="Times" w:hAnsi="Times"/>
                      <w:color w:val="141414"/>
                    </w:rPr>
                  </w:pPr>
                  <w:r w:rsidDel="00000000" w:rsidR="00000000" w:rsidRPr="00000000">
                    <w:rPr>
                      <w:rFonts w:ascii="Times" w:cs="Times" w:eastAsia="Times" w:hAnsi="Times"/>
                      <w:color w:val="141414"/>
                      <w:rtl w:val="0"/>
                    </w:rPr>
                    <w:t xml:space="preserve">On June 30, 2022, the U.S. Food and Drug Administration (FDA) advised vaccine manufacturers seeking to update their COVID-19 vaccines to add an Omicron BA.4/5 spike protein component to the current vaccine composition to create a bivalent booster vaccine. Pending potential FDA Emergency Use Authorizations (EUAs) for new bivalent COVID-19 boosters developed by Pfizer-BioNTech and Moderna in September 2022, CDC’s Advisory Committee on Immunization Practices (ACIP) will convene to discuss potential recommendations. Anticipated EUA is around Labor Day weekend. Administration of any new bivalent COVID-19 boosters can begin only after CDC’s official recommendations.</w:t>
                  </w:r>
                </w:p>
                <w:p w:rsidR="00000000" w:rsidDel="00000000" w:rsidP="00000000" w:rsidRDefault="00000000" w:rsidRPr="00000000" w14:paraId="00000033">
                  <w:pPr>
                    <w:shd w:fill="ffffff" w:val="clear"/>
                    <w:spacing w:line="240" w:lineRule="auto"/>
                    <w:rPr>
                      <w:rFonts w:ascii="Times" w:cs="Times" w:eastAsia="Times" w:hAnsi="Times"/>
                      <w:color w:val="141414"/>
                    </w:rPr>
                  </w:pPr>
                  <w:r w:rsidDel="00000000" w:rsidR="00000000" w:rsidRPr="00000000">
                    <w:rPr>
                      <w:rFonts w:ascii="Times" w:cs="Times" w:eastAsia="Times" w:hAnsi="Times"/>
                      <w:color w:val="141414"/>
                      <w:rtl w:val="0"/>
                    </w:rPr>
                    <w:t xml:space="preserve">  </w:t>
                  </w:r>
                </w:p>
                <w:p w:rsidR="00000000" w:rsidDel="00000000" w:rsidP="00000000" w:rsidRDefault="00000000" w:rsidRPr="00000000" w14:paraId="00000034">
                  <w:pPr>
                    <w:shd w:fill="ffffff" w:val="clear"/>
                    <w:spacing w:line="240" w:lineRule="auto"/>
                    <w:rPr>
                      <w:rFonts w:ascii="Times" w:cs="Times" w:eastAsia="Times" w:hAnsi="Times"/>
                      <w:color w:val="141414"/>
                    </w:rPr>
                  </w:pPr>
                  <w:r w:rsidDel="00000000" w:rsidR="00000000" w:rsidRPr="00000000">
                    <w:rPr>
                      <w:rFonts w:ascii="Times" w:cs="Times" w:eastAsia="Times" w:hAnsi="Times"/>
                      <w:color w:val="141414"/>
                      <w:rtl w:val="0"/>
                    </w:rPr>
                    <w:t xml:space="preserve">The bivalent COVID-19 vaccine will be administered as a single booster dose to those who previously completed a primary series of COVID-19 vaccine. It is anticipated that bivalent COVID-19 vaccine booster doses may initially be authorized for people ages 12 years and older (Pfizer-BioNTech) and for people ages 18 years and older (Moderna), followed by younger pediatric age groups. It is also anticipated that the bivalent COVID-19 vaccines </w:t>
                  </w:r>
                  <w:r w:rsidDel="00000000" w:rsidR="00000000" w:rsidRPr="00000000">
                    <w:rPr>
                      <w:rFonts w:ascii="Times" w:cs="Times" w:eastAsia="Times" w:hAnsi="Times"/>
                      <w:b w:val="1"/>
                      <w:color w:val="141414"/>
                      <w:rtl w:val="0"/>
                    </w:rPr>
                    <w:t xml:space="preserve">will only be authorized as a single dose in people who have completed a primary vaccination series but would not vary by number or type of prior booster doses received</w:t>
                  </w:r>
                  <w:r w:rsidDel="00000000" w:rsidR="00000000" w:rsidRPr="00000000">
                    <w:rPr>
                      <w:rFonts w:ascii="Times" w:cs="Times" w:eastAsia="Times" w:hAnsi="Times"/>
                      <w:color w:val="141414"/>
                      <w:rtl w:val="0"/>
                    </w:rPr>
                    <w:t xml:space="preserve">. The new vaccines will have the same storage and handling parameters as the original vaccine products.    </w:t>
                  </w:r>
                </w:p>
                <w:p w:rsidR="00000000" w:rsidDel="00000000" w:rsidP="00000000" w:rsidRDefault="00000000" w:rsidRPr="00000000" w14:paraId="00000035">
                  <w:pPr>
                    <w:shd w:fill="ffffff" w:val="clear"/>
                    <w:spacing w:line="240" w:lineRule="auto"/>
                    <w:rPr>
                      <w:rFonts w:ascii="Times" w:cs="Times" w:eastAsia="Times" w:hAnsi="Times"/>
                      <w:color w:val="141414"/>
                    </w:rPr>
                  </w:pPr>
                  <w:r w:rsidDel="00000000" w:rsidR="00000000" w:rsidRPr="00000000">
                    <w:rPr>
                      <w:rtl w:val="0"/>
                    </w:rPr>
                  </w:r>
                </w:p>
                <w:p w:rsidR="00000000" w:rsidDel="00000000" w:rsidP="00000000" w:rsidRDefault="00000000" w:rsidRPr="00000000" w14:paraId="00000036">
                  <w:pPr>
                    <w:shd w:fill="ffffff" w:val="clear"/>
                    <w:spacing w:line="240" w:lineRule="auto"/>
                    <w:rPr>
                      <w:rFonts w:ascii="Times" w:cs="Times" w:eastAsia="Times" w:hAnsi="Times"/>
                      <w:b w:val="1"/>
                      <w:color w:val="141414"/>
                      <w:u w:val="single"/>
                    </w:rPr>
                  </w:pPr>
                  <w:r w:rsidDel="00000000" w:rsidR="00000000" w:rsidRPr="00000000">
                    <w:rPr>
                      <w:rFonts w:ascii="Times" w:cs="Times" w:eastAsia="Times" w:hAnsi="Times"/>
                      <w:b w:val="1"/>
                      <w:color w:val="141414"/>
                      <w:u w:val="single"/>
                      <w:rtl w:val="0"/>
                    </w:rPr>
                    <w:t xml:space="preserve">Newly Authorized COVID-19 vaccine, Novavax</w:t>
                  </w:r>
                </w:p>
                <w:p w:rsidR="00000000" w:rsidDel="00000000" w:rsidP="00000000" w:rsidRDefault="00000000" w:rsidRPr="00000000" w14:paraId="00000037">
                  <w:pPr>
                    <w:shd w:fill="ffffff" w:val="clear"/>
                    <w:spacing w:line="240" w:lineRule="auto"/>
                    <w:rPr>
                      <w:rFonts w:ascii="Times" w:cs="Times" w:eastAsia="Times" w:hAnsi="Times"/>
                    </w:rPr>
                  </w:pPr>
                  <w:r w:rsidDel="00000000" w:rsidR="00000000" w:rsidRPr="00000000">
                    <w:rPr>
                      <w:rFonts w:ascii="Times" w:cs="Times" w:eastAsia="Times" w:hAnsi="Times"/>
                      <w:color w:val="141414"/>
                      <w:rtl w:val="0"/>
                    </w:rPr>
                    <w:t xml:space="preserve">Novavax COVID-19 vaccine is under EUA for adults 18 years and older. It is given as a 2 dose primary series, separated by 3-8 weeks. People who are moderately or severely immunocompromised should also receive 2 doses, given 3 weeks apart (a 3rd primary dose is not currently authorized). Novavax COVID-19 vaccine is </w:t>
                  </w:r>
                  <w:r w:rsidDel="00000000" w:rsidR="00000000" w:rsidRPr="00000000">
                    <w:rPr>
                      <w:rFonts w:ascii="Times" w:cs="Times" w:eastAsia="Times" w:hAnsi="Times"/>
                      <w:b w:val="1"/>
                      <w:color w:val="141414"/>
                      <w:rtl w:val="0"/>
                    </w:rPr>
                    <w:t xml:space="preserve">not currently authorized for use as a booster dose, ONLY as a primary series</w:t>
                  </w:r>
                  <w:r w:rsidDel="00000000" w:rsidR="00000000" w:rsidRPr="00000000">
                    <w:rPr>
                      <w:rFonts w:ascii="Times" w:cs="Times" w:eastAsia="Times" w:hAnsi="Times"/>
                      <w:color w:val="141414"/>
                      <w:rtl w:val="0"/>
                    </w:rPr>
                    <w:t xml:space="preserve">. For more information about the Novavax COVID-19 vaccine, </w:t>
                  </w:r>
                  <w:r w:rsidDel="00000000" w:rsidR="00000000" w:rsidRPr="00000000">
                    <w:rPr>
                      <w:rFonts w:ascii="Times" w:cs="Times" w:eastAsia="Times" w:hAnsi="Times"/>
                      <w:color w:val="141414"/>
                      <w:rtl w:val="0"/>
                    </w:rPr>
                    <w:t xml:space="preserve">visit </w:t>
                  </w:r>
                  <w:hyperlink r:id="rId14">
                    <w:r w:rsidDel="00000000" w:rsidR="00000000" w:rsidRPr="00000000">
                      <w:rPr>
                        <w:rFonts w:ascii="Times" w:cs="Times" w:eastAsia="Times" w:hAnsi="Times"/>
                        <w:color w:val="141414"/>
                        <w:u w:val="single"/>
                        <w:rtl w:val="0"/>
                      </w:rPr>
                      <w:t xml:space="preserve">CDC</w:t>
                    </w:r>
                  </w:hyperlink>
                  <w:hyperlink r:id="rId15">
                    <w:r w:rsidDel="00000000" w:rsidR="00000000" w:rsidRPr="00000000">
                      <w:rPr>
                        <w:rFonts w:ascii="Times" w:cs="Times" w:eastAsia="Times" w:hAnsi="Times"/>
                        <w:color w:val="141414"/>
                        <w:u w:val="single"/>
                        <w:rtl w:val="0"/>
                      </w:rPr>
                      <w:t xml:space="preserve"> COVID-19 Vaccine page</w:t>
                    </w:r>
                  </w:hyperlink>
                  <w:r w:rsidDel="00000000" w:rsidR="00000000" w:rsidRPr="00000000">
                    <w:rPr>
                      <w:rFonts w:ascii="Times" w:cs="Times" w:eastAsia="Times" w:hAnsi="Times"/>
                      <w:color w:val="141414"/>
                      <w:rtl w:val="0"/>
                    </w:rPr>
                    <w:t xml:space="preserve">. </w:t>
                  </w:r>
                  <w:r w:rsidDel="00000000" w:rsidR="00000000" w:rsidRPr="00000000">
                    <w:rPr>
                      <w:rtl w:val="0"/>
                    </w:rPr>
                  </w:r>
                </w:p>
                <w:p w:rsidR="00000000" w:rsidDel="00000000" w:rsidP="00000000" w:rsidRDefault="00000000" w:rsidRPr="00000000" w14:paraId="00000038">
                  <w:pPr>
                    <w:shd w:fill="ffffff" w:val="clear"/>
                    <w:rPr>
                      <w:color w:val="000000"/>
                    </w:rPr>
                  </w:pPr>
                  <w:r w:rsidDel="00000000" w:rsidR="00000000" w:rsidRPr="00000000">
                    <w:rPr>
                      <w:rtl w:val="0"/>
                    </w:rPr>
                  </w:r>
                </w:p>
                <w:p w:rsidR="00000000" w:rsidDel="00000000" w:rsidP="00000000" w:rsidRDefault="00000000" w:rsidRPr="00000000" w14:paraId="00000039">
                  <w:pPr>
                    <w:shd w:fill="ffffff" w:val="clear"/>
                    <w:rPr>
                      <w:color w:val="2f5496"/>
                      <w:sz w:val="32"/>
                      <w:szCs w:val="32"/>
                    </w:rPr>
                  </w:pPr>
                  <w:r w:rsidDel="00000000" w:rsidR="00000000" w:rsidRPr="00000000">
                    <w:rPr>
                      <w:b w:val="1"/>
                      <w:color w:val="2f5496"/>
                      <w:sz w:val="32"/>
                      <w:szCs w:val="32"/>
                      <w:rtl w:val="0"/>
                    </w:rPr>
                    <w:t xml:space="preserve">VDH Team Contact Information</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630" w:right="0" w:hanging="360"/>
                    <w:jc w:val="left"/>
                    <w:rPr>
                      <w:rFonts w:ascii="Times" w:cs="Times" w:eastAsia="Times" w:hAnsi="Times"/>
                      <w:b w:val="0"/>
                      <w:i w:val="0"/>
                      <w:smallCaps w:val="0"/>
                      <w:strike w:val="0"/>
                      <w:color w:val="222222"/>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Testing:  </w:t>
                  </w:r>
                  <w:hyperlink r:id="rId16">
                    <w:r w:rsidDel="00000000" w:rsidR="00000000" w:rsidRPr="00000000">
                      <w:rPr>
                        <w:rFonts w:ascii="Times" w:cs="Times" w:eastAsia="Times" w:hAnsi="Times"/>
                        <w:b w:val="0"/>
                        <w:i w:val="0"/>
                        <w:smallCaps w:val="0"/>
                        <w:strike w:val="0"/>
                        <w:color w:val="1155cc"/>
                        <w:u w:val="single"/>
                        <w:shd w:fill="auto" w:val="clear"/>
                        <w:vertAlign w:val="baseline"/>
                        <w:rtl w:val="0"/>
                      </w:rPr>
                      <w:t xml:space="preserve">testinginfo@vdh.virginia.gov</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630" w:right="0" w:hanging="360"/>
                    <w:jc w:val="left"/>
                    <w:rPr>
                      <w:rFonts w:ascii="Times" w:cs="Times" w:eastAsia="Times" w:hAnsi="Times"/>
                      <w:b w:val="0"/>
                      <w:i w:val="0"/>
                      <w:smallCaps w:val="0"/>
                      <w:strike w:val="0"/>
                      <w:color w:val="000000"/>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Vaccination:  </w:t>
                  </w:r>
                  <w:hyperlink r:id="rId17">
                    <w:r w:rsidDel="00000000" w:rsidR="00000000" w:rsidRPr="00000000">
                      <w:rPr>
                        <w:rFonts w:ascii="Times" w:cs="Times" w:eastAsia="Times" w:hAnsi="Times"/>
                        <w:b w:val="0"/>
                        <w:i w:val="0"/>
                        <w:smallCaps w:val="0"/>
                        <w:strike w:val="0"/>
                        <w:color w:val="1155cc"/>
                        <w:u w:val="single"/>
                        <w:shd w:fill="auto" w:val="clear"/>
                        <w:vertAlign w:val="baseline"/>
                        <w:rtl w:val="0"/>
                      </w:rPr>
                      <w:t xml:space="preserve">covidpharmacysupport@vdh.virginia.gov</w:t>
                    </w:r>
                  </w:hyperlink>
                  <w:r w:rsidDel="00000000" w:rsidR="00000000" w:rsidRPr="00000000">
                    <w:rPr>
                      <w:rFonts w:ascii="Times" w:cs="Times" w:eastAsia="Times" w:hAnsi="Times"/>
                      <w:b w:val="0"/>
                      <w:i w:val="0"/>
                      <w:smallCaps w:val="0"/>
                      <w:strike w:val="0"/>
                      <w:color w:val="000000"/>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630" w:right="0" w:hanging="360"/>
                    <w:jc w:val="left"/>
                    <w:rPr>
                      <w:rFonts w:ascii="Times" w:cs="Times" w:eastAsia="Times" w:hAnsi="Times"/>
                      <w:b w:val="0"/>
                      <w:i w:val="0"/>
                      <w:smallCaps w:val="0"/>
                      <w:strike w:val="0"/>
                      <w:color w:val="222222"/>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Therapeutics:  </w:t>
                  </w:r>
                  <w:hyperlink r:id="rId18">
                    <w:r w:rsidDel="00000000" w:rsidR="00000000" w:rsidRPr="00000000">
                      <w:rPr>
                        <w:rFonts w:ascii="Times" w:cs="Times" w:eastAsia="Times" w:hAnsi="Times"/>
                        <w:b w:val="0"/>
                        <w:i w:val="0"/>
                        <w:smallCaps w:val="0"/>
                        <w:strike w:val="0"/>
                        <w:color w:val="1155cc"/>
                        <w:u w:val="single"/>
                        <w:shd w:fill="auto" w:val="clear"/>
                        <w:vertAlign w:val="baseline"/>
                        <w:rtl w:val="0"/>
                      </w:rPr>
                      <w:t xml:space="preserve">covid19therapeutics@vdh.virginia.gov</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630" w:right="0" w:hanging="360"/>
                    <w:jc w:val="left"/>
                    <w:rPr>
                      <w:rFonts w:ascii="Times" w:cs="Times" w:eastAsia="Times" w:hAnsi="Times"/>
                      <w:b w:val="0"/>
                      <w:i w:val="0"/>
                      <w:smallCaps w:val="0"/>
                      <w:strike w:val="0"/>
                      <w:color w:val="222222"/>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Infection Prevention and Control:  </w:t>
                  </w:r>
                  <w:hyperlink r:id="rId19">
                    <w:r w:rsidDel="00000000" w:rsidR="00000000" w:rsidRPr="00000000">
                      <w:rPr>
                        <w:rFonts w:ascii="Times" w:cs="Times" w:eastAsia="Times" w:hAnsi="Times"/>
                        <w:b w:val="0"/>
                        <w:i w:val="0"/>
                        <w:smallCaps w:val="0"/>
                        <w:strike w:val="0"/>
                        <w:color w:val="1155cc"/>
                        <w:u w:val="single"/>
                        <w:shd w:fill="auto" w:val="clear"/>
                        <w:vertAlign w:val="baseline"/>
                        <w:rtl w:val="0"/>
                      </w:rPr>
                      <w:t xml:space="preserve">hai@vdh.virginia.gov</w:t>
                    </w:r>
                  </w:hyperlink>
                  <w:r w:rsidDel="00000000" w:rsidR="00000000" w:rsidRPr="00000000">
                    <w:rPr>
                      <w:rtl w:val="0"/>
                    </w:rPr>
                  </w:r>
                </w:p>
                <w:p w:rsidR="00000000" w:rsidDel="00000000" w:rsidP="00000000" w:rsidRDefault="00000000" w:rsidRPr="00000000" w14:paraId="0000003E">
                  <w:pPr>
                    <w:jc w:val="center"/>
                    <w:rPr>
                      <w:b w:val="1"/>
                      <w:sz w:val="20"/>
                      <w:szCs w:val="20"/>
                    </w:rPr>
                  </w:pPr>
                  <w:r w:rsidDel="00000000" w:rsidR="00000000" w:rsidRPr="00000000">
                    <w:rPr>
                      <w:b w:val="1"/>
                      <w:sz w:val="20"/>
                      <w:szCs w:val="20"/>
                      <w:rtl w:val="0"/>
                    </w:rPr>
                    <w:t xml:space="preserve">Have any important updates or information for the Virginia Department of Health’s Long-Term Care Task Force?         Email Jessica Caggiano (</w:t>
                  </w:r>
                  <w:hyperlink r:id="rId20">
                    <w:r w:rsidDel="00000000" w:rsidR="00000000" w:rsidRPr="00000000">
                      <w:rPr>
                        <w:b w:val="1"/>
                        <w:color w:val="1155cc"/>
                        <w:sz w:val="20"/>
                        <w:szCs w:val="20"/>
                        <w:u w:val="single"/>
                        <w:rtl w:val="0"/>
                      </w:rPr>
                      <w:t xml:space="preserve">jessica.caggiano@vdh.virginia.gov</w:t>
                    </w:r>
                  </w:hyperlink>
                  <w:r w:rsidDel="00000000" w:rsidR="00000000" w:rsidRPr="00000000">
                    <w:rPr>
                      <w:b w:val="1"/>
                      <w:sz w:val="20"/>
                      <w:szCs w:val="20"/>
                      <w:rtl w:val="0"/>
                    </w:rPr>
                    <w:t xml:space="preserve">) </w:t>
                  </w:r>
                </w:p>
                <w:p w:rsidR="00000000" w:rsidDel="00000000" w:rsidP="00000000" w:rsidRDefault="00000000" w:rsidRPr="00000000" w14:paraId="0000003F">
                  <w:pPr>
                    <w:jc w:val="center"/>
                    <w:rPr>
                      <w:b w:val="1"/>
                      <w:sz w:val="20"/>
                      <w:szCs w:val="20"/>
                    </w:rPr>
                  </w:pPr>
                  <w:r w:rsidDel="00000000" w:rsidR="00000000" w:rsidRPr="00000000">
                    <w:rPr>
                      <w:rtl w:val="0"/>
                    </w:rPr>
                  </w:r>
                </w:p>
                <w:p w:rsidR="00000000" w:rsidDel="00000000" w:rsidP="00000000" w:rsidRDefault="00000000" w:rsidRPr="00000000" w14:paraId="00000040">
                  <w:pPr>
                    <w:keepNext w:val="1"/>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2600325</wp:posOffset>
                        </wp:positionH>
                        <wp:positionV relativeFrom="paragraph">
                          <wp:posOffset>152400</wp:posOffset>
                        </wp:positionV>
                        <wp:extent cx="1583460" cy="471268"/>
                        <wp:effectExtent b="0" l="0" r="0" t="0"/>
                        <wp:wrapSquare wrapText="bothSides" distB="0" distT="0" distL="114300" distR="114300"/>
                        <wp:docPr descr="Text, logo&#10;&#10;Description automatically generated" id="24" name="image2.jpg"/>
                        <a:graphic>
                          <a:graphicData uri="http://schemas.openxmlformats.org/drawingml/2006/picture">
                            <pic:pic>
                              <pic:nvPicPr>
                                <pic:cNvPr descr="Text, logo&#10;&#10;Description automatically generated" id="0" name="image2.jpg"/>
                                <pic:cNvPicPr preferRelativeResize="0"/>
                              </pic:nvPicPr>
                              <pic:blipFill>
                                <a:blip r:embed="rId7"/>
                                <a:srcRect b="0" l="0" r="0" t="0"/>
                                <a:stretch>
                                  <a:fillRect/>
                                </a:stretch>
                              </pic:blipFill>
                              <pic:spPr>
                                <a:xfrm>
                                  <a:off x="0" y="0"/>
                                  <a:ext cx="1583460" cy="471268"/>
                                </a:xfrm>
                                <a:prstGeom prst="rect"/>
                                <a:ln/>
                              </pic:spPr>
                            </pic:pic>
                          </a:graphicData>
                        </a:graphic>
                      </wp:anchor>
                    </w:drawing>
                  </w:r>
                </w:p>
              </w:tc>
            </w:tr>
          </w:tbl>
          <w:p w:rsidR="00000000" w:rsidDel="00000000" w:rsidP="00000000" w:rsidRDefault="00000000" w:rsidRPr="00000000" w14:paraId="00000041">
            <w:pPr>
              <w:jc w:val="center"/>
              <w:rPr>
                <w:sz w:val="20"/>
                <w:szCs w:val="20"/>
              </w:rPr>
            </w:pPr>
            <w:r w:rsidDel="00000000" w:rsidR="00000000" w:rsidRPr="00000000">
              <w:rPr>
                <w:rtl w:val="0"/>
              </w:rPr>
            </w:r>
          </w:p>
        </w:tc>
      </w:tr>
      <w:tr>
        <w:trPr>
          <w:cantSplit w:val="0"/>
          <w:tblHeader w:val="0"/>
        </w:trPr>
        <w:tc>
          <w:tcPr>
            <w:shd w:fill="f2f2f2" w:val="clear"/>
            <w:tcMar>
              <w:top w:w="113.0" w:type="dxa"/>
              <w:left w:w="113.0" w:type="dxa"/>
              <w:bottom w:w="113.0" w:type="dxa"/>
              <w:right w:w="113.0" w:type="dxa"/>
            </w:tcMar>
          </w:tcPr>
          <w:p w:rsidR="00000000" w:rsidDel="00000000" w:rsidP="00000000" w:rsidRDefault="00000000" w:rsidRPr="00000000" w14:paraId="00000042">
            <w:pPr>
              <w:rPr>
                <w:sz w:val="20"/>
                <w:szCs w:val="20"/>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A6448"/>
    <w:rPr>
      <w:rFonts w:ascii="Times New Roman" w:cs="Times New Roman" w:eastAsia="Times New Roman" w:hAnsi="Times New Roman"/>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A53D2"/>
    <w:rPr>
      <w:color w:val="0563c1"/>
      <w:u w:val="single"/>
    </w:rPr>
  </w:style>
  <w:style w:type="character" w:styleId="SmartLink">
    <w:name w:val="Smart Link"/>
    <w:basedOn w:val="DefaultParagraphFont"/>
    <w:uiPriority w:val="99"/>
    <w:semiHidden w:val="1"/>
    <w:unhideWhenUsed w:val="1"/>
    <w:rsid w:val="004A53D2"/>
    <w:rPr>
      <w:color w:val="0000ff"/>
      <w:u w:val="single"/>
      <w:shd w:color="auto" w:fill="f3f2f1" w:val="clear"/>
    </w:rPr>
  </w:style>
  <w:style w:type="character" w:styleId="UnresolvedMention">
    <w:name w:val="Unresolved Mention"/>
    <w:basedOn w:val="DefaultParagraphFont"/>
    <w:uiPriority w:val="99"/>
    <w:semiHidden w:val="1"/>
    <w:unhideWhenUsed w:val="1"/>
    <w:rsid w:val="005261F5"/>
    <w:rPr>
      <w:color w:val="605e5c"/>
      <w:shd w:color="auto" w:fill="e1dfdd" w:val="clear"/>
    </w:rPr>
  </w:style>
  <w:style w:type="character" w:styleId="Strong">
    <w:name w:val="Strong"/>
    <w:basedOn w:val="DefaultParagraphFont"/>
    <w:uiPriority w:val="22"/>
    <w:qFormat w:val="1"/>
    <w:rsid w:val="005261F5"/>
    <w:rPr>
      <w:b w:val="1"/>
      <w:bCs w:val="1"/>
    </w:rPr>
  </w:style>
  <w:style w:type="character" w:styleId="Emphasis">
    <w:name w:val="Emphasis"/>
    <w:basedOn w:val="DefaultParagraphFont"/>
    <w:uiPriority w:val="20"/>
    <w:qFormat w:val="1"/>
    <w:rsid w:val="005261F5"/>
    <w:rPr>
      <w:i w:val="1"/>
      <w:iCs w:val="1"/>
    </w:rPr>
  </w:style>
  <w:style w:type="paragraph" w:styleId="ListParagraph">
    <w:name w:val="List Paragraph"/>
    <w:basedOn w:val="Normal"/>
    <w:uiPriority w:val="34"/>
    <w:qFormat w:val="1"/>
    <w:rsid w:val="00626CDE"/>
    <w:pPr>
      <w:ind w:left="720"/>
      <w:contextualSpacing w:val="1"/>
    </w:pPr>
    <w:rPr>
      <w:rFonts w:ascii="Calibri" w:cs="Calibri" w:hAnsi="Calibri"/>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jessica.caggiano@vdh.virginia.gov" TargetMode="External"/><Relationship Id="rId11" Type="http://schemas.openxmlformats.org/officeDocument/2006/relationships/hyperlink" Target="https://www.vdh.virginia.gov/coronavirus/get-the-latest-guidance/health-professionals/therapeutics/" TargetMode="External"/><Relationship Id="rId10" Type="http://schemas.openxmlformats.org/officeDocument/2006/relationships/hyperlink" Target="mailto:COVID19Therapeutics@vdh.virginia.gov" TargetMode="External"/><Relationship Id="rId13" Type="http://schemas.openxmlformats.org/officeDocument/2006/relationships/hyperlink" Target="https://www.vdh.virginia.gov/emergency-preparedness/hospital-healthcare-preparedness/" TargetMode="External"/><Relationship Id="rId12" Type="http://schemas.openxmlformats.org/officeDocument/2006/relationships/hyperlink" Target="https://redcap.vdh.virginia.gov/redcap/surveys/?s=XT4WFMD9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dcap.link/EVUSHELDAccessInterestForm" TargetMode="External"/><Relationship Id="rId15" Type="http://schemas.openxmlformats.org/officeDocument/2006/relationships/hyperlink" Target="https://www.cdc.gov/coronavirus/2019-ncov/vaccines/novavax.html" TargetMode="External"/><Relationship Id="rId14" Type="http://schemas.openxmlformats.org/officeDocument/2006/relationships/hyperlink" Target="https://www.cdc.gov/coronavirus/2019-ncov/vaccines/novavax.html" TargetMode="External"/><Relationship Id="rId17" Type="http://schemas.openxmlformats.org/officeDocument/2006/relationships/hyperlink" Target="mailto:covidpharmacysupport@vdh.virginia.gov" TargetMode="External"/><Relationship Id="rId16" Type="http://schemas.openxmlformats.org/officeDocument/2006/relationships/hyperlink" Target="mailto:testinginfo@vdh.virginia.gov" TargetMode="External"/><Relationship Id="rId5" Type="http://schemas.openxmlformats.org/officeDocument/2006/relationships/styles" Target="styles.xml"/><Relationship Id="rId19" Type="http://schemas.openxmlformats.org/officeDocument/2006/relationships/hyperlink" Target="mailto:hai@vdh.virginia.gov" TargetMode="External"/><Relationship Id="rId6" Type="http://schemas.openxmlformats.org/officeDocument/2006/relationships/customXml" Target="../customXML/item1.xml"/><Relationship Id="rId18" Type="http://schemas.openxmlformats.org/officeDocument/2006/relationships/hyperlink" Target="mailto:covid19therapeutics@vdh.virginia.gov" TargetMode="Externa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XvT+ZU8KKKc3QUBN2Hh0OQUx+A==">AMUW2mVxZ0ACGOecbMaQ+/dhHfP9XDYY814DbWSyzrTkx+NzqVa/EepsExpw/5Od/CVhO3F904Ro25zrY5/CJudn0WvY0kjb+rHNHVdr9uHj2PJiyeEktTM=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2022-05-16T18:49:00Z</dcterms:created>
  <dc:creator>Beck, Ryan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2022-05-16T18:49:55Z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e9aac666-c25f-4b2f-a4e1-2e3e2402571e</vt:lpwstr>
  </property>
  <property fmtid="{D5CDD505-2E9C-101B-9397-08002B2CF9AE}" pid="8" name="MSIP_Label_ea60d57e-af5b-4752-ac57-3e4f28ca11dc_ContentBits">
    <vt:lpwstr>0</vt:lpwstr>
  </property>
</Properties>
</file>