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3C" w:rsidRDefault="00A4163C" w:rsidP="00A4163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Appendix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– Index to 12VAC5-640</w:t>
      </w:r>
    </w:p>
    <w:p w:rsidR="00A4163C" w:rsidRDefault="00A4163C" w:rsidP="00A4163C">
      <w:pPr>
        <w:pStyle w:val="NoSpacing"/>
        <w:rPr>
          <w:rFonts w:ascii="Arial" w:hAnsi="Arial" w:cs="Arial"/>
          <w:sz w:val="24"/>
          <w:szCs w:val="24"/>
        </w:rPr>
      </w:pPr>
    </w:p>
    <w:p w:rsidR="00A4163C" w:rsidRDefault="00A4163C" w:rsidP="00A4163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60AD3">
        <w:rPr>
          <w:rFonts w:ascii="Arial" w:hAnsi="Arial" w:cs="Arial"/>
          <w:b/>
          <w:sz w:val="28"/>
          <w:szCs w:val="28"/>
        </w:rPr>
        <w:t xml:space="preserve">Alternative Discharging Sewage Treatment Regulations for Single Family Home </w:t>
      </w:r>
      <w:proofErr w:type="gramStart"/>
      <w:r w:rsidRPr="00060AD3">
        <w:rPr>
          <w:rFonts w:ascii="Arial" w:hAnsi="Arial" w:cs="Arial"/>
          <w:b/>
          <w:sz w:val="28"/>
          <w:szCs w:val="28"/>
        </w:rPr>
        <w:t>Dwellings  12VAC5</w:t>
      </w:r>
      <w:proofErr w:type="gramEnd"/>
      <w:r w:rsidRPr="00060AD3">
        <w:rPr>
          <w:rFonts w:ascii="Arial" w:hAnsi="Arial" w:cs="Arial"/>
          <w:b/>
          <w:sz w:val="28"/>
          <w:szCs w:val="28"/>
        </w:rPr>
        <w:t>-640</w:t>
      </w:r>
    </w:p>
    <w:p w:rsidR="00A4163C" w:rsidRDefault="00A4163C" w:rsidP="00A4163C">
      <w:pPr>
        <w:pStyle w:val="NoSpacing"/>
        <w:rPr>
          <w:rFonts w:ascii="Arial" w:hAnsi="Arial" w:cs="Arial"/>
          <w:sz w:val="24"/>
          <w:szCs w:val="24"/>
        </w:rPr>
      </w:pPr>
    </w:p>
    <w:p w:rsidR="00A4163C" w:rsidRDefault="00A4163C" w:rsidP="00A4163C">
      <w:pPr>
        <w:pStyle w:val="NoSpacing"/>
        <w:rPr>
          <w:rFonts w:ascii="Arial" w:hAnsi="Arial" w:cs="Arial"/>
          <w:sz w:val="24"/>
          <w:szCs w:val="24"/>
        </w:rPr>
      </w:pPr>
    </w:p>
    <w:p w:rsidR="00A4163C" w:rsidRDefault="00A4163C" w:rsidP="00A4163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 of Contents</w:t>
      </w:r>
    </w:p>
    <w:p w:rsidR="00A4163C" w:rsidRDefault="00A4163C" w:rsidP="00A4163C">
      <w:pPr>
        <w:pStyle w:val="NoSpacing"/>
        <w:rPr>
          <w:rFonts w:ascii="Arial" w:hAnsi="Arial" w:cs="Arial"/>
          <w:sz w:val="24"/>
          <w:szCs w:val="24"/>
        </w:rPr>
      </w:pP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ab/>
        <w:t>Definitions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  <w:t>Purpose of Regulations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  <w:t>Scope of Regulations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ab/>
        <w:t>Relationship to Virginia Sewage Handling and Disposal Regulations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ab/>
        <w:t>Relationship to the State Water Control Board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ab/>
        <w:t>Relationship to the Uniform Statewide Building Code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  <w:t>Administration of Regulations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ab/>
        <w:t>Compliance with Administrative Process Act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140</w:t>
      </w:r>
      <w:r>
        <w:rPr>
          <w:rFonts w:ascii="Arial" w:hAnsi="Arial" w:cs="Arial"/>
          <w:sz w:val="24"/>
          <w:szCs w:val="24"/>
        </w:rPr>
        <w:tab/>
        <w:t>Emergency Order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ab/>
        <w:t>Enforcement of Regulation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170</w:t>
      </w:r>
      <w:r>
        <w:rPr>
          <w:rFonts w:ascii="Arial" w:hAnsi="Arial" w:cs="Arial"/>
          <w:sz w:val="24"/>
          <w:szCs w:val="24"/>
        </w:rPr>
        <w:tab/>
        <w:t>Variances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ab/>
        <w:t>Informal conferences and hearings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210 </w:t>
      </w:r>
      <w:r>
        <w:rPr>
          <w:rFonts w:ascii="Arial" w:hAnsi="Arial" w:cs="Arial"/>
          <w:sz w:val="24"/>
          <w:szCs w:val="24"/>
        </w:rPr>
        <w:tab/>
        <w:t>Appeals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ab/>
        <w:t>Permits, general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230</w:t>
      </w:r>
      <w:r>
        <w:rPr>
          <w:rFonts w:ascii="Arial" w:hAnsi="Arial" w:cs="Arial"/>
          <w:sz w:val="24"/>
          <w:szCs w:val="24"/>
        </w:rPr>
        <w:tab/>
        <w:t>Application process for obtaining a Department of Environmental Quality General Permit using the Combined Application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ab/>
        <w:t>Application for a construction permit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ab/>
        <w:t>Issuance of the construction permit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  <w:t>Exception for failing onsite sewage disposal systems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262</w:t>
      </w:r>
      <w:r>
        <w:rPr>
          <w:rFonts w:ascii="Arial" w:hAnsi="Arial" w:cs="Arial"/>
          <w:sz w:val="24"/>
          <w:szCs w:val="24"/>
        </w:rPr>
        <w:tab/>
        <w:t>Statements required upon completion of construction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264</w:t>
      </w:r>
      <w:r>
        <w:rPr>
          <w:rFonts w:ascii="Arial" w:hAnsi="Arial" w:cs="Arial"/>
          <w:sz w:val="24"/>
          <w:szCs w:val="24"/>
        </w:rPr>
        <w:tab/>
        <w:t>Operation and maintenance manual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266</w:t>
      </w:r>
      <w:r>
        <w:rPr>
          <w:rFonts w:ascii="Arial" w:hAnsi="Arial" w:cs="Arial"/>
          <w:sz w:val="24"/>
          <w:szCs w:val="24"/>
        </w:rPr>
        <w:tab/>
        <w:t>Issuance of the operation permit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270</w:t>
      </w:r>
      <w:r>
        <w:rPr>
          <w:rFonts w:ascii="Arial" w:hAnsi="Arial" w:cs="Arial"/>
          <w:sz w:val="24"/>
          <w:szCs w:val="24"/>
        </w:rPr>
        <w:tab/>
        <w:t>Denial of a construction or operation permit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280</w:t>
      </w:r>
      <w:r>
        <w:rPr>
          <w:rFonts w:ascii="Arial" w:hAnsi="Arial" w:cs="Arial"/>
          <w:sz w:val="24"/>
          <w:szCs w:val="24"/>
        </w:rPr>
        <w:tab/>
        <w:t>Revocation of construction permits and operation permits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290</w:t>
      </w:r>
      <w:r>
        <w:rPr>
          <w:rFonts w:ascii="Arial" w:hAnsi="Arial" w:cs="Arial"/>
          <w:sz w:val="24"/>
          <w:szCs w:val="24"/>
        </w:rPr>
        <w:tab/>
        <w:t>Voidance of construction or operation permits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340 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370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ab/>
        <w:t>Classification of Discharge Points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420</w:t>
      </w:r>
      <w:r>
        <w:rPr>
          <w:rFonts w:ascii="Arial" w:hAnsi="Arial" w:cs="Arial"/>
          <w:sz w:val="24"/>
          <w:szCs w:val="24"/>
        </w:rPr>
        <w:tab/>
        <w:t>Setback distances from discharge points and downstream channels for protection of public health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430</w:t>
      </w:r>
      <w:r>
        <w:rPr>
          <w:rFonts w:ascii="Arial" w:hAnsi="Arial" w:cs="Arial"/>
          <w:sz w:val="24"/>
          <w:szCs w:val="24"/>
        </w:rPr>
        <w:tab/>
        <w:t>Performance requirements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434</w:t>
      </w:r>
      <w:r>
        <w:rPr>
          <w:rFonts w:ascii="Arial" w:hAnsi="Arial" w:cs="Arial"/>
          <w:sz w:val="24"/>
          <w:szCs w:val="24"/>
        </w:rPr>
        <w:tab/>
        <w:t>Treatment unit and additional system component classifications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434</w:t>
      </w:r>
      <w:r>
        <w:rPr>
          <w:rFonts w:ascii="Arial" w:hAnsi="Arial" w:cs="Arial"/>
          <w:sz w:val="24"/>
          <w:szCs w:val="24"/>
        </w:rPr>
        <w:tab/>
        <w:t>Reliability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440</w:t>
      </w:r>
      <w:r>
        <w:rPr>
          <w:rFonts w:ascii="Arial" w:hAnsi="Arial" w:cs="Arial"/>
          <w:sz w:val="24"/>
          <w:szCs w:val="24"/>
        </w:rPr>
        <w:tab/>
        <w:t>Special factors affecting system design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450</w:t>
      </w:r>
      <w:r>
        <w:rPr>
          <w:rFonts w:ascii="Arial" w:hAnsi="Arial" w:cs="Arial"/>
          <w:sz w:val="24"/>
          <w:szCs w:val="24"/>
        </w:rPr>
        <w:tab/>
        <w:t>Design criteria for the use of intermittent streams, dry ditches, or wetlands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460</w:t>
      </w:r>
      <w:r>
        <w:rPr>
          <w:rFonts w:ascii="Arial" w:hAnsi="Arial" w:cs="Arial"/>
          <w:sz w:val="24"/>
          <w:szCs w:val="24"/>
        </w:rPr>
        <w:tab/>
        <w:t>Design requirements for system components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470</w:t>
      </w:r>
      <w:r>
        <w:rPr>
          <w:rFonts w:ascii="Arial" w:hAnsi="Arial" w:cs="Arial"/>
          <w:sz w:val="24"/>
          <w:szCs w:val="24"/>
        </w:rPr>
        <w:tab/>
        <w:t>General construction requirements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480</w:t>
      </w:r>
      <w:r>
        <w:rPr>
          <w:rFonts w:ascii="Arial" w:hAnsi="Arial" w:cs="Arial"/>
          <w:sz w:val="24"/>
          <w:szCs w:val="24"/>
        </w:rPr>
        <w:tab/>
        <w:t>Repealed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490</w:t>
      </w:r>
      <w:r>
        <w:rPr>
          <w:rFonts w:ascii="Arial" w:hAnsi="Arial" w:cs="Arial"/>
          <w:sz w:val="24"/>
          <w:szCs w:val="24"/>
        </w:rPr>
        <w:tab/>
        <w:t>Monitoring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ab/>
        <w:t>Operation and Monitoring Requirements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510</w:t>
      </w:r>
      <w:r>
        <w:rPr>
          <w:rFonts w:ascii="Arial" w:hAnsi="Arial" w:cs="Arial"/>
          <w:sz w:val="24"/>
          <w:szCs w:val="24"/>
        </w:rPr>
        <w:tab/>
        <w:t>Information to be reported electronically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520</w:t>
      </w:r>
      <w:r>
        <w:rPr>
          <w:rFonts w:ascii="Arial" w:hAnsi="Arial" w:cs="Arial"/>
          <w:sz w:val="24"/>
          <w:szCs w:val="24"/>
        </w:rPr>
        <w:tab/>
        <w:t>Failure to submit information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Forms: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Combined Application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 Transfer under 12VAC50640-220E</w:t>
      </w:r>
    </w:p>
    <w:p w:rsidR="00A4163C" w:rsidRDefault="00A4163C" w:rsidP="00A4163C">
      <w:pPr>
        <w:pStyle w:val="NoSpacing"/>
        <w:tabs>
          <w:tab w:val="left" w:pos="7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Completion statement</w:t>
      </w: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A4163C" w:rsidRDefault="00A4163C" w:rsidP="00A4163C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to full text of regulation</w:t>
      </w:r>
    </w:p>
    <w:p w:rsidR="00A4163C" w:rsidRPr="002072DD" w:rsidRDefault="00A2657C" w:rsidP="002072DD">
      <w:pPr>
        <w:pStyle w:val="NoSpacing"/>
      </w:pPr>
      <w:hyperlink r:id="rId4" w:history="1">
        <w:r w:rsidR="00A4163C" w:rsidRPr="00A2657C">
          <w:rPr>
            <w:rStyle w:val="Hyperlink"/>
            <w:rFonts w:ascii="Arial" w:hAnsi="Arial" w:cs="Arial"/>
            <w:sz w:val="24"/>
            <w:szCs w:val="24"/>
          </w:rPr>
          <w:t>12V</w:t>
        </w:r>
        <w:bookmarkStart w:id="0" w:name="_GoBack"/>
        <w:bookmarkEnd w:id="0"/>
        <w:r w:rsidR="00A4163C" w:rsidRPr="00A2657C">
          <w:rPr>
            <w:rStyle w:val="Hyperlink"/>
            <w:rFonts w:ascii="Arial" w:hAnsi="Arial" w:cs="Arial"/>
            <w:sz w:val="24"/>
            <w:szCs w:val="24"/>
          </w:rPr>
          <w:t>A</w:t>
        </w:r>
        <w:r w:rsidR="00A4163C" w:rsidRPr="00A2657C">
          <w:rPr>
            <w:rStyle w:val="Hyperlink"/>
            <w:rFonts w:ascii="Arial" w:hAnsi="Arial" w:cs="Arial"/>
            <w:sz w:val="24"/>
            <w:szCs w:val="24"/>
          </w:rPr>
          <w:t>C5-640</w:t>
        </w:r>
      </w:hyperlink>
    </w:p>
    <w:sectPr w:rsidR="00A4163C" w:rsidRPr="00207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3C"/>
    <w:rsid w:val="002072DD"/>
    <w:rsid w:val="005871C5"/>
    <w:rsid w:val="006D1E44"/>
    <w:rsid w:val="00720FCC"/>
    <w:rsid w:val="00A2657C"/>
    <w:rsid w:val="00A4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7EF8E-68F6-4D96-9396-EBB12D68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163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4163C"/>
  </w:style>
  <w:style w:type="character" w:styleId="Hyperlink">
    <w:name w:val="Hyperlink"/>
    <w:basedOn w:val="DefaultParagraphFont"/>
    <w:uiPriority w:val="99"/>
    <w:unhideWhenUsed/>
    <w:rsid w:val="00A416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F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w.lis.virginia.gov/admincode/title12/agency5/chapter6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degen</dc:creator>
  <cp:lastModifiedBy>Degen, Marcia (VDH)</cp:lastModifiedBy>
  <cp:revision>5</cp:revision>
  <dcterms:created xsi:type="dcterms:W3CDTF">2016-01-11T19:43:00Z</dcterms:created>
  <dcterms:modified xsi:type="dcterms:W3CDTF">2019-12-19T20:16:00Z</dcterms:modified>
</cp:coreProperties>
</file>