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43" w:rsidRPr="00144B24" w:rsidRDefault="00E90643" w:rsidP="00E90643">
      <w:pPr>
        <w:widowControl/>
        <w:autoSpaceDE/>
        <w:autoSpaceDN/>
        <w:adjustRightInd/>
        <w:spacing w:after="200" w:line="276" w:lineRule="auto"/>
        <w:rPr>
          <w:rFonts w:ascii="Arial" w:hAnsi="Arial" w:cs="Arial"/>
        </w:rPr>
      </w:pPr>
      <w:bookmarkStart w:id="0" w:name="_GoBack"/>
      <w:bookmarkEnd w:id="0"/>
    </w:p>
    <w:tbl>
      <w:tblPr>
        <w:tblW w:w="0" w:type="auto"/>
        <w:jc w:val="center"/>
        <w:tblLayout w:type="fixed"/>
        <w:tblCellMar>
          <w:left w:w="0" w:type="dxa"/>
          <w:right w:w="0" w:type="dxa"/>
        </w:tblCellMar>
        <w:tblLook w:val="00A0" w:firstRow="1" w:lastRow="0" w:firstColumn="1" w:lastColumn="0" w:noHBand="0" w:noVBand="0"/>
      </w:tblPr>
      <w:tblGrid>
        <w:gridCol w:w="4796"/>
        <w:gridCol w:w="5040"/>
        <w:gridCol w:w="180"/>
      </w:tblGrid>
      <w:tr w:rsidR="00E90643" w:rsidRPr="00F73E12" w:rsidTr="00FD2870">
        <w:trPr>
          <w:jc w:val="center"/>
        </w:trPr>
        <w:tc>
          <w:tcPr>
            <w:tcW w:w="4796" w:type="dxa"/>
          </w:tcPr>
          <w:p w:rsidR="00E90643" w:rsidRPr="00F73E12" w:rsidRDefault="00E90643" w:rsidP="00FD2870">
            <w:pPr>
              <w:keepNext/>
              <w:keepLines/>
              <w:spacing w:before="120"/>
              <w:ind w:left="150" w:right="63"/>
              <w:rPr>
                <w:color w:val="000000"/>
              </w:rPr>
            </w:pPr>
          </w:p>
        </w:tc>
        <w:tc>
          <w:tcPr>
            <w:tcW w:w="5040" w:type="dxa"/>
            <w:tcBorders>
              <w:top w:val="single" w:sz="18" w:space="0" w:color="auto"/>
              <w:bottom w:val="single" w:sz="18" w:space="0" w:color="auto"/>
            </w:tcBorders>
          </w:tcPr>
          <w:p w:rsidR="00E90643" w:rsidRPr="00F73E12" w:rsidRDefault="00E90643" w:rsidP="00FD2870">
            <w:pPr>
              <w:keepNext/>
              <w:keepLines/>
              <w:tabs>
                <w:tab w:val="left" w:pos="22360"/>
              </w:tabs>
              <w:ind w:left="150"/>
              <w:jc w:val="center"/>
              <w:rPr>
                <w:color w:val="000000"/>
              </w:rPr>
            </w:pPr>
          </w:p>
          <w:p w:rsidR="00E90643" w:rsidRPr="00F73E12" w:rsidRDefault="00E90643" w:rsidP="00FD2870">
            <w:pPr>
              <w:keepNext/>
              <w:keepLines/>
              <w:tabs>
                <w:tab w:val="left" w:pos="29657"/>
              </w:tabs>
              <w:ind w:left="150"/>
              <w:jc w:val="center"/>
              <w:rPr>
                <w:rFonts w:ascii="Arial" w:hAnsi="Arial" w:cs="Arial"/>
                <w:color w:val="000000"/>
                <w:sz w:val="20"/>
                <w:szCs w:val="20"/>
              </w:rPr>
            </w:pPr>
            <w:r w:rsidRPr="00F73E12">
              <w:rPr>
                <w:rFonts w:ascii="Arial" w:hAnsi="Arial" w:cs="Arial"/>
                <w:color w:val="000000"/>
                <w:sz w:val="20"/>
                <w:szCs w:val="20"/>
              </w:rPr>
              <w:t>&lt;</w:t>
            </w:r>
            <w:proofErr w:type="spellStart"/>
            <w:r w:rsidRPr="00F73E12">
              <w:rPr>
                <w:rFonts w:ascii="Arial" w:hAnsi="Arial" w:cs="Arial"/>
                <w:color w:val="000000"/>
                <w:sz w:val="20"/>
                <w:szCs w:val="20"/>
              </w:rPr>
              <w:t>OfficeName</w:t>
            </w:r>
            <w:proofErr w:type="spellEnd"/>
            <w:r w:rsidRPr="00F73E12">
              <w:rPr>
                <w:rFonts w:ascii="Arial" w:hAnsi="Arial" w:cs="Arial"/>
                <w:color w:val="000000"/>
                <w:sz w:val="20"/>
                <w:szCs w:val="20"/>
              </w:rPr>
              <w:t>&gt;</w:t>
            </w:r>
          </w:p>
          <w:p w:rsidR="00E90643" w:rsidRPr="00F73E12" w:rsidRDefault="00E90643" w:rsidP="00FD2870">
            <w:pPr>
              <w:keepNext/>
              <w:keepLines/>
              <w:tabs>
                <w:tab w:val="left" w:pos="29654"/>
              </w:tabs>
              <w:ind w:left="150"/>
              <w:jc w:val="center"/>
              <w:rPr>
                <w:rFonts w:ascii="Arial" w:hAnsi="Arial" w:cs="Arial"/>
                <w:color w:val="000000"/>
                <w:sz w:val="18"/>
                <w:szCs w:val="18"/>
              </w:rPr>
            </w:pPr>
            <w:r w:rsidRPr="00F73E12">
              <w:rPr>
                <w:rFonts w:ascii="Arial" w:hAnsi="Arial" w:cs="Arial"/>
                <w:color w:val="000000"/>
                <w:sz w:val="18"/>
                <w:szCs w:val="18"/>
              </w:rPr>
              <w:t>&lt;</w:t>
            </w:r>
            <w:proofErr w:type="spellStart"/>
            <w:r w:rsidRPr="00F73E12">
              <w:rPr>
                <w:rFonts w:ascii="Arial" w:hAnsi="Arial" w:cs="Arial"/>
                <w:color w:val="000000"/>
                <w:sz w:val="18"/>
                <w:szCs w:val="18"/>
              </w:rPr>
              <w:t>OfficeAddress</w:t>
            </w:r>
            <w:proofErr w:type="spellEnd"/>
            <w:r w:rsidRPr="00F73E12">
              <w:rPr>
                <w:rFonts w:ascii="Arial" w:hAnsi="Arial" w:cs="Arial"/>
                <w:color w:val="000000"/>
                <w:sz w:val="18"/>
                <w:szCs w:val="18"/>
              </w:rPr>
              <w:t>&gt;</w:t>
            </w:r>
          </w:p>
          <w:p w:rsidR="00E90643" w:rsidRPr="00F73E12" w:rsidRDefault="00E90643" w:rsidP="00FD2870">
            <w:pPr>
              <w:keepNext/>
              <w:keepLines/>
              <w:tabs>
                <w:tab w:val="left" w:pos="22360"/>
              </w:tabs>
              <w:ind w:left="150"/>
              <w:jc w:val="center"/>
              <w:rPr>
                <w:rFonts w:ascii="Arial" w:hAnsi="Arial" w:cs="Arial"/>
                <w:color w:val="000000"/>
                <w:sz w:val="18"/>
                <w:szCs w:val="18"/>
              </w:rPr>
            </w:pPr>
            <w:r w:rsidRPr="00F73E12">
              <w:rPr>
                <w:rFonts w:ascii="Arial" w:hAnsi="Arial" w:cs="Arial"/>
                <w:color w:val="000000"/>
                <w:sz w:val="18"/>
                <w:szCs w:val="18"/>
              </w:rPr>
              <w:t>&lt;</w:t>
            </w:r>
            <w:proofErr w:type="spellStart"/>
            <w:r w:rsidRPr="00F73E12">
              <w:rPr>
                <w:rFonts w:ascii="Arial" w:hAnsi="Arial" w:cs="Arial"/>
                <w:color w:val="000000"/>
                <w:sz w:val="18"/>
                <w:szCs w:val="18"/>
              </w:rPr>
              <w:t>OfficeCity</w:t>
            </w:r>
            <w:proofErr w:type="spellEnd"/>
            <w:r w:rsidRPr="00F73E12">
              <w:rPr>
                <w:rFonts w:ascii="Arial" w:hAnsi="Arial" w:cs="Arial"/>
                <w:color w:val="000000"/>
                <w:sz w:val="18"/>
                <w:szCs w:val="18"/>
              </w:rPr>
              <w:t>&gt;,  &lt;</w:t>
            </w:r>
            <w:proofErr w:type="spellStart"/>
            <w:r w:rsidRPr="00F73E12">
              <w:rPr>
                <w:rFonts w:ascii="Arial" w:hAnsi="Arial" w:cs="Arial"/>
                <w:color w:val="000000"/>
                <w:sz w:val="18"/>
                <w:szCs w:val="18"/>
              </w:rPr>
              <w:t>OfficeProvince</w:t>
            </w:r>
            <w:proofErr w:type="spellEnd"/>
            <w:r w:rsidRPr="00F73E12">
              <w:rPr>
                <w:rFonts w:ascii="Arial" w:hAnsi="Arial" w:cs="Arial"/>
                <w:color w:val="000000"/>
                <w:sz w:val="18"/>
                <w:szCs w:val="18"/>
              </w:rPr>
              <w:t>&gt;  &lt;</w:t>
            </w:r>
            <w:proofErr w:type="spellStart"/>
            <w:r w:rsidRPr="00F73E12">
              <w:rPr>
                <w:rFonts w:ascii="Arial" w:hAnsi="Arial" w:cs="Arial"/>
                <w:color w:val="000000"/>
                <w:sz w:val="18"/>
                <w:szCs w:val="18"/>
              </w:rPr>
              <w:t>OfficePostalCode</w:t>
            </w:r>
            <w:proofErr w:type="spellEnd"/>
            <w:r w:rsidRPr="00F73E12">
              <w:rPr>
                <w:rFonts w:ascii="Arial" w:hAnsi="Arial" w:cs="Arial"/>
                <w:color w:val="000000"/>
                <w:sz w:val="18"/>
                <w:szCs w:val="18"/>
              </w:rPr>
              <w:t>&gt;</w:t>
            </w:r>
          </w:p>
          <w:p w:rsidR="00E90643" w:rsidRPr="00F73E12" w:rsidRDefault="00E90643" w:rsidP="00FD2870">
            <w:pPr>
              <w:keepNext/>
              <w:keepLines/>
              <w:tabs>
                <w:tab w:val="left" w:pos="22360"/>
              </w:tabs>
              <w:ind w:left="150"/>
              <w:jc w:val="center"/>
              <w:rPr>
                <w:rFonts w:ascii="Arial" w:hAnsi="Arial" w:cs="Arial"/>
                <w:color w:val="000000"/>
                <w:sz w:val="18"/>
                <w:szCs w:val="18"/>
              </w:rPr>
            </w:pPr>
            <w:r w:rsidRPr="00F73E12">
              <w:rPr>
                <w:rFonts w:ascii="Arial" w:hAnsi="Arial" w:cs="Arial"/>
                <w:color w:val="000000"/>
                <w:sz w:val="18"/>
                <w:szCs w:val="18"/>
              </w:rPr>
              <w:t>&lt;</w:t>
            </w:r>
            <w:proofErr w:type="spellStart"/>
            <w:r w:rsidRPr="00F73E12">
              <w:rPr>
                <w:rFonts w:ascii="Arial" w:hAnsi="Arial" w:cs="Arial"/>
                <w:color w:val="000000"/>
                <w:sz w:val="18"/>
                <w:szCs w:val="18"/>
              </w:rPr>
              <w:t>OfficePhone</w:t>
            </w:r>
            <w:proofErr w:type="spellEnd"/>
            <w:r w:rsidRPr="00F73E12">
              <w:rPr>
                <w:rFonts w:ascii="Arial" w:hAnsi="Arial" w:cs="Arial"/>
                <w:color w:val="000000"/>
                <w:sz w:val="18"/>
                <w:szCs w:val="18"/>
              </w:rPr>
              <w:t>&gt; Voice</w:t>
            </w:r>
          </w:p>
          <w:p w:rsidR="00E90643" w:rsidRPr="00F73E12" w:rsidRDefault="00E90643" w:rsidP="00FD2870">
            <w:pPr>
              <w:keepNext/>
              <w:keepLines/>
              <w:tabs>
                <w:tab w:val="left" w:pos="22360"/>
              </w:tabs>
              <w:ind w:left="150"/>
              <w:jc w:val="center"/>
              <w:rPr>
                <w:rFonts w:ascii="Arial" w:hAnsi="Arial" w:cs="Arial"/>
                <w:color w:val="000000"/>
                <w:sz w:val="18"/>
                <w:szCs w:val="18"/>
              </w:rPr>
            </w:pPr>
            <w:r w:rsidRPr="00F73E12">
              <w:rPr>
                <w:rFonts w:ascii="Arial" w:hAnsi="Arial" w:cs="Arial"/>
                <w:color w:val="000000"/>
                <w:sz w:val="18"/>
                <w:szCs w:val="18"/>
              </w:rPr>
              <w:t>&lt;</w:t>
            </w:r>
            <w:proofErr w:type="spellStart"/>
            <w:r w:rsidRPr="00F73E12">
              <w:rPr>
                <w:rFonts w:ascii="Arial" w:hAnsi="Arial" w:cs="Arial"/>
                <w:color w:val="000000"/>
                <w:sz w:val="18"/>
                <w:szCs w:val="18"/>
              </w:rPr>
              <w:t>OfficeFax</w:t>
            </w:r>
            <w:proofErr w:type="spellEnd"/>
            <w:r w:rsidRPr="00F73E12">
              <w:rPr>
                <w:rFonts w:ascii="Arial" w:hAnsi="Arial" w:cs="Arial"/>
                <w:color w:val="000000"/>
                <w:sz w:val="18"/>
                <w:szCs w:val="18"/>
              </w:rPr>
              <w:t>&gt; Fax</w:t>
            </w:r>
          </w:p>
        </w:tc>
        <w:tc>
          <w:tcPr>
            <w:tcW w:w="180" w:type="dxa"/>
          </w:tcPr>
          <w:p w:rsidR="00E90643" w:rsidRPr="00F73E12" w:rsidRDefault="00E90643" w:rsidP="00FD2870">
            <w:pPr>
              <w:keepNext/>
              <w:keepLines/>
              <w:rPr>
                <w:rFonts w:ascii="Arial" w:hAnsi="Arial" w:cs="Arial"/>
                <w:color w:val="000000"/>
                <w:sz w:val="18"/>
                <w:szCs w:val="18"/>
              </w:rPr>
            </w:pPr>
          </w:p>
        </w:tc>
      </w:tr>
    </w:tbl>
    <w:p w:rsidR="00E90643" w:rsidRPr="00F73E12" w:rsidRDefault="00E90643" w:rsidP="00E90643">
      <w:pPr>
        <w:spacing w:before="120"/>
        <w:jc w:val="center"/>
        <w:rPr>
          <w:rFonts w:ascii="Arial" w:hAnsi="Arial" w:cs="Arial"/>
          <w:color w:val="000000"/>
          <w:sz w:val="18"/>
          <w:szCs w:val="18"/>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jc w:val="center"/>
        <w:rPr>
          <w:color w:val="000000"/>
        </w:rPr>
      </w:pPr>
      <w:r w:rsidRPr="00F73E12">
        <w:rPr>
          <w:color w:val="000000"/>
        </w:rPr>
        <w:t>&lt;</w:t>
      </w:r>
      <w:r w:rsidRPr="00F73E12" w:rsidDel="00BB7D05">
        <w:rPr>
          <w:color w:val="000000"/>
        </w:rPr>
        <w:t xml:space="preserve"> </w:t>
      </w:r>
      <w:r>
        <w:rPr>
          <w:color w:val="000000"/>
        </w:rPr>
        <w:t>Date</w:t>
      </w:r>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jc w:val="center"/>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&lt;</w:t>
      </w:r>
      <w:proofErr w:type="spellStart"/>
      <w:r w:rsidRPr="00F73E12">
        <w:rPr>
          <w:color w:val="000000"/>
        </w:rPr>
        <w:t>OwnerName</w:t>
      </w:r>
      <w:proofErr w:type="spellEnd"/>
      <w:r w:rsidRPr="00F73E12">
        <w:rPr>
          <w:color w:val="000000"/>
        </w:rPr>
        <w:t>&gt;</w:t>
      </w:r>
    </w:p>
    <w:p w:rsidR="00E90643" w:rsidRPr="00F73E12" w:rsidRDefault="00E90643" w:rsidP="00E90643">
      <w:pPr>
        <w:rPr>
          <w:color w:val="000000"/>
        </w:rPr>
      </w:pPr>
      <w:r w:rsidRPr="00F73E12">
        <w:rPr>
          <w:color w:val="000000"/>
        </w:rPr>
        <w:t>&lt;</w:t>
      </w:r>
      <w:proofErr w:type="spellStart"/>
      <w:r w:rsidRPr="00F73E12">
        <w:rPr>
          <w:color w:val="000000"/>
        </w:rPr>
        <w:t>OwnerMailingAddress</w:t>
      </w:r>
      <w:proofErr w:type="spellEnd"/>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&lt;</w:t>
      </w:r>
      <w:proofErr w:type="spellStart"/>
      <w:r w:rsidRPr="00F73E12">
        <w:rPr>
          <w:color w:val="000000"/>
        </w:rPr>
        <w:t>OwnerMailingCity</w:t>
      </w:r>
      <w:proofErr w:type="spellEnd"/>
      <w:r w:rsidRPr="00F73E12">
        <w:rPr>
          <w:color w:val="000000"/>
        </w:rPr>
        <w:t>&gt;, &lt;</w:t>
      </w:r>
      <w:proofErr w:type="spellStart"/>
      <w:r w:rsidRPr="00F73E12">
        <w:rPr>
          <w:color w:val="000000"/>
        </w:rPr>
        <w:t>OwnerMailingProvince</w:t>
      </w:r>
      <w:proofErr w:type="spellEnd"/>
      <w:r w:rsidRPr="00F73E12">
        <w:rPr>
          <w:color w:val="000000"/>
        </w:rPr>
        <w:t>&gt; &lt;</w:t>
      </w:r>
      <w:proofErr w:type="spellStart"/>
      <w:r w:rsidRPr="00F73E12">
        <w:rPr>
          <w:color w:val="000000"/>
        </w:rPr>
        <w:t>OwnerMailingPostalCode</w:t>
      </w:r>
      <w:proofErr w:type="spellEnd"/>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rPr>
          <w:b/>
          <w:bCs/>
          <w:color w:val="000000"/>
        </w:rPr>
      </w:pPr>
      <w:r w:rsidRPr="00F73E12">
        <w:rPr>
          <w:color w:val="000000"/>
        </w:rPr>
        <w:t xml:space="preserve">Subject:  </w:t>
      </w:r>
      <w:r w:rsidRPr="00F73E12">
        <w:rPr>
          <w:b/>
          <w:bCs/>
          <w:i/>
          <w:iCs/>
          <w:color w:val="000000"/>
        </w:rPr>
        <w:t>Alternative Discharging Sewage Treatment System</w:t>
      </w:r>
      <w:r>
        <w:rPr>
          <w:b/>
          <w:bCs/>
          <w:i/>
          <w:iCs/>
          <w:color w:val="000000"/>
        </w:rPr>
        <w:t xml:space="preserve"> </w:t>
      </w:r>
      <w:r w:rsidRPr="00F73E12">
        <w:rPr>
          <w:b/>
          <w:bCs/>
          <w:color w:val="000000"/>
        </w:rPr>
        <w:t>Startup Testing</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 xml:space="preserve">               Health Department ID Number:  &lt;</w:t>
      </w:r>
      <w:proofErr w:type="spellStart"/>
      <w:r w:rsidRPr="00F73E12">
        <w:rPr>
          <w:color w:val="000000"/>
        </w:rPr>
        <w:t>HDeptId</w:t>
      </w:r>
      <w:proofErr w:type="spellEnd"/>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b/>
          <w:bCs/>
          <w:color w:val="000000"/>
        </w:rPr>
      </w:pPr>
      <w:r w:rsidRPr="00F73E12">
        <w:rPr>
          <w:color w:val="000000"/>
        </w:rPr>
        <w:tab/>
      </w:r>
      <w:r w:rsidRPr="00F73E12">
        <w:rPr>
          <w:b/>
          <w:bCs/>
          <w:color w:val="000000"/>
        </w:rPr>
        <w:t xml:space="preserve">   Approval Status:  Generally Approved or Non-Generally Approved</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 xml:space="preserve">               Tax Map Number:  &lt;</w:t>
      </w:r>
      <w:proofErr w:type="spellStart"/>
      <w:r w:rsidRPr="00F73E12">
        <w:rPr>
          <w:color w:val="000000"/>
        </w:rPr>
        <w:t>LegalDescriptionTaxID</w:t>
      </w:r>
      <w:proofErr w:type="spellEnd"/>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ab/>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ab/>
      </w:r>
      <w:r w:rsidRPr="00F73E12">
        <w:rPr>
          <w:color w:val="000000"/>
        </w:rPr>
        <w:tab/>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Dear &lt;</w:t>
      </w:r>
      <w:proofErr w:type="spellStart"/>
      <w:r w:rsidRPr="00F73E12">
        <w:rPr>
          <w:color w:val="000000"/>
        </w:rPr>
        <w:t>OwnerContactFirst</w:t>
      </w:r>
      <w:proofErr w:type="spellEnd"/>
      <w:proofErr w:type="gramStart"/>
      <w:r w:rsidRPr="00F73E12">
        <w:rPr>
          <w:color w:val="000000"/>
        </w:rPr>
        <w:t>&gt;  &lt;</w:t>
      </w:r>
      <w:proofErr w:type="gramEnd"/>
      <w:r w:rsidRPr="00F73E12">
        <w:rPr>
          <w:color w:val="000000"/>
        </w:rPr>
        <w:t>?#</w:t>
      </w:r>
      <w:proofErr w:type="spellStart"/>
      <w:r w:rsidRPr="00F73E12">
        <w:rPr>
          <w:color w:val="000000"/>
        </w:rPr>
        <w:t>OwnerContactLast?OwnerName?OwnerContactLast</w:t>
      </w:r>
      <w:proofErr w:type="spellEnd"/>
      <w:r w:rsidRPr="00F73E12">
        <w:rPr>
          <w:color w:val="000000"/>
        </w:rPr>
        <w:t>&gt;: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ab/>
        <w:t>This is a reminder of the required startup testing for your Alternative Discharging Sewage Treatment System (Discharging System) located at &lt;</w:t>
      </w:r>
      <w:proofErr w:type="spellStart"/>
      <w:r w:rsidRPr="00F73E12">
        <w:rPr>
          <w:color w:val="000000"/>
        </w:rPr>
        <w:t>FacilityLocationAddress</w:t>
      </w:r>
      <w:proofErr w:type="spellEnd"/>
      <w:r w:rsidRPr="00F73E12">
        <w:rPr>
          <w:color w:val="000000"/>
        </w:rPr>
        <w:t>&gt;</w:t>
      </w:r>
      <w:r w:rsidRPr="00F73E12">
        <w:rPr>
          <w:rFonts w:ascii="Times New Roman TUR" w:hAnsi="Times New Roman TUR" w:cs="Times New Roman TUR"/>
          <w:b/>
          <w:bCs/>
          <w:color w:val="000000"/>
          <w:sz w:val="28"/>
          <w:szCs w:val="28"/>
        </w:rPr>
        <w:t xml:space="preserve"> </w:t>
      </w:r>
      <w:r w:rsidRPr="00F73E12">
        <w:rPr>
          <w:color w:val="000000"/>
        </w:rPr>
        <w:t>&lt;</w:t>
      </w:r>
      <w:proofErr w:type="spellStart"/>
      <w:r w:rsidRPr="00F73E12">
        <w:rPr>
          <w:color w:val="000000"/>
        </w:rPr>
        <w:t>PhysicalCity</w:t>
      </w:r>
      <w:proofErr w:type="spellEnd"/>
      <w:r w:rsidRPr="00F73E12">
        <w:rPr>
          <w:color w:val="000000"/>
        </w:rPr>
        <w:t>&gt;, &lt;</w:t>
      </w:r>
      <w:proofErr w:type="spellStart"/>
      <w:r w:rsidRPr="00F73E12">
        <w:rPr>
          <w:color w:val="000000"/>
        </w:rPr>
        <w:t>PhysicalProvince</w:t>
      </w:r>
      <w:proofErr w:type="spellEnd"/>
      <w:r w:rsidRPr="00F73E12">
        <w:rPr>
          <w:color w:val="000000"/>
        </w:rPr>
        <w:t>&gt;  &lt;</w:t>
      </w:r>
      <w:proofErr w:type="spellStart"/>
      <w:r w:rsidRPr="00F73E12">
        <w:rPr>
          <w:color w:val="000000"/>
        </w:rPr>
        <w:t>PhysicalPostalCode</w:t>
      </w:r>
      <w:proofErr w:type="spellEnd"/>
      <w:r w:rsidRPr="00F73E12">
        <w:rPr>
          <w:color w:val="000000"/>
        </w:rPr>
        <w:t>&gt;.</w:t>
      </w:r>
      <w:r w:rsidRPr="00F73E12">
        <w:rPr>
          <w:b/>
          <w:bCs/>
          <w:i/>
          <w:iCs/>
          <w:color w:val="000000"/>
        </w:rPr>
        <w:t xml:space="preserve"> </w:t>
      </w:r>
      <w:r w:rsidRPr="00F73E12">
        <w:rPr>
          <w:color w:val="000000"/>
        </w:rPr>
        <w:t xml:space="preserve">The Owner is responsible </w:t>
      </w:r>
      <w:proofErr w:type="gramStart"/>
      <w:r w:rsidRPr="00F73E12">
        <w:rPr>
          <w:color w:val="000000"/>
        </w:rPr>
        <w:t xml:space="preserve">for  </w:t>
      </w:r>
      <w:r>
        <w:rPr>
          <w:color w:val="000000"/>
        </w:rPr>
        <w:t>assuring</w:t>
      </w:r>
      <w:proofErr w:type="gramEnd"/>
      <w:r>
        <w:rPr>
          <w:color w:val="000000"/>
        </w:rPr>
        <w:t xml:space="preserve"> </w:t>
      </w:r>
      <w:r w:rsidRPr="00F73E12">
        <w:rPr>
          <w:color w:val="000000"/>
        </w:rPr>
        <w:t xml:space="preserve">the Discharging System </w:t>
      </w:r>
      <w:r>
        <w:rPr>
          <w:color w:val="000000"/>
        </w:rPr>
        <w:t xml:space="preserve">is </w:t>
      </w:r>
      <w:r w:rsidRPr="00F73E12">
        <w:rPr>
          <w:color w:val="000000"/>
        </w:rPr>
        <w:t xml:space="preserve">operated and maintained by an Operator. The Owner is also responsible for having an Operator visit the Discharging System at the frequency required and </w:t>
      </w:r>
      <w:r>
        <w:rPr>
          <w:color w:val="000000"/>
        </w:rPr>
        <w:t xml:space="preserve">providing </w:t>
      </w:r>
      <w:r w:rsidRPr="00F73E12">
        <w:rPr>
          <w:color w:val="000000"/>
        </w:rPr>
        <w:t>an Operator</w:t>
      </w:r>
      <w:r>
        <w:rPr>
          <w:color w:val="000000"/>
        </w:rPr>
        <w:t xml:space="preserve"> to</w:t>
      </w:r>
      <w:r w:rsidRPr="00F73E12">
        <w:rPr>
          <w:color w:val="000000"/>
        </w:rPr>
        <w:t xml:space="preserve"> collect any samples required. </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ab/>
        <w:t>All new discharging systems shall undergo formal startup compliance testing for parameters limited by the General Permit. The collection, storage, transportation, and analysis of all formal compliance samples shall be in accordance with the requirements of the General Permit.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spacing w:after="120"/>
        <w:ind w:left="360" w:hanging="360"/>
        <w:rPr>
          <w:color w:val="000000"/>
        </w:rPr>
      </w:pPr>
      <w:r w:rsidRPr="00F73E12">
        <w:rPr>
          <w:b/>
          <w:bCs/>
          <w:color w:val="000000"/>
        </w:rPr>
        <w:t>12VAC5-640-490.C.2.a</w:t>
      </w:r>
      <w:r w:rsidRPr="00F73E12">
        <w:rPr>
          <w:color w:val="000000"/>
        </w:rPr>
        <w:t xml:space="preserve">. states that, "For generally approved systems, the first formal compliance testing event shall occur 45 to 90 days after the system begins discharging.  If the formal compliance test data indicate the system is in compliance with the General Permit, the </w:t>
      </w:r>
      <w:proofErr w:type="spellStart"/>
      <w:r w:rsidRPr="00F73E12">
        <w:rPr>
          <w:color w:val="000000"/>
        </w:rPr>
        <w:t>the</w:t>
      </w:r>
      <w:proofErr w:type="spellEnd"/>
      <w:r w:rsidRPr="00F73E12">
        <w:rPr>
          <w:color w:val="000000"/>
        </w:rPr>
        <w:t xml:space="preserve"> system will revert to annual formal compliance sampling in accordance with the General Permit.  The initial sample may be used to comply with the first annual sampling requirement.  If the testing data indicates that any parameter is out of compliance, subsection E of this section shall apply."</w:t>
      </w:r>
    </w:p>
    <w:p w:rsidR="00E90643" w:rsidRPr="00F73E12" w:rsidRDefault="00E90643" w:rsidP="00E90643">
      <w:pPr>
        <w:tabs>
          <w:tab w:val="left" w:pos="-720"/>
          <w:tab w:val="left" w:pos="0"/>
          <w:tab w:val="left" w:pos="720"/>
          <w:tab w:val="left" w:pos="1440"/>
          <w:tab w:val="left" w:pos="2160"/>
          <w:tab w:val="left" w:pos="2880"/>
          <w:tab w:val="left" w:pos="3600"/>
          <w:tab w:val="left" w:pos="4320"/>
        </w:tabs>
        <w:spacing w:after="120"/>
        <w:ind w:left="360" w:hanging="360"/>
        <w:rPr>
          <w:color w:val="000000"/>
        </w:rPr>
      </w:pPr>
      <w:r w:rsidRPr="00F73E12">
        <w:rPr>
          <w:b/>
          <w:bCs/>
          <w:color w:val="000000"/>
        </w:rPr>
        <w:t>12VAC5-640-490.C.2.</w:t>
      </w:r>
      <w:r w:rsidRPr="00F73E12">
        <w:rPr>
          <w:color w:val="000000"/>
        </w:rPr>
        <w:t>b. states that, "For non</w:t>
      </w:r>
      <w:r>
        <w:rPr>
          <w:color w:val="000000"/>
        </w:rPr>
        <w:t>-</w:t>
      </w:r>
      <w:r w:rsidRPr="00F73E12">
        <w:rPr>
          <w:color w:val="000000"/>
        </w:rPr>
        <w:t>generally approved systems, the first formal compliance testing event shall occur 45 to 90 days after the system begins discharging. Three additional formal compliance testing events are to occur quarterly and at least 60 days apart. If the four startup compliance test data indicate the system is in compliance with the General Permit, then the system will revert to annual formal compliance sampling in accordance with the General Permit. If the testing data indicates that any parameter is out of compliance, subsection E of this section shall apply."</w:t>
      </w:r>
    </w:p>
    <w:p w:rsidR="00E90643" w:rsidRPr="00F73E12" w:rsidRDefault="00E90643" w:rsidP="00E90643">
      <w:pPr>
        <w:tabs>
          <w:tab w:val="left" w:pos="-720"/>
          <w:tab w:val="left" w:pos="0"/>
          <w:tab w:val="left" w:pos="720"/>
          <w:tab w:val="left" w:pos="1440"/>
          <w:tab w:val="left" w:pos="2160"/>
          <w:tab w:val="left" w:pos="2880"/>
          <w:tab w:val="left" w:pos="3600"/>
          <w:tab w:val="left" w:pos="4320"/>
        </w:tabs>
        <w:spacing w:after="120"/>
        <w:ind w:left="360" w:hanging="360"/>
        <w:rPr>
          <w:color w:val="000000"/>
        </w:rPr>
      </w:pPr>
      <w:r w:rsidRPr="00F73E12">
        <w:rPr>
          <w:b/>
          <w:bCs/>
          <w:color w:val="000000"/>
        </w:rPr>
        <w:lastRenderedPageBreak/>
        <w:t>12VAC5-640-490.C.3</w:t>
      </w:r>
      <w:r w:rsidRPr="00F73E12">
        <w:rPr>
          <w:color w:val="000000"/>
        </w:rPr>
        <w:t>. states that, "Informal (process control) testing shall be conducted monthly for at least six consecutive months beginning the second full month after the issuance of the operation permit. After successful startup of the treatment system, informal testing shall be conducted semiannually at a minimum and any time formal compliance testing is conducted. Informal testing shall be in accordance with the approved operation and maintenance manual, which shall include at a minimum the tests listed in Table 3.3. The specific test, sample location, and frequency shall be itemized in the operation and maintenance manual for the treatment system."</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rPr>
          <w:rFonts w:ascii="Tms Rmn" w:hAnsi="Tms Rmn" w:cs="Tms Rmn"/>
          <w:color w:val="000000"/>
        </w:rPr>
      </w:pPr>
      <w:r w:rsidRPr="00F73E12">
        <w:rPr>
          <w:b/>
          <w:bCs/>
          <w:color w:val="000000"/>
        </w:rPr>
        <w:t>12VAC5-640-490.E.</w:t>
      </w:r>
      <w:r w:rsidRPr="00F73E12">
        <w:rPr>
          <w:color w:val="000000"/>
        </w:rPr>
        <w:t xml:space="preserve"> The department may require additional formal compliance testing or informal testing, or both, as necessary to protect public health and the environment. Additional testing shall be based on observed problems and shall not be implemented routinely on all discharging systems.</w:t>
      </w:r>
      <w:r w:rsidRPr="00F73E12">
        <w:rPr>
          <w:rFonts w:ascii="Tms Rmn" w:hAnsi="Tms Rmn" w:cs="Tms Rmn"/>
          <w:color w:val="000000"/>
        </w:rPr>
        <w:t xml:space="preserve"> </w:t>
      </w:r>
    </w:p>
    <w:p w:rsidR="00E90643" w:rsidRPr="00F73E12" w:rsidRDefault="00E90643" w:rsidP="00E90643">
      <w:pPr>
        <w:rPr>
          <w:rFonts w:ascii="Tms Rmn" w:hAnsi="Tms Rmn" w:cs="Tms Rmn"/>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ind w:left="720"/>
        <w:rPr>
          <w:color w:val="000000"/>
        </w:rPr>
      </w:pPr>
      <w:r w:rsidRPr="00F73E12">
        <w:rPr>
          <w:color w:val="000000"/>
        </w:rPr>
        <w:t>1. Anytime a discharging system is found to be out of compliance with the effluent limitations of the General Permit, follow-up formal compliance testing shall be repeated between 45 and 90 days after the original samples were collected and the results reported to the local health department. Prior to re</w:t>
      </w:r>
      <w:r>
        <w:rPr>
          <w:color w:val="000000"/>
        </w:rPr>
        <w:t>-</w:t>
      </w:r>
      <w:r w:rsidRPr="00F73E12">
        <w:rPr>
          <w:color w:val="000000"/>
        </w:rPr>
        <w:t>sampling, the operator should attempt to determine the reason for the noncompliance and take corrective actions.</w:t>
      </w:r>
    </w:p>
    <w:p w:rsidR="00E90643" w:rsidRPr="00F73E12" w:rsidRDefault="00E90643" w:rsidP="00E90643">
      <w:pPr>
        <w:ind w:left="720"/>
        <w:rPr>
          <w:color w:val="000000"/>
        </w:rPr>
      </w:pPr>
      <w:r w:rsidRPr="00F73E12">
        <w:rPr>
          <w:color w:val="000000"/>
        </w:rPr>
        <w:t xml:space="preserve">2. Anytime an informal test reveals a potential problem, additional formal or informal testing may be conducted to review the effectiveness of any repairs or adjustments. </w:t>
      </w:r>
    </w:p>
    <w:p w:rsidR="00E90643" w:rsidRPr="00F73E12" w:rsidRDefault="00E90643" w:rsidP="00E90643">
      <w:pPr>
        <w:ind w:left="720"/>
        <w:rPr>
          <w:color w:val="000000"/>
        </w:rPr>
      </w:pPr>
      <w:r w:rsidRPr="00F73E12">
        <w:rPr>
          <w:color w:val="000000"/>
        </w:rPr>
        <w:t>3. Anytime the results of two consecutive formal compliance tests as specified in subdivision C 2 or D 1 of this section result in a violation of the effluent limitations of the General Permit, informal testing shall revert to monthly frequency until satisfactory results are obtained for six consecutive months. Nothing in this section shall preclude requiring the collection of samples for formal compliance testing as described in subdivisions C 2 and D 1 of this section to determine compliance with the effluent limitations set forth in the General Permit.</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 xml:space="preserve">A list of licensed operators can be obtained by </w:t>
      </w:r>
      <w:proofErr w:type="gramStart"/>
      <w:r w:rsidRPr="00F73E12">
        <w:rPr>
          <w:color w:val="000000"/>
        </w:rPr>
        <w:t xml:space="preserve">visiting  </w:t>
      </w:r>
      <w:proofErr w:type="gramEnd"/>
      <w:hyperlink r:id="rId7" w:history="1">
        <w:r w:rsidRPr="00F73E12">
          <w:rPr>
            <w:color w:val="0000FF"/>
          </w:rPr>
          <w:t>http://www.vdh.virginia.gov/EnvironmentalHealth/Onsite/ServiceProviders/</w:t>
        </w:r>
      </w:hyperlink>
      <w:r w:rsidRPr="00F73E12">
        <w:rPr>
          <w:color w:val="000000"/>
        </w:rPr>
        <w:t xml:space="preserve">.  </w:t>
      </w:r>
    </w:p>
    <w:p w:rsidR="00E90643" w:rsidRPr="00F73E12" w:rsidRDefault="00E90643" w:rsidP="00E90643">
      <w:pPr>
        <w:tabs>
          <w:tab w:val="left" w:pos="-720"/>
          <w:tab w:val="left" w:pos="0"/>
          <w:tab w:val="left" w:pos="720"/>
          <w:tab w:val="left" w:pos="1440"/>
          <w:tab w:val="left" w:pos="2160"/>
          <w:tab w:val="left" w:pos="2880"/>
          <w:tab w:val="left" w:pos="3600"/>
          <w:tab w:val="left" w:pos="4320"/>
        </w:tabs>
        <w:rPr>
          <w:color w:val="000000"/>
        </w:rPr>
      </w:pPr>
      <w:r w:rsidRPr="00F73E12">
        <w:rPr>
          <w:color w:val="000000"/>
        </w:rPr>
        <w:t>Please contact the &lt;</w:t>
      </w:r>
      <w:proofErr w:type="spellStart"/>
      <w:r w:rsidRPr="00F73E12">
        <w:rPr>
          <w:color w:val="000000"/>
        </w:rPr>
        <w:t>OfficeName</w:t>
      </w:r>
      <w:proofErr w:type="spellEnd"/>
      <w:r w:rsidRPr="00F73E12">
        <w:rPr>
          <w:color w:val="000000"/>
        </w:rPr>
        <w:t>&gt; at &lt;</w:t>
      </w:r>
      <w:proofErr w:type="spellStart"/>
      <w:r w:rsidRPr="00F73E12">
        <w:rPr>
          <w:color w:val="000000"/>
        </w:rPr>
        <w:t>OfficePhone</w:t>
      </w:r>
      <w:proofErr w:type="spellEnd"/>
      <w:r w:rsidRPr="00F73E12">
        <w:rPr>
          <w:color w:val="000000"/>
        </w:rPr>
        <w:t>&gt; if you have any questions regarding this letter or the approval status of your system.</w:t>
      </w:r>
      <w:r w:rsidRPr="00F73E12">
        <w:rPr>
          <w:b/>
          <w:bCs/>
          <w:color w:val="000000"/>
        </w:rPr>
        <w:t xml:space="preserve"> </w:t>
      </w:r>
      <w:r w:rsidRPr="00F73E12">
        <w:rPr>
          <w:color w:val="000000"/>
        </w:rPr>
        <w:t xml:space="preserve">Thank you for your anticipated actions to ensure your Discharging System is functioning properly and fully complies with the regulations that protect public health and the environment. </w:t>
      </w:r>
    </w:p>
    <w:p w:rsidR="00E90643" w:rsidRPr="00F73E12" w:rsidRDefault="00E90643" w:rsidP="00E90643">
      <w:pPr>
        <w:tabs>
          <w:tab w:val="left" w:pos="0"/>
          <w:tab w:val="left" w:pos="533"/>
          <w:tab w:val="left" w:pos="1253"/>
          <w:tab w:val="left" w:pos="1973"/>
          <w:tab w:val="left" w:pos="2693"/>
          <w:tab w:val="left" w:pos="3413"/>
          <w:tab w:val="left" w:pos="4133"/>
          <w:tab w:val="left" w:pos="4853"/>
        </w:tabs>
        <w:ind w:left="533"/>
        <w:rPr>
          <w:color w:val="000000"/>
        </w:rPr>
      </w:pPr>
    </w:p>
    <w:p w:rsidR="00E90643" w:rsidRPr="00F73E12" w:rsidRDefault="00E90643" w:rsidP="00E90643">
      <w:pPr>
        <w:tabs>
          <w:tab w:val="left" w:pos="0"/>
          <w:tab w:val="left" w:pos="533"/>
          <w:tab w:val="left" w:pos="4853"/>
          <w:tab w:val="left" w:pos="7733"/>
        </w:tabs>
        <w:ind w:left="533"/>
        <w:rPr>
          <w:color w:val="000000"/>
        </w:rPr>
      </w:pPr>
      <w:r w:rsidRPr="00F73E12">
        <w:rPr>
          <w:color w:val="000000"/>
        </w:rPr>
        <w:t>Sincerely,</w:t>
      </w:r>
    </w:p>
    <w:p w:rsidR="00E90643" w:rsidRPr="00F73E12" w:rsidRDefault="00E90643" w:rsidP="00E90643">
      <w:pPr>
        <w:tabs>
          <w:tab w:val="left" w:pos="0"/>
          <w:tab w:val="left" w:pos="533"/>
          <w:tab w:val="left" w:pos="1253"/>
          <w:tab w:val="left" w:pos="1973"/>
          <w:tab w:val="left" w:pos="2693"/>
          <w:tab w:val="left" w:pos="3413"/>
          <w:tab w:val="left" w:pos="4133"/>
          <w:tab w:val="left" w:pos="4853"/>
        </w:tabs>
        <w:ind w:left="533"/>
        <w:rPr>
          <w:color w:val="000000"/>
        </w:rPr>
      </w:pPr>
    </w:p>
    <w:p w:rsidR="00E90643" w:rsidRPr="00F73E12" w:rsidRDefault="00E90643" w:rsidP="00E90643">
      <w:pPr>
        <w:tabs>
          <w:tab w:val="left" w:pos="0"/>
          <w:tab w:val="left" w:pos="533"/>
          <w:tab w:val="left" w:pos="1253"/>
          <w:tab w:val="left" w:pos="1973"/>
          <w:tab w:val="left" w:pos="2693"/>
          <w:tab w:val="left" w:pos="3413"/>
          <w:tab w:val="left" w:pos="4133"/>
          <w:tab w:val="left" w:pos="4853"/>
        </w:tabs>
        <w:ind w:left="533"/>
        <w:rPr>
          <w:color w:val="000000"/>
        </w:rPr>
      </w:pPr>
    </w:p>
    <w:p w:rsidR="00E90643" w:rsidRPr="00F73E12" w:rsidRDefault="00E90643" w:rsidP="00E90643">
      <w:pPr>
        <w:tabs>
          <w:tab w:val="left" w:pos="0"/>
          <w:tab w:val="left" w:pos="533"/>
          <w:tab w:val="left" w:pos="4853"/>
        </w:tabs>
        <w:ind w:left="533"/>
        <w:rPr>
          <w:color w:val="000000"/>
        </w:rPr>
      </w:pPr>
      <w:r w:rsidRPr="00F73E12">
        <w:rPr>
          <w:color w:val="000000"/>
        </w:rPr>
        <w:t>&lt;EHO&gt;, &lt;</w:t>
      </w:r>
      <w:proofErr w:type="spellStart"/>
      <w:r w:rsidRPr="00F73E12">
        <w:rPr>
          <w:color w:val="000000"/>
        </w:rPr>
        <w:t>EHOPosition</w:t>
      </w:r>
      <w:proofErr w:type="spellEnd"/>
      <w:r w:rsidRPr="00F73E12">
        <w:rPr>
          <w:color w:val="000000"/>
        </w:rPr>
        <w:t>&gt;</w:t>
      </w:r>
    </w:p>
    <w:p w:rsidR="00E90643" w:rsidRPr="00F73E12" w:rsidRDefault="00E90643" w:rsidP="00E90643">
      <w:pPr>
        <w:rPr>
          <w:color w:val="000000"/>
        </w:rPr>
      </w:pPr>
    </w:p>
    <w:p w:rsidR="00E90643" w:rsidRDefault="00E90643" w:rsidP="00E90643">
      <w:pPr>
        <w:widowControl/>
        <w:autoSpaceDE/>
        <w:autoSpaceDN/>
        <w:adjustRightInd/>
        <w:spacing w:after="200" w:line="276" w:lineRule="auto"/>
        <w:rPr>
          <w:color w:val="000000"/>
        </w:rPr>
      </w:pPr>
      <w:r>
        <w:rPr>
          <w:color w:val="000000"/>
        </w:rPr>
        <w:br w:type="page"/>
      </w:r>
    </w:p>
    <w:p w:rsidR="00E90643" w:rsidRDefault="00E90643" w:rsidP="00E90643">
      <w:pPr>
        <w:rPr>
          <w:rFonts w:ascii="Arial" w:hAnsi="Arial" w:cs="Arial"/>
          <w:b/>
          <w:bCs/>
          <w:color w:val="000000"/>
        </w:rPr>
      </w:pPr>
      <w:r w:rsidRPr="00F73E12">
        <w:rPr>
          <w:color w:val="000000"/>
        </w:rPr>
        <w:lastRenderedPageBreak/>
        <w:t xml:space="preserve">Attachment:  </w:t>
      </w:r>
      <w:r w:rsidRPr="00F73E12">
        <w:rPr>
          <w:rFonts w:ascii="Arial" w:hAnsi="Arial" w:cs="Arial"/>
          <w:color w:val="000000"/>
        </w:rPr>
        <w:tab/>
        <w:t>Table 3.3 INFORMAL (PROCESS CONTROL) TESTING</w:t>
      </w:r>
      <w:r w:rsidRPr="00F73E12">
        <w:rPr>
          <w:i/>
          <w:iCs/>
          <w:color w:val="000000"/>
        </w:rPr>
        <w:t xml:space="preserve"> </w:t>
      </w:r>
      <w:r w:rsidRPr="00F73E12">
        <w:rPr>
          <w:rFonts w:ascii="Arial" w:hAnsi="Arial" w:cs="Arial"/>
          <w:b/>
          <w:bCs/>
          <w:color w:val="000000"/>
        </w:rPr>
        <w:t xml:space="preserve"> </w:t>
      </w:r>
    </w:p>
    <w:tbl>
      <w:tblPr>
        <w:tblW w:w="0" w:type="auto"/>
        <w:tblLayout w:type="fixed"/>
        <w:tblLook w:val="00A0" w:firstRow="1" w:lastRow="0" w:firstColumn="1" w:lastColumn="0" w:noHBand="0" w:noVBand="0"/>
      </w:tblPr>
      <w:tblGrid>
        <w:gridCol w:w="9508"/>
      </w:tblGrid>
      <w:tr w:rsidR="00E90643" w:rsidRPr="00F73E12" w:rsidTr="00FD2870">
        <w:trPr>
          <w:trHeight w:val="296"/>
        </w:trPr>
        <w:tc>
          <w:tcPr>
            <w:tcW w:w="9508" w:type="dxa"/>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rPr>
                <w:rFonts w:ascii="Arial" w:hAnsi="Arial" w:cs="Arial"/>
                <w:b/>
                <w:bCs/>
                <w:color w:val="000000"/>
              </w:rPr>
            </w:pPr>
          </w:p>
          <w:p w:rsidR="00E90643" w:rsidRPr="00F73E12" w:rsidRDefault="00E90643" w:rsidP="00FD2870">
            <w:pPr>
              <w:rPr>
                <w:rFonts w:ascii="Arial" w:hAnsi="Arial" w:cs="Arial"/>
                <w:i/>
                <w:iCs/>
                <w:color w:val="000000"/>
              </w:rPr>
            </w:pPr>
            <w:r w:rsidRPr="00F73E12">
              <w:rPr>
                <w:rFonts w:ascii="Arial" w:hAnsi="Arial" w:cs="Arial"/>
                <w:color w:val="000000"/>
              </w:rPr>
              <w:t>Table 3.3 INFORMAL (PROCESS CONTROL) TESTING</w:t>
            </w:r>
            <w:r w:rsidRPr="00F73E12">
              <w:rPr>
                <w:rFonts w:ascii="Arial" w:hAnsi="Arial" w:cs="Arial"/>
                <w:i/>
                <w:iCs/>
                <w:color w:val="000000"/>
              </w:rPr>
              <w:t xml:space="preserve"> </w:t>
            </w:r>
          </w:p>
        </w:tc>
      </w:tr>
    </w:tbl>
    <w:p w:rsidR="00E90643" w:rsidRPr="00F73E12" w:rsidRDefault="00E90643" w:rsidP="00E90643">
      <w:pPr>
        <w:rPr>
          <w:rFonts w:ascii="Arial" w:hAnsi="Arial" w:cs="Arial"/>
          <w:i/>
          <w:iCs/>
          <w:color w:val="000000"/>
        </w:rPr>
      </w:pPr>
    </w:p>
    <w:tbl>
      <w:tblPr>
        <w:tblW w:w="5000" w:type="pct"/>
        <w:tblLayout w:type="fixed"/>
        <w:tblLook w:val="00A0" w:firstRow="1" w:lastRow="0" w:firstColumn="1" w:lastColumn="0" w:noHBand="0" w:noVBand="0"/>
      </w:tblPr>
      <w:tblGrid>
        <w:gridCol w:w="4825"/>
        <w:gridCol w:w="4841"/>
      </w:tblGrid>
      <w:tr w:rsidR="00E90643" w:rsidRPr="00F73E12" w:rsidTr="00FD2870">
        <w:tc>
          <w:tcPr>
            <w:tcW w:w="2496"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81"/>
              <w:jc w:val="center"/>
              <w:rPr>
                <w:rFonts w:ascii="Arial" w:hAnsi="Arial" w:cs="Arial"/>
                <w:color w:val="000000"/>
              </w:rPr>
            </w:pPr>
            <w:r w:rsidRPr="00F73E12">
              <w:rPr>
                <w:rFonts w:ascii="Arial" w:hAnsi="Arial" w:cs="Arial"/>
                <w:color w:val="000000"/>
              </w:rPr>
              <w:t>Treatment Unit</w:t>
            </w:r>
          </w:p>
        </w:tc>
        <w:tc>
          <w:tcPr>
            <w:tcW w:w="2503"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8"/>
              <w:jc w:val="center"/>
              <w:rPr>
                <w:rFonts w:ascii="Arial" w:hAnsi="Arial" w:cs="Arial"/>
                <w:color w:val="000000"/>
              </w:rPr>
            </w:pPr>
            <w:r w:rsidRPr="00F73E12">
              <w:rPr>
                <w:rFonts w:ascii="Arial" w:hAnsi="Arial" w:cs="Arial"/>
                <w:color w:val="000000"/>
              </w:rPr>
              <w:t>Informal Tests</w:t>
            </w:r>
          </w:p>
        </w:tc>
      </w:tr>
      <w:tr w:rsidR="00E90643" w:rsidRPr="00F73E12" w:rsidTr="00FD2870">
        <w:tc>
          <w:tcPr>
            <w:tcW w:w="2496"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3"/>
              <w:rPr>
                <w:rFonts w:ascii="Arial" w:hAnsi="Arial" w:cs="Arial"/>
                <w:color w:val="000000"/>
              </w:rPr>
            </w:pPr>
            <w:r w:rsidRPr="00F73E12">
              <w:rPr>
                <w:rFonts w:ascii="Arial" w:hAnsi="Arial" w:cs="Arial"/>
                <w:color w:val="000000"/>
              </w:rPr>
              <w:t>Septic tank/trash tank</w:t>
            </w:r>
          </w:p>
        </w:tc>
        <w:tc>
          <w:tcPr>
            <w:tcW w:w="2503"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8"/>
              <w:rPr>
                <w:rFonts w:ascii="Arial" w:hAnsi="Arial" w:cs="Arial"/>
                <w:color w:val="000000"/>
              </w:rPr>
            </w:pPr>
            <w:r w:rsidRPr="00F73E12">
              <w:rPr>
                <w:rFonts w:ascii="Arial" w:hAnsi="Arial" w:cs="Arial"/>
                <w:color w:val="000000"/>
              </w:rPr>
              <w:t>Sludge depth</w:t>
            </w:r>
          </w:p>
        </w:tc>
      </w:tr>
      <w:tr w:rsidR="00E90643" w:rsidRPr="00F73E12" w:rsidTr="00FD2870">
        <w:tc>
          <w:tcPr>
            <w:tcW w:w="2496"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3"/>
              <w:rPr>
                <w:rFonts w:ascii="Arial" w:hAnsi="Arial" w:cs="Arial"/>
                <w:color w:val="000000"/>
              </w:rPr>
            </w:pPr>
            <w:r w:rsidRPr="00F73E12">
              <w:rPr>
                <w:rFonts w:ascii="Arial" w:hAnsi="Arial" w:cs="Arial"/>
                <w:color w:val="000000"/>
              </w:rPr>
              <w:t>Suspended growth biological treatment unit</w:t>
            </w:r>
          </w:p>
        </w:tc>
        <w:tc>
          <w:tcPr>
            <w:tcW w:w="2503"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8"/>
              <w:rPr>
                <w:rFonts w:ascii="Arial" w:hAnsi="Arial" w:cs="Arial"/>
                <w:color w:val="000000"/>
              </w:rPr>
            </w:pPr>
            <w:r w:rsidRPr="00F73E12">
              <w:rPr>
                <w:rFonts w:ascii="Arial" w:hAnsi="Arial" w:cs="Arial"/>
                <w:color w:val="000000"/>
              </w:rPr>
              <w:t xml:space="preserve">Dissolved oxygen, </w:t>
            </w:r>
            <w:proofErr w:type="spellStart"/>
            <w:r w:rsidRPr="00F73E12">
              <w:rPr>
                <w:rFonts w:ascii="Arial" w:hAnsi="Arial" w:cs="Arial"/>
                <w:color w:val="000000"/>
              </w:rPr>
              <w:t>settleabilty</w:t>
            </w:r>
            <w:proofErr w:type="spellEnd"/>
            <w:r w:rsidRPr="00F73E12">
              <w:rPr>
                <w:rFonts w:ascii="Arial" w:hAnsi="Arial" w:cs="Arial"/>
                <w:color w:val="000000"/>
              </w:rPr>
              <w:t>, pH, odor</w:t>
            </w:r>
          </w:p>
        </w:tc>
      </w:tr>
      <w:tr w:rsidR="00E90643" w:rsidRPr="00F73E12" w:rsidTr="00FD2870">
        <w:tc>
          <w:tcPr>
            <w:tcW w:w="2496"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Fixed film biological treatment unit</w:t>
            </w:r>
          </w:p>
        </w:tc>
        <w:tc>
          <w:tcPr>
            <w:tcW w:w="2503"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Dissolved oxygen (effluent from unit), pH, odor</w:t>
            </w:r>
          </w:p>
        </w:tc>
      </w:tr>
      <w:tr w:rsidR="00E90643" w:rsidRPr="00F73E12" w:rsidTr="00FD2870">
        <w:tc>
          <w:tcPr>
            <w:tcW w:w="2496"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Chlorine disinfection/</w:t>
            </w:r>
            <w:proofErr w:type="spellStart"/>
            <w:r w:rsidRPr="00F73E12">
              <w:rPr>
                <w:rFonts w:ascii="Arial" w:hAnsi="Arial" w:cs="Arial"/>
                <w:color w:val="000000"/>
              </w:rPr>
              <w:t>dechlorination</w:t>
            </w:r>
            <w:proofErr w:type="spellEnd"/>
          </w:p>
        </w:tc>
        <w:tc>
          <w:tcPr>
            <w:tcW w:w="2503"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TRC at end of contact tank (&gt;1.0 mg/l),</w:t>
            </w:r>
          </w:p>
          <w:p w:rsidR="00E90643" w:rsidRPr="00F73E12" w:rsidRDefault="00E90643" w:rsidP="00FD2870">
            <w:pPr>
              <w:keepNext/>
              <w:keepLines/>
              <w:rPr>
                <w:rFonts w:ascii="Arial" w:hAnsi="Arial" w:cs="Arial"/>
                <w:color w:val="000000"/>
              </w:rPr>
            </w:pPr>
            <w:r w:rsidRPr="00F73E12">
              <w:rPr>
                <w:rFonts w:ascii="Arial" w:hAnsi="Arial" w:cs="Arial"/>
                <w:color w:val="000000"/>
              </w:rPr>
              <w:t xml:space="preserve">TRC after </w:t>
            </w:r>
            <w:proofErr w:type="spellStart"/>
            <w:r w:rsidRPr="00F73E12">
              <w:rPr>
                <w:rFonts w:ascii="Arial" w:hAnsi="Arial" w:cs="Arial"/>
                <w:color w:val="000000"/>
              </w:rPr>
              <w:t>dechlorination</w:t>
            </w:r>
            <w:proofErr w:type="spellEnd"/>
          </w:p>
        </w:tc>
      </w:tr>
      <w:tr w:rsidR="00E90643" w:rsidRPr="00F73E12" w:rsidTr="00FD2870">
        <w:tc>
          <w:tcPr>
            <w:tcW w:w="2496"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Ultraviolet disinfection [UV]</w:t>
            </w:r>
          </w:p>
        </w:tc>
        <w:tc>
          <w:tcPr>
            <w:tcW w:w="2503" w:type="pct"/>
            <w:tcBorders>
              <w:top w:val="single" w:sz="6" w:space="0" w:color="000000"/>
              <w:left w:val="single" w:sz="6" w:space="0" w:color="000000"/>
              <w:right w:val="single" w:sz="6" w:space="0" w:color="000000"/>
            </w:tcBorders>
          </w:tcPr>
          <w:p w:rsidR="00E90643" w:rsidRPr="00F73E12" w:rsidRDefault="00E90643" w:rsidP="00FD2870">
            <w:pPr>
              <w:keepNext/>
              <w:keepLines/>
              <w:rPr>
                <w:rFonts w:ascii="Arial" w:hAnsi="Arial" w:cs="Arial"/>
                <w:color w:val="000000"/>
              </w:rPr>
            </w:pPr>
            <w:r w:rsidRPr="00F73E12">
              <w:rPr>
                <w:rFonts w:ascii="Arial" w:hAnsi="Arial" w:cs="Arial"/>
                <w:color w:val="000000"/>
              </w:rPr>
              <w:t>Turbidity prior to UV</w:t>
            </w:r>
          </w:p>
        </w:tc>
      </w:tr>
      <w:tr w:rsidR="00E90643" w:rsidRPr="00F73E12" w:rsidTr="00FD2870">
        <w:tc>
          <w:tcPr>
            <w:tcW w:w="2496"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keepNext/>
              <w:keepLines/>
              <w:ind w:right="1493"/>
              <w:rPr>
                <w:rFonts w:ascii="Arial" w:hAnsi="Arial" w:cs="Arial"/>
                <w:color w:val="000000"/>
              </w:rPr>
            </w:pPr>
            <w:r w:rsidRPr="00F73E12">
              <w:rPr>
                <w:rFonts w:ascii="Arial" w:hAnsi="Arial" w:cs="Arial"/>
                <w:color w:val="000000"/>
              </w:rPr>
              <w:t>Final effluent</w:t>
            </w:r>
          </w:p>
        </w:tc>
        <w:tc>
          <w:tcPr>
            <w:tcW w:w="2503" w:type="pct"/>
            <w:tcBorders>
              <w:top w:val="single" w:sz="6" w:space="0" w:color="000000"/>
              <w:left w:val="single" w:sz="6" w:space="0" w:color="000000"/>
              <w:bottom w:val="single" w:sz="6" w:space="0" w:color="000000"/>
              <w:right w:val="single" w:sz="6" w:space="0" w:color="000000"/>
            </w:tcBorders>
          </w:tcPr>
          <w:p w:rsidR="00E90643" w:rsidRPr="00F73E12" w:rsidRDefault="00E90643" w:rsidP="00FD2870">
            <w:pPr>
              <w:ind w:right="1498"/>
              <w:rPr>
                <w:rFonts w:ascii="Arial" w:hAnsi="Arial" w:cs="Arial"/>
                <w:color w:val="000000"/>
              </w:rPr>
            </w:pPr>
            <w:r w:rsidRPr="00F73E12">
              <w:rPr>
                <w:rFonts w:ascii="Arial" w:hAnsi="Arial" w:cs="Arial"/>
                <w:color w:val="000000"/>
              </w:rPr>
              <w:t>Dissolved oxygen, pH, odor, color</w:t>
            </w:r>
          </w:p>
        </w:tc>
      </w:tr>
    </w:tbl>
    <w:p w:rsidR="00E90643" w:rsidRDefault="00E90643" w:rsidP="00E90643">
      <w:pPr>
        <w:spacing w:line="240" w:lineRule="atLeast"/>
        <w:ind w:left="230"/>
        <w:jc w:val="center"/>
        <w:rPr>
          <w:rFonts w:ascii="Arial" w:hAnsi="Arial" w:cs="Arial"/>
        </w:rPr>
      </w:pPr>
    </w:p>
    <w:p w:rsidR="002F44BD" w:rsidRDefault="009E2DD1" w:rsidP="00E90643">
      <w:pPr>
        <w:pStyle w:val="NoSpacing"/>
      </w:pPr>
    </w:p>
    <w:sectPr w:rsidR="002F44BD" w:rsidSect="00E634B3">
      <w:pgSz w:w="12240" w:h="15840"/>
      <w:pgMar w:top="72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DD1" w:rsidRDefault="009E2DD1" w:rsidP="00E90643">
      <w:r>
        <w:separator/>
      </w:r>
    </w:p>
  </w:endnote>
  <w:endnote w:type="continuationSeparator" w:id="0">
    <w:p w:rsidR="009E2DD1" w:rsidRDefault="009E2DD1" w:rsidP="00E9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DD1" w:rsidRDefault="009E2DD1" w:rsidP="00E90643">
      <w:r>
        <w:separator/>
      </w:r>
    </w:p>
  </w:footnote>
  <w:footnote w:type="continuationSeparator" w:id="0">
    <w:p w:rsidR="009E2DD1" w:rsidRDefault="009E2DD1" w:rsidP="00E9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43"/>
    <w:rsid w:val="005871C5"/>
    <w:rsid w:val="006D1E44"/>
    <w:rsid w:val="009E2DD1"/>
    <w:rsid w:val="00E9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06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643"/>
    <w:pPr>
      <w:spacing w:after="0" w:line="240" w:lineRule="auto"/>
    </w:pPr>
  </w:style>
  <w:style w:type="paragraph" w:styleId="Footer">
    <w:name w:val="footer"/>
    <w:basedOn w:val="Normal"/>
    <w:link w:val="FooterChar"/>
    <w:uiPriority w:val="99"/>
    <w:unhideWhenUsed/>
    <w:rsid w:val="00E90643"/>
    <w:pPr>
      <w:tabs>
        <w:tab w:val="center" w:pos="4680"/>
        <w:tab w:val="right" w:pos="9360"/>
      </w:tabs>
    </w:pPr>
  </w:style>
  <w:style w:type="character" w:customStyle="1" w:styleId="FooterChar">
    <w:name w:val="Footer Char"/>
    <w:basedOn w:val="DefaultParagraphFont"/>
    <w:link w:val="Footer"/>
    <w:uiPriority w:val="99"/>
    <w:rsid w:val="00E906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0643"/>
    <w:pPr>
      <w:tabs>
        <w:tab w:val="center" w:pos="4680"/>
        <w:tab w:val="right" w:pos="9360"/>
      </w:tabs>
    </w:pPr>
  </w:style>
  <w:style w:type="character" w:customStyle="1" w:styleId="HeaderChar">
    <w:name w:val="Header Char"/>
    <w:basedOn w:val="DefaultParagraphFont"/>
    <w:link w:val="Header"/>
    <w:uiPriority w:val="99"/>
    <w:rsid w:val="00E9064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064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643"/>
    <w:pPr>
      <w:spacing w:after="0" w:line="240" w:lineRule="auto"/>
    </w:pPr>
  </w:style>
  <w:style w:type="paragraph" w:styleId="Footer">
    <w:name w:val="footer"/>
    <w:basedOn w:val="Normal"/>
    <w:link w:val="FooterChar"/>
    <w:uiPriority w:val="99"/>
    <w:unhideWhenUsed/>
    <w:rsid w:val="00E90643"/>
    <w:pPr>
      <w:tabs>
        <w:tab w:val="center" w:pos="4680"/>
        <w:tab w:val="right" w:pos="9360"/>
      </w:tabs>
    </w:pPr>
  </w:style>
  <w:style w:type="character" w:customStyle="1" w:styleId="FooterChar">
    <w:name w:val="Footer Char"/>
    <w:basedOn w:val="DefaultParagraphFont"/>
    <w:link w:val="Footer"/>
    <w:uiPriority w:val="99"/>
    <w:rsid w:val="00E906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90643"/>
    <w:pPr>
      <w:tabs>
        <w:tab w:val="center" w:pos="4680"/>
        <w:tab w:val="right" w:pos="9360"/>
      </w:tabs>
    </w:pPr>
  </w:style>
  <w:style w:type="character" w:customStyle="1" w:styleId="HeaderChar">
    <w:name w:val="Header Char"/>
    <w:basedOn w:val="DefaultParagraphFont"/>
    <w:link w:val="Header"/>
    <w:uiPriority w:val="99"/>
    <w:rsid w:val="00E906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dh.virginia.gov/EnvironmentalHealth/Onsite/ServiceProvid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cp:lastModifiedBy>
  <cp:revision>1</cp:revision>
  <dcterms:created xsi:type="dcterms:W3CDTF">2016-01-11T20:50:00Z</dcterms:created>
  <dcterms:modified xsi:type="dcterms:W3CDTF">2016-01-11T20:51:00Z</dcterms:modified>
</cp:coreProperties>
</file>