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80BDA" w14:textId="77777777" w:rsidR="00563625" w:rsidRDefault="000A0D8E">
      <w:pPr>
        <w:pStyle w:val="Heading1"/>
      </w:pPr>
      <w:r>
        <w:t>Sample Measles Messages for Schools</w:t>
      </w:r>
    </w:p>
    <w:p w14:paraId="01CB7E6C" w14:textId="77777777" w:rsidR="00563625" w:rsidRDefault="000A0D8E" w:rsidP="5AB24157">
      <w:pPr>
        <w:rPr>
          <w:b/>
          <w:bCs/>
          <w:i/>
          <w:iCs/>
          <w:color w:val="C00000"/>
        </w:rPr>
      </w:pPr>
      <w:r w:rsidRPr="5AB24157">
        <w:rPr>
          <w:b/>
          <w:bCs/>
          <w:i/>
          <w:iCs/>
          <w:color w:val="C00000"/>
        </w:rPr>
        <w:t>Purpose</w:t>
      </w:r>
    </w:p>
    <w:p w14:paraId="76BD941A" w14:textId="096AB1DF" w:rsidR="00563625" w:rsidRDefault="000A0D8E" w:rsidP="5AB24157">
      <w:pPr>
        <w:rPr>
          <w:i/>
          <w:iCs/>
          <w:color w:val="C00000"/>
        </w:rPr>
      </w:pPr>
      <w:r w:rsidRPr="5AB24157">
        <w:rPr>
          <w:i/>
          <w:iCs/>
          <w:color w:val="C00000"/>
        </w:rPr>
        <w:t>These sample messages are designed for schools to adapt and share with parents and guardians through school communication platforms (e.g., Blackboard, ParentSquare, Remind, school email, newsletters, or websites). Schools should tailor these messages based on local circumstances and guidance from their state, tribal, local, or territorial health department.</w:t>
      </w:r>
      <w:r w:rsidR="6203F6CE" w:rsidRPr="5AB24157">
        <w:rPr>
          <w:i/>
          <w:iCs/>
          <w:color w:val="C00000"/>
        </w:rPr>
        <w:t xml:space="preserve"> VDH reviewed this information on August </w:t>
      </w:r>
      <w:r w:rsidR="009B2B6A">
        <w:rPr>
          <w:i/>
          <w:iCs/>
          <w:color w:val="C00000"/>
        </w:rPr>
        <w:t>27</w:t>
      </w:r>
      <w:r w:rsidR="6203F6CE" w:rsidRPr="5AB24157">
        <w:rPr>
          <w:i/>
          <w:iCs/>
          <w:color w:val="C00000"/>
        </w:rPr>
        <w:t>, 2026.</w:t>
      </w:r>
    </w:p>
    <w:p w14:paraId="61E7A35B" w14:textId="2300EA38" w:rsidR="00563625" w:rsidRDefault="000A0D8E">
      <w:pPr>
        <w:rPr>
          <w:b/>
          <w:bCs/>
        </w:rPr>
      </w:pPr>
      <w:r>
        <w:rPr>
          <w:b/>
          <w:bCs/>
        </w:rPr>
        <w:t>Back-to-School Reminder</w:t>
      </w:r>
    </w:p>
    <w:p w14:paraId="0E72B8D9" w14:textId="45180504" w:rsidR="00563625" w:rsidRDefault="000A0D8E">
      <w:r>
        <w:t xml:space="preserve">Sample 1: </w:t>
      </w:r>
      <w:r>
        <w:rPr>
          <w:b/>
          <w:bCs/>
        </w:rPr>
        <w:t xml:space="preserve"> </w:t>
      </w:r>
      <w:r>
        <w:t xml:space="preserve">Back-to-school reminder: </w:t>
      </w:r>
      <w:r w:rsidR="009B2B6A">
        <w:t>as</w:t>
      </w:r>
      <w:r>
        <w:t xml:space="preserve"> the new school year begins, make sure your child is up to date on all recommended vaccines, including the measles, mumps, and rubella (MMR) vaccine. Staying up to date on vaccinations helps protect your student and our school community.</w:t>
      </w:r>
    </w:p>
    <w:p w14:paraId="622A07B0" w14:textId="45E713B5" w:rsidR="00563625" w:rsidRDefault="000A0D8E">
      <w:r>
        <w:t>Sample 2: Prepare for a healthy school year: as you get ready for the new school year, check that your child is up to date on all recommended vaccinations, including the measles, mumps, and rubella (MMR) vaccine. Vaccination is the best protection against measles and helps prevent illness and disruptions to learning. If you're unsure whether your child is up to date, contact your healthcare provider.</w:t>
      </w:r>
    </w:p>
    <w:p w14:paraId="0175E73F" w14:textId="4CEBF220" w:rsidR="00563625" w:rsidRDefault="000A0D8E">
      <w:pPr>
        <w:rPr>
          <w:b/>
          <w:bCs/>
        </w:rPr>
      </w:pPr>
      <w:r>
        <w:rPr>
          <w:b/>
          <w:bCs/>
        </w:rPr>
        <w:t>Check Your Child's Vaccinations Before Holiday or Spring Break Travel</w:t>
      </w:r>
    </w:p>
    <w:p w14:paraId="23351C7A" w14:textId="77777777" w:rsidR="00563625" w:rsidRDefault="000A0D8E">
      <w:r>
        <w:t>Sample 1: Planning to travel during the upcoming break? Measles is circulating in some parts of the United States and internationally. Before you travel, make sure your family is protected with the measles, mumps, and rubella (MMR) vaccine.</w:t>
      </w:r>
    </w:p>
    <w:p w14:paraId="47923DD3" w14:textId="6B60FF01" w:rsidR="00B1776F" w:rsidRDefault="000A0D8E">
      <w:r>
        <w:t>Sample 2: If your family plans to travel during the upcoming holiday or spring break, now is a good time to check that everyone is protected with the measles, mumps, and rubella (MMR) vaccine. Measles can spread quickly and travelers may be exposed while away from home. If you're unsure whether your child is protected, contact your healthcare provider before your trip.</w:t>
      </w:r>
    </w:p>
    <w:p w14:paraId="2AC86E66" w14:textId="0A66A5FD" w:rsidR="00563625" w:rsidRDefault="00B1776F" w:rsidP="00B1776F">
      <w:pPr>
        <w:suppressAutoHyphens w:val="0"/>
      </w:pPr>
      <w:r>
        <w:br w:type="page"/>
      </w:r>
    </w:p>
    <w:p w14:paraId="66400B1B" w14:textId="1EFA833A" w:rsidR="00563625" w:rsidRDefault="000A0D8E">
      <w:r>
        <w:lastRenderedPageBreak/>
        <w:t>Suggested visual:</w:t>
      </w:r>
    </w:p>
    <w:tbl>
      <w:tblPr>
        <w:tblW w:w="9465" w:type="dxa"/>
        <w:tblCellMar>
          <w:left w:w="10" w:type="dxa"/>
          <w:right w:w="10" w:type="dxa"/>
        </w:tblCellMar>
        <w:tblLook w:val="04A0" w:firstRow="1" w:lastRow="0" w:firstColumn="1" w:lastColumn="0" w:noHBand="0" w:noVBand="1"/>
      </w:tblPr>
      <w:tblGrid>
        <w:gridCol w:w="9465"/>
      </w:tblGrid>
      <w:tr w:rsidR="00563625" w14:paraId="311C9957" w14:textId="77777777">
        <w:trPr>
          <w:trHeight w:val="3015"/>
        </w:trPr>
        <w:tc>
          <w:tcPr>
            <w:tcW w:w="9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6F2A9" w14:textId="0B8907E7" w:rsidR="00563625" w:rsidRDefault="000A0D8E">
            <w:pPr>
              <w:spacing w:before="240" w:after="240" w:line="240" w:lineRule="auto"/>
            </w:pPr>
            <w:r>
              <w:rPr>
                <w:noProof/>
              </w:rPr>
              <w:drawing>
                <wp:anchor distT="0" distB="0" distL="114300" distR="114300" simplePos="0" relativeHeight="251658240" behindDoc="1" locked="0" layoutInCell="1" allowOverlap="1" wp14:anchorId="007A10E4" wp14:editId="49C10BA4">
                  <wp:simplePos x="0" y="0"/>
                  <wp:positionH relativeFrom="column">
                    <wp:posOffset>2895603</wp:posOffset>
                  </wp:positionH>
                  <wp:positionV relativeFrom="paragraph">
                    <wp:posOffset>171450</wp:posOffset>
                  </wp:positionV>
                  <wp:extent cx="2971800" cy="1667966"/>
                  <wp:effectExtent l="0" t="0" r="0" b="8434"/>
                  <wp:wrapNone/>
                  <wp:docPr id="1694512941" name="drawing" descr="CDC poster promoting MMR vaccine prior to traveling from CDC measles campaign"/>
                  <wp:cNvGraphicFramePr/>
                  <a:graphic xmlns:a="http://schemas.openxmlformats.org/drawingml/2006/main">
                    <a:graphicData uri="http://schemas.openxmlformats.org/drawingml/2006/picture">
                      <pic:pic xmlns:pic="http://schemas.openxmlformats.org/drawingml/2006/picture">
                        <pic:nvPicPr>
                          <pic:cNvPr id="1694512941" name="drawing" descr="CDC poster promoting MMR vaccine prior to traveling from CDC measles campaign"/>
                          <pic:cNvPicPr/>
                        </pic:nvPicPr>
                        <pic:blipFill>
                          <a:blip r:embed="rId10"/>
                          <a:stretch>
                            <a:fillRect/>
                          </a:stretch>
                        </pic:blipFill>
                        <pic:spPr>
                          <a:xfrm>
                            <a:off x="0" y="0"/>
                            <a:ext cx="2971800" cy="1667966"/>
                          </a:xfrm>
                          <a:prstGeom prst="rect">
                            <a:avLst/>
                          </a:prstGeom>
                          <a:noFill/>
                          <a:ln>
                            <a:noFill/>
                            <a:prstDash/>
                          </a:ln>
                        </pic:spPr>
                      </pic:pic>
                    </a:graphicData>
                  </a:graphic>
                </wp:anchor>
              </w:drawing>
            </w:r>
            <w:r>
              <w:t>Available in 4 sizes:</w:t>
            </w:r>
          </w:p>
          <w:p w14:paraId="39C80DCB" w14:textId="77777777" w:rsidR="00563625" w:rsidRDefault="00563625">
            <w:pPr>
              <w:pStyle w:val="ListParagraph"/>
              <w:numPr>
                <w:ilvl w:val="0"/>
                <w:numId w:val="1"/>
              </w:numPr>
              <w:spacing w:before="240" w:after="240" w:line="240" w:lineRule="auto"/>
            </w:pPr>
            <w:hyperlink r:id="rId11" w:history="1">
              <w:r>
                <w:rPr>
                  <w:rStyle w:val="Hyperlink"/>
                </w:rPr>
                <w:t>1080x1080</w:t>
              </w:r>
            </w:hyperlink>
          </w:p>
          <w:p w14:paraId="4AC5FAC3" w14:textId="77777777" w:rsidR="00563625" w:rsidRDefault="00563625">
            <w:pPr>
              <w:pStyle w:val="ListParagraph"/>
              <w:numPr>
                <w:ilvl w:val="0"/>
                <w:numId w:val="1"/>
              </w:numPr>
              <w:spacing w:before="240" w:after="240" w:line="240" w:lineRule="auto"/>
            </w:pPr>
            <w:hyperlink r:id="rId12" w:history="1">
              <w:r>
                <w:rPr>
                  <w:rStyle w:val="Hyperlink"/>
                </w:rPr>
                <w:t>1080x1350</w:t>
              </w:r>
            </w:hyperlink>
          </w:p>
          <w:p w14:paraId="2831F8C3" w14:textId="77777777" w:rsidR="00563625" w:rsidRDefault="00563625">
            <w:pPr>
              <w:pStyle w:val="ListParagraph"/>
              <w:numPr>
                <w:ilvl w:val="0"/>
                <w:numId w:val="1"/>
              </w:numPr>
              <w:spacing w:before="240" w:after="240" w:line="240" w:lineRule="auto"/>
            </w:pPr>
            <w:hyperlink r:id="rId13" w:history="1">
              <w:r>
                <w:rPr>
                  <w:rStyle w:val="Hyperlink"/>
                </w:rPr>
                <w:t>1600x900</w:t>
              </w:r>
            </w:hyperlink>
          </w:p>
          <w:p w14:paraId="2021163A" w14:textId="77777777" w:rsidR="00563625" w:rsidRDefault="00563625">
            <w:pPr>
              <w:pStyle w:val="ListParagraph"/>
              <w:numPr>
                <w:ilvl w:val="0"/>
                <w:numId w:val="1"/>
              </w:numPr>
              <w:spacing w:before="240" w:after="240" w:line="240" w:lineRule="auto"/>
            </w:pPr>
            <w:hyperlink r:id="rId14" w:history="1">
              <w:r>
                <w:rPr>
                  <w:rStyle w:val="Hyperlink"/>
                </w:rPr>
                <w:t>1200x675</w:t>
              </w:r>
            </w:hyperlink>
          </w:p>
          <w:p w14:paraId="305E6A31" w14:textId="77777777" w:rsidR="00563625" w:rsidRDefault="00563625">
            <w:pPr>
              <w:spacing w:after="0" w:line="240" w:lineRule="auto"/>
            </w:pPr>
          </w:p>
        </w:tc>
      </w:tr>
    </w:tbl>
    <w:p w14:paraId="1ECE7D05" w14:textId="56527A00" w:rsidR="00563625" w:rsidRDefault="000A0D8E" w:rsidP="00270168">
      <w:pPr>
        <w:spacing w:before="240"/>
        <w:rPr>
          <w:b/>
          <w:bCs/>
        </w:rPr>
      </w:pPr>
      <w:r>
        <w:rPr>
          <w:b/>
          <w:bCs/>
        </w:rPr>
        <w:t>Heightened Awareness During a Local Measles Outbreak</w:t>
      </w:r>
    </w:p>
    <w:p w14:paraId="729EE6A1" w14:textId="75263880" w:rsidR="00563625" w:rsidRDefault="000A0D8E">
      <w:r>
        <w:t>Sample 1: A measles outbreak has been reported in our area. Please watch your child for symptoms such as fever, cough, runny nose, red eyes, or a rash. If your child becomes sick, keep them home and contact your healthcare provider before visiting a medical facility.</w:t>
      </w:r>
    </w:p>
    <w:p w14:paraId="5502A912" w14:textId="77777777" w:rsidR="00563625" w:rsidRDefault="000A0D8E">
      <w:r>
        <w:t>Sample 2: A measles outbreak has been reported in our community. While the risk to individuals who have received measles, mumps, and rubella (MMR) vaccine remains low, we ask families to stay alert for symptoms of measles, including fever, cough, runny nose, red eyes, and a rash. If your child develops symptoms, keep them home from school and contact your healthcare provider before arriving so appropriate precautions can be taken. We are working closely with local public health officials and will continue to share updates as needed.</w:t>
      </w:r>
    </w:p>
    <w:p w14:paraId="621CF7AC" w14:textId="45853CCD" w:rsidR="00563625" w:rsidRDefault="000A0D8E" w:rsidP="5AB24157">
      <w:pPr>
        <w:rPr>
          <w:rFonts w:eastAsia="Yu Mincho"/>
          <w:i/>
          <w:iCs/>
          <w:sz w:val="22"/>
          <w:szCs w:val="22"/>
        </w:rPr>
      </w:pPr>
      <w:r w:rsidRPr="5AB24157">
        <w:rPr>
          <w:rFonts w:eastAsia="Yu Mincho"/>
          <w:i/>
          <w:iCs/>
          <w:sz w:val="22"/>
          <w:szCs w:val="22"/>
        </w:rPr>
        <w:t xml:space="preserve">Communication materials (including graphics) are available in additional languages and as editable or printer-friendly versions upon request. </w:t>
      </w:r>
    </w:p>
    <w:p w14:paraId="0C565D0D" w14:textId="490706DF" w:rsidR="00563625" w:rsidRDefault="000A0D8E">
      <w:pPr>
        <w:rPr>
          <w:b/>
          <w:bCs/>
        </w:rPr>
      </w:pPr>
      <w:r>
        <w:rPr>
          <w:b/>
          <w:bCs/>
        </w:rPr>
        <w:t>Prompt to Read an Important Health Notification</w:t>
      </w:r>
    </w:p>
    <w:p w14:paraId="683C6DD9" w14:textId="6FAACB02" w:rsidR="00563625" w:rsidRDefault="000A0D8E" w:rsidP="5AB24157">
      <w:pPr>
        <w:rPr>
          <w:rFonts w:cs="Aptos"/>
          <w:i/>
          <w:iCs/>
          <w:szCs w:val="24"/>
        </w:rPr>
      </w:pPr>
      <w:r w:rsidRPr="5AB24157">
        <w:rPr>
          <w:rFonts w:cs="Aptos"/>
          <w:i/>
          <w:iCs/>
          <w:sz w:val="22"/>
          <w:szCs w:val="22"/>
        </w:rPr>
        <w:t xml:space="preserve">This message should be used in conjunction with any official school notification following a measles exposure. Schools may incorporate this content into their existing communication templates or use CDC-provided templates </w:t>
      </w:r>
      <w:hyperlink r:id="rId15">
        <w:r w:rsidR="5D7FC931" w:rsidRPr="5AB24157">
          <w:rPr>
            <w:rStyle w:val="Hyperlink"/>
            <w:color w:val="0000EE"/>
            <w:sz w:val="22"/>
            <w:szCs w:val="22"/>
          </w:rPr>
          <w:t>[measles notification template]</w:t>
        </w:r>
        <w:r w:rsidR="00563625" w:rsidRPr="5AB24157">
          <w:rPr>
            <w:rStyle w:val="Hyperlink"/>
            <w:color w:val="0000EE"/>
            <w:sz w:val="22"/>
            <w:szCs w:val="22"/>
            <w:u w:val="none"/>
          </w:rPr>
          <w:t xml:space="preserve">  </w:t>
        </w:r>
      </w:hyperlink>
      <w:r w:rsidRPr="5AB24157">
        <w:rPr>
          <w:rFonts w:cs="Aptos"/>
          <w:i/>
          <w:iCs/>
          <w:sz w:val="22"/>
          <w:szCs w:val="22"/>
        </w:rPr>
        <w:t>as appropriate.</w:t>
      </w:r>
    </w:p>
    <w:p w14:paraId="714F0B86" w14:textId="77777777" w:rsidR="00563625" w:rsidRDefault="000A0D8E">
      <w:r>
        <w:rPr>
          <w:b/>
          <w:bCs/>
        </w:rPr>
        <w:t>Prompt 1</w:t>
      </w:r>
      <w:r>
        <w:t>: Our school has distributed an important health notification regarding a possible measles exposure. Please read the notification carefully, as it contains important information about who may have been exposed, what symptoms to watch for, and any recommended actions. If you have questions about your child's risk or vaccination status, contact your healthcare provider or your local health department.</w:t>
      </w:r>
    </w:p>
    <w:sectPr w:rsidR="00563625">
      <w:footerReference w:type="defaul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A7FA8" w14:textId="77777777" w:rsidR="00192475" w:rsidRDefault="00192475">
      <w:pPr>
        <w:spacing w:after="0" w:line="240" w:lineRule="auto"/>
      </w:pPr>
      <w:r>
        <w:separator/>
      </w:r>
    </w:p>
  </w:endnote>
  <w:endnote w:type="continuationSeparator" w:id="0">
    <w:p w14:paraId="199B1969" w14:textId="77777777" w:rsidR="00192475" w:rsidRDefault="00192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A2BC5" w14:textId="77777777" w:rsidR="00E96005" w:rsidRDefault="000A0D8E">
    <w:pPr>
      <w:pStyle w:val="Footer"/>
      <w:jc w:val="right"/>
    </w:pPr>
    <w:r>
      <w:fldChar w:fldCharType="begin"/>
    </w:r>
    <w:r>
      <w:instrText xml:space="preserve"> PAGE </w:instrText>
    </w:r>
    <w:r>
      <w:fldChar w:fldCharType="separate"/>
    </w:r>
    <w:r>
      <w:t>2</w:t>
    </w:r>
    <w:r>
      <w:fldChar w:fldCharType="end"/>
    </w:r>
  </w:p>
  <w:p w14:paraId="67ADE4DA" w14:textId="77777777" w:rsidR="00E96005" w:rsidRDefault="00E960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6736B" w14:textId="77777777" w:rsidR="00192475" w:rsidRDefault="00192475">
      <w:pPr>
        <w:spacing w:after="0" w:line="240" w:lineRule="auto"/>
      </w:pPr>
      <w:r>
        <w:rPr>
          <w:color w:val="000000"/>
        </w:rPr>
        <w:separator/>
      </w:r>
    </w:p>
  </w:footnote>
  <w:footnote w:type="continuationSeparator" w:id="0">
    <w:p w14:paraId="2FCA24AE" w14:textId="77777777" w:rsidR="00192475" w:rsidRDefault="001924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8244A"/>
    <w:multiLevelType w:val="multilevel"/>
    <w:tmpl w:val="AC8C03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657151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625"/>
    <w:rsid w:val="00052A00"/>
    <w:rsid w:val="000A0D8E"/>
    <w:rsid w:val="00192475"/>
    <w:rsid w:val="0024312A"/>
    <w:rsid w:val="00270168"/>
    <w:rsid w:val="004E2B54"/>
    <w:rsid w:val="004F6316"/>
    <w:rsid w:val="00517E3F"/>
    <w:rsid w:val="00563625"/>
    <w:rsid w:val="00725571"/>
    <w:rsid w:val="00825423"/>
    <w:rsid w:val="008763EA"/>
    <w:rsid w:val="00883D75"/>
    <w:rsid w:val="00897CEE"/>
    <w:rsid w:val="009B2B6A"/>
    <w:rsid w:val="00B1776F"/>
    <w:rsid w:val="00B50158"/>
    <w:rsid w:val="00DF51F7"/>
    <w:rsid w:val="00E334D3"/>
    <w:rsid w:val="00E96005"/>
    <w:rsid w:val="00FE0EFD"/>
    <w:rsid w:val="3A493B6D"/>
    <w:rsid w:val="3B3C6902"/>
    <w:rsid w:val="4F6F2744"/>
    <w:rsid w:val="5AB24157"/>
    <w:rsid w:val="5D7FC931"/>
    <w:rsid w:val="6203F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DF8C7"/>
  <w15:docId w15:val="{5DC945A8-5E38-4F70-A884-4CCC3D10A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Mangal"/>
        <w:kern w:val="3"/>
        <w:sz w:val="24"/>
        <w:szCs w:val="21"/>
        <w:lang w:val="en-US" w:eastAsia="en-US" w:bidi="hi-IN"/>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Yu Gothic Light" w:hAnsi="Aptos Display"/>
      <w:color w:val="0F4761"/>
      <w:sz w:val="40"/>
      <w:szCs w:val="36"/>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Yu Gothic Light" w:hAnsi="Aptos Display"/>
      <w:color w:val="0F4761"/>
      <w:sz w:val="32"/>
      <w:szCs w:val="29"/>
    </w:rPr>
  </w:style>
  <w:style w:type="paragraph" w:styleId="Heading3">
    <w:name w:val="heading 3"/>
    <w:basedOn w:val="Normal"/>
    <w:next w:val="Normal"/>
    <w:uiPriority w:val="9"/>
    <w:semiHidden/>
    <w:unhideWhenUsed/>
    <w:qFormat/>
    <w:pPr>
      <w:keepNext/>
      <w:keepLines/>
      <w:spacing w:before="160" w:after="80"/>
      <w:outlineLvl w:val="2"/>
    </w:pPr>
    <w:rPr>
      <w:rFonts w:eastAsia="Yu Gothic Light"/>
      <w:color w:val="0F4761"/>
      <w:sz w:val="28"/>
      <w:szCs w:val="25"/>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Yu Gothic Light"/>
      <w:i/>
      <w:iCs/>
      <w:color w:val="595959"/>
    </w:rPr>
  </w:style>
  <w:style w:type="paragraph" w:styleId="Heading7">
    <w:name w:val="heading 7"/>
    <w:basedOn w:val="Normal"/>
    <w:next w:val="Normal"/>
    <w:pPr>
      <w:keepNext/>
      <w:keepLines/>
      <w:spacing w:before="40" w:after="0"/>
      <w:outlineLvl w:val="6"/>
    </w:pPr>
    <w:rPr>
      <w:rFonts w:eastAsia="Yu Gothic Light"/>
      <w:color w:val="595959"/>
    </w:rPr>
  </w:style>
  <w:style w:type="paragraph" w:styleId="Heading8">
    <w:name w:val="heading 8"/>
    <w:basedOn w:val="Normal"/>
    <w:next w:val="Normal"/>
    <w:pPr>
      <w:keepNext/>
      <w:keepLines/>
      <w:spacing w:after="0"/>
      <w:outlineLvl w:val="7"/>
    </w:pPr>
    <w:rPr>
      <w:rFonts w:eastAsia="Yu Gothic Light"/>
      <w:i/>
      <w:iCs/>
      <w:color w:val="272727"/>
    </w:rPr>
  </w:style>
  <w:style w:type="paragraph" w:styleId="Heading9">
    <w:name w:val="heading 9"/>
    <w:basedOn w:val="Normal"/>
    <w:next w:val="Normal"/>
    <w:pPr>
      <w:keepNext/>
      <w:keepLines/>
      <w:spacing w:after="0"/>
      <w:outlineLvl w:val="8"/>
    </w:pPr>
    <w:rPr>
      <w:rFonts w:eastAsia="Yu Gothic Light"/>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Yu Gothic Light" w:hAnsi="Aptos Display" w:cs="Mangal"/>
      <w:color w:val="0F4761"/>
      <w:sz w:val="40"/>
      <w:szCs w:val="36"/>
    </w:rPr>
  </w:style>
  <w:style w:type="character" w:customStyle="1" w:styleId="Heading2Char">
    <w:name w:val="Heading 2 Char"/>
    <w:basedOn w:val="DefaultParagraphFont"/>
    <w:rPr>
      <w:rFonts w:ascii="Aptos Display" w:eastAsia="Yu Gothic Light" w:hAnsi="Aptos Display" w:cs="Mangal"/>
      <w:color w:val="0F4761"/>
      <w:sz w:val="32"/>
      <w:szCs w:val="29"/>
    </w:rPr>
  </w:style>
  <w:style w:type="character" w:customStyle="1" w:styleId="Heading3Char">
    <w:name w:val="Heading 3 Char"/>
    <w:basedOn w:val="DefaultParagraphFont"/>
    <w:rPr>
      <w:rFonts w:eastAsia="Yu Gothic Light" w:cs="Mangal"/>
      <w:color w:val="0F4761"/>
      <w:sz w:val="28"/>
      <w:szCs w:val="25"/>
    </w:rPr>
  </w:style>
  <w:style w:type="character" w:customStyle="1" w:styleId="Heading4Char">
    <w:name w:val="Heading 4 Char"/>
    <w:basedOn w:val="DefaultParagraphFont"/>
    <w:rPr>
      <w:rFonts w:eastAsia="Yu Gothic Light" w:cs="Mangal"/>
      <w:i/>
      <w:iCs/>
      <w:color w:val="0F4761"/>
    </w:rPr>
  </w:style>
  <w:style w:type="character" w:customStyle="1" w:styleId="Heading5Char">
    <w:name w:val="Heading 5 Char"/>
    <w:basedOn w:val="DefaultParagraphFont"/>
    <w:rPr>
      <w:rFonts w:eastAsia="Yu Gothic Light" w:cs="Mangal"/>
      <w:color w:val="0F4761"/>
    </w:rPr>
  </w:style>
  <w:style w:type="character" w:customStyle="1" w:styleId="Heading6Char">
    <w:name w:val="Heading 6 Char"/>
    <w:basedOn w:val="DefaultParagraphFont"/>
    <w:rPr>
      <w:rFonts w:eastAsia="Yu Gothic Light" w:cs="Mangal"/>
      <w:i/>
      <w:iCs/>
      <w:color w:val="595959"/>
    </w:rPr>
  </w:style>
  <w:style w:type="character" w:customStyle="1" w:styleId="Heading7Char">
    <w:name w:val="Heading 7 Char"/>
    <w:basedOn w:val="DefaultParagraphFont"/>
    <w:rPr>
      <w:rFonts w:eastAsia="Yu Gothic Light" w:cs="Mangal"/>
      <w:color w:val="595959"/>
    </w:rPr>
  </w:style>
  <w:style w:type="character" w:customStyle="1" w:styleId="Heading8Char">
    <w:name w:val="Heading 8 Char"/>
    <w:basedOn w:val="DefaultParagraphFont"/>
    <w:rPr>
      <w:rFonts w:eastAsia="Yu Gothic Light" w:cs="Mangal"/>
      <w:i/>
      <w:iCs/>
      <w:color w:val="272727"/>
    </w:rPr>
  </w:style>
  <w:style w:type="character" w:customStyle="1" w:styleId="Heading9Char">
    <w:name w:val="Heading 9 Char"/>
    <w:basedOn w:val="DefaultParagraphFont"/>
    <w:rPr>
      <w:rFonts w:eastAsia="Yu Gothic Light" w:cs="Mangal"/>
      <w:color w:val="272727"/>
    </w:rPr>
  </w:style>
  <w:style w:type="paragraph" w:styleId="Title">
    <w:name w:val="Title"/>
    <w:basedOn w:val="Normal"/>
    <w:next w:val="Normal"/>
    <w:uiPriority w:val="10"/>
    <w:qFormat/>
    <w:pPr>
      <w:spacing w:after="80" w:line="240" w:lineRule="auto"/>
    </w:pPr>
    <w:rPr>
      <w:rFonts w:ascii="Aptos Display" w:eastAsia="Yu Gothic Light" w:hAnsi="Aptos Display"/>
      <w:spacing w:val="-10"/>
      <w:sz w:val="56"/>
      <w:szCs w:val="50"/>
    </w:rPr>
  </w:style>
  <w:style w:type="character" w:customStyle="1" w:styleId="TitleChar">
    <w:name w:val="Title Char"/>
    <w:basedOn w:val="DefaultParagraphFont"/>
    <w:rPr>
      <w:rFonts w:ascii="Aptos Display" w:eastAsia="Yu Gothic Light" w:hAnsi="Aptos Display" w:cs="Mangal"/>
      <w:spacing w:val="-10"/>
      <w:kern w:val="3"/>
      <w:sz w:val="56"/>
      <w:szCs w:val="50"/>
    </w:rPr>
  </w:style>
  <w:style w:type="paragraph" w:styleId="Subtitle">
    <w:name w:val="Subtitle"/>
    <w:basedOn w:val="Normal"/>
    <w:next w:val="Normal"/>
    <w:uiPriority w:val="11"/>
    <w:qFormat/>
    <w:rPr>
      <w:rFonts w:eastAsia="Yu Gothic Light"/>
      <w:color w:val="595959"/>
      <w:spacing w:val="15"/>
      <w:sz w:val="28"/>
      <w:szCs w:val="25"/>
    </w:rPr>
  </w:style>
  <w:style w:type="character" w:customStyle="1" w:styleId="SubtitleChar">
    <w:name w:val="Subtitle Char"/>
    <w:basedOn w:val="DefaultParagraphFont"/>
    <w:rPr>
      <w:rFonts w:eastAsia="Yu Gothic Light" w:cs="Mangal"/>
      <w:color w:val="595959"/>
      <w:spacing w:val="15"/>
      <w:sz w:val="28"/>
      <w:szCs w:val="25"/>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rPr>
      <w:color w:val="0563C1"/>
      <w:u w:val="single"/>
    </w:rPr>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style>
  <w:style w:type="paragraph" w:styleId="CommentText">
    <w:name w:val="annotation text"/>
    <w:basedOn w:val="Normal"/>
    <w:pPr>
      <w:spacing w:line="240" w:lineRule="auto"/>
    </w:pPr>
    <w:rPr>
      <w:sz w:val="20"/>
      <w:szCs w:val="18"/>
    </w:rPr>
  </w:style>
  <w:style w:type="character" w:customStyle="1" w:styleId="CommentTextChar">
    <w:name w:val="Comment Text Char"/>
    <w:basedOn w:val="DefaultParagraphFont"/>
    <w:rPr>
      <w:sz w:val="20"/>
      <w:szCs w:val="18"/>
    </w:rPr>
  </w:style>
  <w:style w:type="character" w:styleId="CommentReference">
    <w:name w:val="annotation reference"/>
    <w:basedOn w:val="DefaultParagraphFont"/>
    <w:rPr>
      <w:sz w:val="16"/>
      <w:szCs w:val="16"/>
    </w:rPr>
  </w:style>
  <w:style w:type="paragraph" w:styleId="Revision">
    <w:name w:val="Revision"/>
    <w:pPr>
      <w:suppressAutoHyphens/>
      <w:spacing w:after="0" w:line="240" w:lineRule="auto"/>
    </w:p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emailupdates.cdc.gov/r/?id=h9c11bd07,1f2caf3d,1f2cef45&amp;e=QUNTVHJhY2tpbmdJRD1ETTE1NDQwM19VU0NEQ18yMjQ4JkFDU1RyYWNraW5nTGFiZWw9NC4xNS4yNl9NZWFzbGVzJTIwR3VpZGFuY2UlMjBmb3IlMjB0aGUlMjBVcGNvbWluZyUyMFRyYXZlbCUyMFNlYXNvbg&amp;s=7k9Xz3f1Mu3K25sB4xSJ2NrXwb_iKLdAhrvgmbWiZGw"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emailupdates.cdc.gov/r/?id=h9c11bd07,1f2caf3d,1f2cef44&amp;e=QUNTVHJhY2tpbmdJRD1ETTE1NDQwM19VU0NEQ18yMjQ4JkFDU1RyYWNraW5nTGFiZWw9NC4xNS4yNl9NZWFzbGVzJTIwR3VpZGFuY2UlMjBmb3IlMjB0aGUlMjBVcGNvbWluZyUyMFRyYXZlbCUyMFNlYXNvbg&amp;s=3bjGCcxTd-OJox-ec--o8eBsZ2bl279QkTS6EpFhapw"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mailupdates.cdc.gov/r/?id=h9c11bd07,1f2caf3d,1f2cef43&amp;e=QUNTVHJhY2tpbmdJRD1ETTE1NDQwM19VU0NEQ18yMjQ4JkFDU1RyYWNraW5nTGFiZWw9NC4xNS4yNl9NZWFzbGVzJTIwR3VpZGFuY2UlMjBmb3IlMjB0aGUlMjBVcGNvbWluZyUyMFRyYXZlbCUyMFNlYXNvbg&amp;s=nLs3awXD5ROMGW1v4F4nujg1GpGbQWzXQBtZZdrSc6I" TargetMode="External"/><Relationship Id="rId5" Type="http://schemas.openxmlformats.org/officeDocument/2006/relationships/styles" Target="styles.xml"/><Relationship Id="rId15" Type="http://schemas.openxmlformats.org/officeDocument/2006/relationships/hyperlink" Target="https://www.cdc.gov/measles/downloads/measles-congregate-setting-notification-templates.docx"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emailupdates.cdc.gov/r/?id=h9c11bd07,1f2caf3d,1f2cef46&amp;e=QUNTVHJhY2tpbmdJRD1ETTE1NDQwM19VU0NEQ18yMjQ4JkFDU1RyYWNraW5nTGFiZWw9NC4xNS4yNl9NZWFzbGVzJTIwR3VpZGFuY2UlMjBmb3IlMjB0aGUlMjBVcGNvbWluZyUyMFRyYXZlbCUyMFNlYXNvbg&amp;s=qbs6sALZvhkxBQuRZqHunf74yL-ic62lmRNnIb0g-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8A2F7B8E976542840901C7021509D9" ma:contentTypeVersion="9" ma:contentTypeDescription="Create a new document." ma:contentTypeScope="" ma:versionID="142e93ab77f731c1cbe97e490bd489f1">
  <xsd:schema xmlns:xsd="http://www.w3.org/2001/XMLSchema" xmlns:xs="http://www.w3.org/2001/XMLSchema" xmlns:p="http://schemas.microsoft.com/office/2006/metadata/properties" xmlns:ns2="13cf2962-ba85-4770-94fd-4cf0b02b8127" targetNamespace="http://schemas.microsoft.com/office/2006/metadata/properties" ma:root="true" ma:fieldsID="768c270d394b773edba032554da997de" ns2:_="">
    <xsd:import namespace="13cf2962-ba85-4770-94fd-4cf0b02b81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f2962-ba85-4770-94fd-4cf0b02b81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cf2962-ba85-4770-94fd-4cf0b02b81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AD7EB6-504A-4707-BCF9-AC02717D22E1}">
  <ds:schemaRefs>
    <ds:schemaRef ds:uri="http://schemas.microsoft.com/sharepoint/v3/contenttype/forms"/>
  </ds:schemaRefs>
</ds:datastoreItem>
</file>

<file path=customXml/itemProps2.xml><?xml version="1.0" encoding="utf-8"?>
<ds:datastoreItem xmlns:ds="http://schemas.openxmlformats.org/officeDocument/2006/customXml" ds:itemID="{C09BB68E-CDFB-4651-A360-4891579D5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f2962-ba85-4770-94fd-4cf0b02b8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1E40B6-0806-4060-A729-D447BC73D60C}">
  <ds:schemaRefs>
    <ds:schemaRef ds:uri="http://schemas.microsoft.com/office/2006/metadata/properties"/>
    <ds:schemaRef ds:uri="http://schemas.microsoft.com/office/infopath/2007/PartnerControls"/>
    <ds:schemaRef ds:uri="13cf2962-ba85-4770-94fd-4cf0b02b8127"/>
  </ds:schemaRefs>
</ds:datastoreItem>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733</Words>
  <Characters>4183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VDH CDC Sample Measles Messages for Schools</dc:title>
  <dc:subject/>
  <dc:creator>Chamanzad, Atefeh (CDC/NCIRD/DVD)</dc:creator>
  <dc:description/>
  <cp:lastModifiedBy>Theal, Madison (VDH)</cp:lastModifiedBy>
  <cp:revision>2</cp:revision>
  <dcterms:created xsi:type="dcterms:W3CDTF">2026-08-27T12:48:00Z</dcterms:created>
  <dcterms:modified xsi:type="dcterms:W3CDTF">2026-08-27T12:48:00Z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2026-07-20T16:57:07Z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52005450-fc57-40e1-9efb-8fa260960feb</vt:lpwstr>
  </property>
  <property fmtid="{D5CDD505-2E9C-101B-9397-08002B2CF9AE}" pid="8" name="MSIP_Label_8af03ff0-41c5-4c41-b55e-fabb8fae94be_ContentBits">
    <vt:lpwstr>0</vt:lpwstr>
  </property>
  <property fmtid="{D5CDD505-2E9C-101B-9397-08002B2CF9AE}" pid="9" name="MSIP_Label_8af03ff0-41c5-4c41-b55e-fabb8fae94be_Tag">
    <vt:lpwstr>10, 0, 1, 1</vt:lpwstr>
  </property>
  <property fmtid="{D5CDD505-2E9C-101B-9397-08002B2CF9AE}" pid="10" name="ContentTypeId">
    <vt:lpwstr>0x010100198A2F7B8E976542840901C7021509D9</vt:lpwstr>
  </property>
  <property fmtid="{D5CDD505-2E9C-101B-9397-08002B2CF9AE}" pid="11" name="MediaServiceImageTags">
    <vt:lpwstr/>
  </property>
</Properties>
</file>