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A701" w14:textId="77777777" w:rsidR="00953D60" w:rsidRPr="00C6393F" w:rsidRDefault="00953D60" w:rsidP="00953D60">
      <w:pPr>
        <w:jc w:val="center"/>
        <w:rPr>
          <w:rFonts w:cstheme="minorHAnsi"/>
          <w:sz w:val="24"/>
          <w:szCs w:val="24"/>
        </w:rPr>
      </w:pPr>
      <w:bookmarkStart w:id="0" w:name="_Toc25151351"/>
      <w:bookmarkStart w:id="1" w:name="_Hlk25244639"/>
    </w:p>
    <w:p w14:paraId="3834BDC9" w14:textId="77777777" w:rsidR="00953D60" w:rsidRPr="00C6393F" w:rsidRDefault="00953D60" w:rsidP="00953D60">
      <w:pPr>
        <w:jc w:val="center"/>
        <w:rPr>
          <w:rFonts w:cstheme="minorHAnsi"/>
          <w:sz w:val="24"/>
          <w:szCs w:val="24"/>
        </w:rPr>
      </w:pPr>
    </w:p>
    <w:p w14:paraId="5A619B90" w14:textId="77777777" w:rsidR="00953D60" w:rsidRPr="00C6393F" w:rsidRDefault="00953D60" w:rsidP="00953D60">
      <w:pPr>
        <w:jc w:val="center"/>
        <w:rPr>
          <w:rFonts w:cstheme="minorHAnsi"/>
          <w:sz w:val="24"/>
          <w:szCs w:val="24"/>
        </w:rPr>
      </w:pPr>
    </w:p>
    <w:p w14:paraId="6D99D174" w14:textId="77777777" w:rsidR="00953D60" w:rsidRPr="00C6393F" w:rsidRDefault="00953D60" w:rsidP="00953D60">
      <w:pPr>
        <w:jc w:val="center"/>
        <w:rPr>
          <w:rFonts w:cstheme="minorHAnsi"/>
          <w:sz w:val="24"/>
          <w:szCs w:val="24"/>
        </w:rPr>
      </w:pPr>
    </w:p>
    <w:p w14:paraId="41054FCB" w14:textId="77777777" w:rsidR="00953D60" w:rsidRPr="00C6393F" w:rsidRDefault="00953D60" w:rsidP="00953D60">
      <w:pPr>
        <w:jc w:val="center"/>
        <w:rPr>
          <w:rFonts w:cstheme="minorHAnsi"/>
          <w:sz w:val="24"/>
          <w:szCs w:val="24"/>
        </w:rPr>
      </w:pPr>
    </w:p>
    <w:sdt>
      <w:sdtPr>
        <w:rPr>
          <w:b/>
          <w:sz w:val="32"/>
        </w:rPr>
        <w:id w:val="-1873143001"/>
        <w:placeholder>
          <w:docPart w:val="5CE0064514E14357B36F411923165FEE"/>
        </w:placeholder>
        <w:text/>
      </w:sdtPr>
      <w:sdtEndPr/>
      <w:sdtContent>
        <w:p w14:paraId="03D2F3F2" w14:textId="77777777" w:rsidR="00953D60" w:rsidRPr="00F61201" w:rsidRDefault="00953D60" w:rsidP="00953D60">
          <w:pPr>
            <w:jc w:val="center"/>
            <w:rPr>
              <w:rFonts w:cstheme="minorHAnsi"/>
              <w:b/>
              <w:sz w:val="24"/>
              <w:szCs w:val="24"/>
            </w:rPr>
          </w:pPr>
          <w:r w:rsidRPr="00F61201">
            <w:rPr>
              <w:b/>
              <w:sz w:val="32"/>
            </w:rPr>
            <w:t>Virginia State Oral Health Program</w:t>
          </w:r>
        </w:p>
      </w:sdtContent>
    </w:sdt>
    <w:p w14:paraId="4EE52C2F" w14:textId="77634428" w:rsidR="00953D60" w:rsidRPr="00F61201" w:rsidRDefault="00953D60" w:rsidP="00953D60">
      <w:pPr>
        <w:jc w:val="center"/>
        <w:rPr>
          <w:rFonts w:cstheme="minorHAnsi"/>
          <w:b/>
          <w:sz w:val="24"/>
          <w:szCs w:val="24"/>
        </w:rPr>
      </w:pPr>
      <w:r w:rsidRPr="00F61201">
        <w:rPr>
          <w:rFonts w:cstheme="minorHAnsi"/>
          <w:b/>
          <w:sz w:val="24"/>
          <w:szCs w:val="24"/>
        </w:rPr>
        <w:t xml:space="preserve">NOFO DP24-0048 </w:t>
      </w:r>
      <w:sdt>
        <w:sdtPr>
          <w:rPr>
            <w:rFonts w:cstheme="minorHAnsi"/>
            <w:b/>
            <w:sz w:val="24"/>
            <w:szCs w:val="24"/>
          </w:rPr>
          <w:id w:val="1728266394"/>
          <w:placeholder>
            <w:docPart w:val="9E746C8A4D764D81BF16B7EEC637BCBC"/>
          </w:placeholder>
          <w:text/>
        </w:sdtPr>
        <w:sdtEndPr/>
        <w:sdtContent>
          <w:r w:rsidRPr="00F61201">
            <w:rPr>
              <w:rFonts w:cstheme="minorHAnsi"/>
              <w:b/>
              <w:sz w:val="24"/>
              <w:szCs w:val="24"/>
            </w:rPr>
            <w:t>Virginia</w:t>
          </w:r>
        </w:sdtContent>
      </w:sdt>
      <w:r w:rsidRPr="00F61201">
        <w:rPr>
          <w:rFonts w:cstheme="minorHAnsi"/>
          <w:b/>
          <w:sz w:val="24"/>
          <w:szCs w:val="24"/>
        </w:rPr>
        <w:t xml:space="preserve"> Oral Health Surveillance Plan</w:t>
      </w:r>
    </w:p>
    <w:p w14:paraId="48DCD36D" w14:textId="7EB2B7FD" w:rsidR="00953D60" w:rsidRPr="00F61201" w:rsidRDefault="00953D60" w:rsidP="00953D60">
      <w:pPr>
        <w:jc w:val="center"/>
        <w:rPr>
          <w:rFonts w:cstheme="minorHAnsi"/>
          <w:sz w:val="24"/>
          <w:szCs w:val="24"/>
        </w:rPr>
      </w:pPr>
      <w:bookmarkStart w:id="2" w:name="_Hlk30615661"/>
      <w:r w:rsidRPr="00F61201">
        <w:rPr>
          <w:rFonts w:cstheme="minorHAnsi"/>
          <w:sz w:val="24"/>
          <w:szCs w:val="24"/>
        </w:rPr>
        <w:t>Period of Performance: 2024-2027</w:t>
      </w:r>
    </w:p>
    <w:bookmarkEnd w:id="2"/>
    <w:p w14:paraId="5AA7D9F5" w14:textId="77777777" w:rsidR="00953D60" w:rsidRPr="00F61201" w:rsidRDefault="00953D60" w:rsidP="00953D60">
      <w:pPr>
        <w:jc w:val="center"/>
        <w:rPr>
          <w:rFonts w:cstheme="minorHAnsi"/>
          <w:sz w:val="24"/>
          <w:szCs w:val="24"/>
        </w:rPr>
      </w:pPr>
    </w:p>
    <w:p w14:paraId="74617247" w14:textId="77777777" w:rsidR="00953D60" w:rsidRPr="00F61201" w:rsidRDefault="00953D60" w:rsidP="00953D60">
      <w:pPr>
        <w:jc w:val="center"/>
        <w:rPr>
          <w:rFonts w:cstheme="minorHAnsi"/>
          <w:sz w:val="24"/>
          <w:szCs w:val="24"/>
        </w:rPr>
      </w:pPr>
      <w:r w:rsidRPr="00F61201">
        <w:rPr>
          <w:rFonts w:cstheme="minorHAnsi"/>
          <w:sz w:val="24"/>
          <w:szCs w:val="24"/>
        </w:rPr>
        <w:t>Prepared by:</w:t>
      </w:r>
    </w:p>
    <w:p w14:paraId="596A0BAC" w14:textId="0BC2F8A1" w:rsidR="00953D60" w:rsidRPr="00F61201" w:rsidRDefault="00952080" w:rsidP="00953D60">
      <w:pPr>
        <w:jc w:val="center"/>
        <w:rPr>
          <w:rFonts w:cstheme="minorHAnsi"/>
        </w:rPr>
      </w:pPr>
      <w:sdt>
        <w:sdtPr>
          <w:rPr>
            <w:rFonts w:cstheme="minorHAnsi"/>
            <w:color w:val="202124"/>
          </w:rPr>
          <w:id w:val="-925966714"/>
          <w:placeholder>
            <w:docPart w:val="22FDFEEC17C64D119C43CA4108C5D4B4"/>
          </w:placeholder>
          <w:text/>
        </w:sdtPr>
        <w:sdtEndPr/>
        <w:sdtContent>
          <w:r w:rsidR="00F61201" w:rsidRPr="00F61201">
            <w:rPr>
              <w:rFonts w:cstheme="minorHAnsi"/>
              <w:color w:val="202124"/>
            </w:rPr>
            <w:t xml:space="preserve">Tonya Adiches, </w:t>
          </w:r>
          <w:r w:rsidR="00AA0F18">
            <w:rPr>
              <w:rFonts w:cstheme="minorHAnsi"/>
              <w:color w:val="202124"/>
            </w:rPr>
            <w:t>BS</w:t>
          </w:r>
          <w:r w:rsidR="00F61201" w:rsidRPr="00F61201">
            <w:rPr>
              <w:rFonts w:cstheme="minorHAnsi"/>
              <w:color w:val="202124"/>
            </w:rPr>
            <w:t xml:space="preserve">DH; Pamela Blankenship, </w:t>
          </w:r>
          <w:r w:rsidR="00AA0F18">
            <w:rPr>
              <w:rFonts w:cstheme="minorHAnsi"/>
              <w:color w:val="202124"/>
            </w:rPr>
            <w:t>BS</w:t>
          </w:r>
          <w:r w:rsidR="00F61201" w:rsidRPr="00F61201">
            <w:rPr>
              <w:rFonts w:cstheme="minorHAnsi"/>
              <w:color w:val="202124"/>
            </w:rPr>
            <w:t>DH; Kalu Onwuchekwa, MPH</w:t>
          </w:r>
        </w:sdtContent>
      </w:sdt>
    </w:p>
    <w:p w14:paraId="544EA551" w14:textId="77777777" w:rsidR="00953D60" w:rsidRPr="00F61201" w:rsidRDefault="00952080" w:rsidP="00953D60">
      <w:pPr>
        <w:jc w:val="center"/>
        <w:rPr>
          <w:rFonts w:cstheme="minorHAnsi"/>
          <w:sz w:val="24"/>
          <w:szCs w:val="24"/>
        </w:rPr>
      </w:pPr>
      <w:sdt>
        <w:sdtPr>
          <w:rPr>
            <w:rFonts w:cstheme="minorHAnsi"/>
            <w:sz w:val="24"/>
            <w:szCs w:val="24"/>
          </w:rPr>
          <w:id w:val="683864361"/>
          <w:placeholder>
            <w:docPart w:val="E02F3CEE2CB8495DA655649408F265A5"/>
          </w:placeholder>
          <w:text/>
        </w:sdtPr>
        <w:sdtEndPr/>
        <w:sdtContent>
          <w:r w:rsidR="00953D60" w:rsidRPr="00F61201">
            <w:rPr>
              <w:rFonts w:cstheme="minorHAnsi"/>
              <w:sz w:val="24"/>
              <w:szCs w:val="24"/>
            </w:rPr>
            <w:t>Virginia Department of Health</w:t>
          </w:r>
        </w:sdtContent>
      </w:sdt>
    </w:p>
    <w:p w14:paraId="6828FA7A" w14:textId="77777777" w:rsidR="00953D60" w:rsidRPr="00F61201" w:rsidRDefault="00953D60" w:rsidP="00953D60">
      <w:pPr>
        <w:jc w:val="center"/>
        <w:rPr>
          <w:rFonts w:cstheme="minorHAnsi"/>
          <w:sz w:val="24"/>
          <w:szCs w:val="24"/>
        </w:rPr>
      </w:pPr>
    </w:p>
    <w:p w14:paraId="071E034C" w14:textId="77777777" w:rsidR="00953D60" w:rsidRPr="00F61201" w:rsidRDefault="00953D60" w:rsidP="00953D60">
      <w:pPr>
        <w:jc w:val="center"/>
        <w:rPr>
          <w:rFonts w:cstheme="minorHAnsi"/>
          <w:sz w:val="24"/>
          <w:szCs w:val="24"/>
        </w:rPr>
      </w:pPr>
    </w:p>
    <w:p w14:paraId="25714072" w14:textId="77777777" w:rsidR="00953D60" w:rsidRPr="00F61201" w:rsidRDefault="00953D60" w:rsidP="00953D60">
      <w:pPr>
        <w:jc w:val="center"/>
        <w:rPr>
          <w:rFonts w:cstheme="minorHAnsi"/>
          <w:sz w:val="24"/>
          <w:szCs w:val="24"/>
        </w:rPr>
      </w:pPr>
      <w:r w:rsidRPr="00F61201">
        <w:rPr>
          <w:rFonts w:cstheme="minorHAnsi"/>
          <w:sz w:val="24"/>
          <w:szCs w:val="24"/>
        </w:rPr>
        <w:t>Submitted on:</w:t>
      </w:r>
    </w:p>
    <w:sdt>
      <w:sdtPr>
        <w:rPr>
          <w:sz w:val="24"/>
          <w:szCs w:val="24"/>
        </w:rPr>
        <w:id w:val="721938601"/>
        <w:placeholder>
          <w:docPart w:val="A708316BDCEA4742B24E00C0E1CDD676"/>
        </w:placeholder>
        <w:date w:fullDate="2025-05-05T00:00:00Z">
          <w:dateFormat w:val="M/d/yyyy"/>
          <w:lid w:val="en-US"/>
          <w:storeMappedDataAs w:val="dateTime"/>
          <w:calendar w:val="gregorian"/>
        </w:date>
      </w:sdtPr>
      <w:sdtEndPr/>
      <w:sdtContent>
        <w:p w14:paraId="04C213FC" w14:textId="597F2CB4" w:rsidR="00953D60" w:rsidRPr="00C6393F" w:rsidRDefault="00953D60" w:rsidP="00953D60">
          <w:pPr>
            <w:jc w:val="center"/>
            <w:rPr>
              <w:rFonts w:cstheme="minorHAnsi"/>
              <w:sz w:val="24"/>
              <w:szCs w:val="24"/>
            </w:rPr>
          </w:pPr>
          <w:r w:rsidRPr="00F61201">
            <w:rPr>
              <w:sz w:val="24"/>
              <w:szCs w:val="24"/>
            </w:rPr>
            <w:t>5/5/2025</w:t>
          </w:r>
        </w:p>
      </w:sdtContent>
    </w:sdt>
    <w:p w14:paraId="2485515D" w14:textId="77777777" w:rsidR="00953D60" w:rsidRPr="00C6393F" w:rsidRDefault="00953D60" w:rsidP="00953D60">
      <w:pPr>
        <w:jc w:val="center"/>
        <w:rPr>
          <w:rFonts w:cstheme="minorHAnsi"/>
          <w:sz w:val="24"/>
          <w:szCs w:val="24"/>
        </w:rPr>
      </w:pPr>
    </w:p>
    <w:p w14:paraId="298F13B6" w14:textId="77777777" w:rsidR="00953D60" w:rsidRPr="00C6393F" w:rsidRDefault="00953D60" w:rsidP="00953D60">
      <w:pPr>
        <w:jc w:val="center"/>
        <w:rPr>
          <w:rFonts w:cstheme="minorHAnsi"/>
          <w:sz w:val="24"/>
          <w:szCs w:val="24"/>
        </w:rPr>
        <w:sectPr w:rsidR="00953D60" w:rsidRPr="00C6393F" w:rsidSect="002A013C">
          <w:type w:val="continuous"/>
          <w:pgSz w:w="12240" w:h="15840"/>
          <w:pgMar w:top="1440" w:right="1440" w:bottom="1440" w:left="1440" w:header="720" w:footer="720" w:gutter="0"/>
          <w:pgNumType w:start="1"/>
          <w:cols w:space="720"/>
          <w:docGrid w:linePitch="360"/>
        </w:sectPr>
      </w:pPr>
    </w:p>
    <w:p w14:paraId="08FBCB50" w14:textId="77777777" w:rsidR="001319C8" w:rsidRDefault="001319C8" w:rsidP="00953D60">
      <w:pPr>
        <w:rPr>
          <w:rFonts w:cstheme="minorHAnsi"/>
          <w:b/>
          <w:szCs w:val="24"/>
        </w:rPr>
      </w:pPr>
    </w:p>
    <w:p w14:paraId="060424B6" w14:textId="77777777" w:rsidR="001319C8" w:rsidRDefault="001319C8" w:rsidP="00953D60">
      <w:pPr>
        <w:rPr>
          <w:rFonts w:cstheme="minorHAnsi"/>
          <w:b/>
          <w:szCs w:val="24"/>
        </w:rPr>
      </w:pPr>
    </w:p>
    <w:p w14:paraId="0D0E5F67" w14:textId="77777777" w:rsidR="001319C8" w:rsidRDefault="001319C8" w:rsidP="00953D60">
      <w:pPr>
        <w:rPr>
          <w:rFonts w:cstheme="minorHAnsi"/>
          <w:b/>
          <w:szCs w:val="24"/>
        </w:rPr>
      </w:pPr>
    </w:p>
    <w:p w14:paraId="5CBA0C90" w14:textId="77777777" w:rsidR="001319C8" w:rsidRDefault="001319C8" w:rsidP="00953D60">
      <w:pPr>
        <w:rPr>
          <w:rFonts w:cstheme="minorHAnsi"/>
          <w:b/>
          <w:szCs w:val="24"/>
        </w:rPr>
      </w:pPr>
    </w:p>
    <w:p w14:paraId="32C36A37" w14:textId="77777777" w:rsidR="001319C8" w:rsidRDefault="001319C8" w:rsidP="00953D60">
      <w:pPr>
        <w:rPr>
          <w:rFonts w:cstheme="minorHAnsi"/>
          <w:b/>
          <w:szCs w:val="24"/>
        </w:rPr>
      </w:pPr>
    </w:p>
    <w:p w14:paraId="4A461B15" w14:textId="77777777" w:rsidR="001319C8" w:rsidRDefault="001319C8" w:rsidP="00953D60">
      <w:pPr>
        <w:rPr>
          <w:rFonts w:cstheme="minorHAnsi"/>
          <w:b/>
          <w:szCs w:val="24"/>
        </w:rPr>
      </w:pPr>
    </w:p>
    <w:p w14:paraId="0669B2CA" w14:textId="77777777" w:rsidR="001319C8" w:rsidRDefault="001319C8" w:rsidP="00953D60">
      <w:pPr>
        <w:rPr>
          <w:rFonts w:cstheme="minorHAnsi"/>
          <w:b/>
          <w:szCs w:val="24"/>
        </w:rPr>
      </w:pPr>
    </w:p>
    <w:p w14:paraId="39542B5B" w14:textId="77777777" w:rsidR="001319C8" w:rsidRDefault="001319C8" w:rsidP="00953D60">
      <w:pPr>
        <w:rPr>
          <w:rFonts w:cstheme="minorHAnsi"/>
          <w:b/>
          <w:szCs w:val="24"/>
        </w:rPr>
      </w:pPr>
    </w:p>
    <w:p w14:paraId="1AC97DBC" w14:textId="77777777" w:rsidR="001319C8" w:rsidRDefault="001319C8" w:rsidP="00953D60">
      <w:pPr>
        <w:rPr>
          <w:rFonts w:cstheme="minorHAnsi"/>
          <w:b/>
          <w:szCs w:val="24"/>
        </w:rPr>
      </w:pPr>
    </w:p>
    <w:p w14:paraId="17689C4B" w14:textId="77777777" w:rsidR="001319C8" w:rsidRDefault="001319C8" w:rsidP="00953D60">
      <w:pPr>
        <w:rPr>
          <w:rFonts w:cstheme="minorHAnsi"/>
          <w:b/>
          <w:szCs w:val="24"/>
        </w:rPr>
      </w:pPr>
    </w:p>
    <w:p w14:paraId="023EE612" w14:textId="77777777" w:rsidR="001319C8" w:rsidRDefault="001319C8" w:rsidP="00953D60">
      <w:pPr>
        <w:rPr>
          <w:rFonts w:cstheme="minorHAnsi"/>
          <w:b/>
          <w:szCs w:val="24"/>
        </w:rPr>
      </w:pPr>
    </w:p>
    <w:sdt>
      <w:sdtPr>
        <w:rPr>
          <w:rFonts w:asciiTheme="minorHAnsi" w:eastAsiaTheme="minorHAnsi" w:hAnsiTheme="minorHAnsi" w:cstheme="minorHAnsi"/>
          <w:color w:val="auto"/>
          <w:sz w:val="24"/>
          <w:szCs w:val="24"/>
        </w:rPr>
        <w:id w:val="1371954819"/>
        <w:docPartObj>
          <w:docPartGallery w:val="Table of Contents"/>
          <w:docPartUnique/>
        </w:docPartObj>
      </w:sdtPr>
      <w:sdtEndPr>
        <w:rPr>
          <w:b/>
          <w:bCs/>
          <w:noProof/>
        </w:rPr>
      </w:sdtEndPr>
      <w:sdtContent>
        <w:p w14:paraId="1E48EF01" w14:textId="77777777" w:rsidR="00953D60" w:rsidRPr="00EB0A4C" w:rsidRDefault="00953D60" w:rsidP="00953D60">
          <w:pPr>
            <w:pStyle w:val="TOCHeading"/>
            <w:ind w:left="0" w:firstLine="0"/>
            <w:rPr>
              <w:rFonts w:cstheme="minorHAnsi"/>
              <w:bCs/>
              <w:color w:val="4F81BD" w:themeColor="accent1"/>
              <w:sz w:val="24"/>
              <w:szCs w:val="24"/>
            </w:rPr>
          </w:pPr>
          <w:r w:rsidRPr="00EB0A4C">
            <w:rPr>
              <w:rFonts w:cstheme="minorHAnsi"/>
              <w:bCs/>
              <w:color w:val="4F81BD" w:themeColor="accent1"/>
              <w:sz w:val="24"/>
              <w:szCs w:val="24"/>
            </w:rPr>
            <w:t>Table of Contents</w:t>
          </w:r>
        </w:p>
        <w:p w14:paraId="6F05B454" w14:textId="194FAC3B" w:rsidR="00953D60" w:rsidRDefault="00953D60" w:rsidP="006D5105">
          <w:pPr>
            <w:pStyle w:val="TOC1"/>
          </w:pPr>
          <w:r w:rsidRPr="00C6393F">
            <w:rPr>
              <w:noProof w:val="0"/>
            </w:rPr>
            <w:fldChar w:fldCharType="begin"/>
          </w:r>
          <w:r w:rsidRPr="00C6393F">
            <w:instrText xml:space="preserve"> TOC \o "1-3" \h \z \u </w:instrText>
          </w:r>
          <w:r w:rsidRPr="00C6393F">
            <w:rPr>
              <w:noProof w:val="0"/>
            </w:rPr>
            <w:fldChar w:fldCharType="separate"/>
          </w:r>
          <w:hyperlink w:anchor="_Toc32496101" w:history="1">
            <w:r w:rsidRPr="00C6393F">
              <w:rPr>
                <w:rStyle w:val="Hyperlink"/>
              </w:rPr>
              <w:t>List of Tables and Figures</w:t>
            </w:r>
            <w:r w:rsidRPr="00C6393F">
              <w:rPr>
                <w:webHidden/>
              </w:rPr>
              <w:tab/>
            </w:r>
            <w:r w:rsidR="006801A7">
              <w:rPr>
                <w:webHidden/>
              </w:rPr>
              <w:t>2</w:t>
            </w:r>
          </w:hyperlink>
        </w:p>
        <w:p w14:paraId="7602B75B" w14:textId="77777777" w:rsidR="006801A7" w:rsidRDefault="006801A7" w:rsidP="006801A7">
          <w:pPr>
            <w:pStyle w:val="TOC1"/>
          </w:pPr>
          <w:r>
            <w:t>List of Acronyms ………………………………………………………………………………………………………………………. 3</w:t>
          </w:r>
        </w:p>
        <w:p w14:paraId="48E3F8D8" w14:textId="52FAF0E1" w:rsidR="00953D60" w:rsidRPr="00C6393F" w:rsidRDefault="00953D60" w:rsidP="006D5105">
          <w:pPr>
            <w:pStyle w:val="TOC1"/>
            <w:rPr>
              <w:rFonts w:eastAsiaTheme="minorEastAsia"/>
            </w:rPr>
          </w:pPr>
          <w:hyperlink w:anchor="_Toc32496102" w:history="1">
            <w:r w:rsidRPr="00C6393F">
              <w:rPr>
                <w:rStyle w:val="Hyperlink"/>
              </w:rPr>
              <w:t>Acknowledgements</w:t>
            </w:r>
            <w:r w:rsidRPr="00C6393F">
              <w:rPr>
                <w:webHidden/>
              </w:rPr>
              <w:tab/>
            </w:r>
            <w:r w:rsidRPr="00C6393F">
              <w:rPr>
                <w:webHidden/>
              </w:rPr>
              <w:fldChar w:fldCharType="begin"/>
            </w:r>
            <w:r w:rsidRPr="00C6393F">
              <w:rPr>
                <w:webHidden/>
              </w:rPr>
              <w:instrText xml:space="preserve"> PAGEREF _Toc32496102 \h </w:instrText>
            </w:r>
            <w:r w:rsidRPr="00C6393F">
              <w:rPr>
                <w:webHidden/>
              </w:rPr>
            </w:r>
            <w:r w:rsidRPr="00C6393F">
              <w:rPr>
                <w:webHidden/>
              </w:rPr>
              <w:fldChar w:fldCharType="separate"/>
            </w:r>
            <w:r w:rsidR="00115CB3">
              <w:rPr>
                <w:webHidden/>
              </w:rPr>
              <w:t>3</w:t>
            </w:r>
            <w:r w:rsidRPr="00C6393F">
              <w:rPr>
                <w:webHidden/>
              </w:rPr>
              <w:fldChar w:fldCharType="end"/>
            </w:r>
          </w:hyperlink>
        </w:p>
        <w:p w14:paraId="6CCE59E5" w14:textId="4A590D5B" w:rsidR="00953D60" w:rsidRPr="00C6393F" w:rsidRDefault="00953D60" w:rsidP="006D5105">
          <w:pPr>
            <w:pStyle w:val="TOC1"/>
            <w:rPr>
              <w:rFonts w:eastAsiaTheme="minorEastAsia"/>
            </w:rPr>
          </w:pPr>
          <w:hyperlink w:anchor="_Toc32496103" w:history="1">
            <w:r w:rsidRPr="00C6393F">
              <w:rPr>
                <w:rStyle w:val="Hyperlink"/>
              </w:rPr>
              <w:t>I.</w:t>
            </w:r>
            <w:r w:rsidRPr="00C6393F">
              <w:rPr>
                <w:rFonts w:eastAsiaTheme="minorEastAsia"/>
              </w:rPr>
              <w:tab/>
            </w:r>
            <w:r w:rsidRPr="00C6393F">
              <w:rPr>
                <w:rStyle w:val="Hyperlink"/>
              </w:rPr>
              <w:t>Introduction</w:t>
            </w:r>
            <w:r w:rsidRPr="00C6393F">
              <w:rPr>
                <w:webHidden/>
              </w:rPr>
              <w:tab/>
            </w:r>
            <w:r w:rsidRPr="00C6393F">
              <w:rPr>
                <w:webHidden/>
              </w:rPr>
              <w:fldChar w:fldCharType="begin"/>
            </w:r>
            <w:r w:rsidRPr="00C6393F">
              <w:rPr>
                <w:webHidden/>
              </w:rPr>
              <w:instrText xml:space="preserve"> PAGEREF _Toc32496103 \h </w:instrText>
            </w:r>
            <w:r w:rsidRPr="00C6393F">
              <w:rPr>
                <w:webHidden/>
              </w:rPr>
            </w:r>
            <w:r w:rsidRPr="00C6393F">
              <w:rPr>
                <w:webHidden/>
              </w:rPr>
              <w:fldChar w:fldCharType="separate"/>
            </w:r>
            <w:r w:rsidR="00115CB3">
              <w:rPr>
                <w:webHidden/>
              </w:rPr>
              <w:t>4</w:t>
            </w:r>
            <w:r w:rsidRPr="00C6393F">
              <w:rPr>
                <w:webHidden/>
              </w:rPr>
              <w:fldChar w:fldCharType="end"/>
            </w:r>
          </w:hyperlink>
        </w:p>
        <w:p w14:paraId="435BA7D1" w14:textId="36EDC55F" w:rsidR="00953D60" w:rsidRPr="00C6393F" w:rsidRDefault="00953D60" w:rsidP="006D5105">
          <w:pPr>
            <w:pStyle w:val="TOC1"/>
            <w:rPr>
              <w:rFonts w:eastAsiaTheme="minorEastAsia"/>
            </w:rPr>
          </w:pPr>
          <w:hyperlink w:anchor="_Toc32496104" w:history="1">
            <w:r w:rsidRPr="00C6393F">
              <w:rPr>
                <w:rStyle w:val="Hyperlink"/>
              </w:rPr>
              <w:t>II.</w:t>
            </w:r>
            <w:r w:rsidRPr="00C6393F">
              <w:rPr>
                <w:rFonts w:eastAsiaTheme="minorEastAsia"/>
              </w:rPr>
              <w:tab/>
            </w:r>
            <w:r w:rsidRPr="00C6393F">
              <w:rPr>
                <w:rStyle w:val="Hyperlink"/>
              </w:rPr>
              <w:t>Objectives</w:t>
            </w:r>
            <w:r w:rsidRPr="00C6393F">
              <w:rPr>
                <w:webHidden/>
              </w:rPr>
              <w:tab/>
            </w:r>
            <w:r w:rsidRPr="00C6393F">
              <w:rPr>
                <w:webHidden/>
              </w:rPr>
              <w:fldChar w:fldCharType="begin"/>
            </w:r>
            <w:r w:rsidRPr="00C6393F">
              <w:rPr>
                <w:webHidden/>
              </w:rPr>
              <w:instrText xml:space="preserve"> PAGEREF _Toc32496104 \h </w:instrText>
            </w:r>
            <w:r w:rsidRPr="00C6393F">
              <w:rPr>
                <w:webHidden/>
              </w:rPr>
            </w:r>
            <w:r w:rsidRPr="00C6393F">
              <w:rPr>
                <w:webHidden/>
              </w:rPr>
              <w:fldChar w:fldCharType="separate"/>
            </w:r>
            <w:r w:rsidR="00115CB3">
              <w:rPr>
                <w:webHidden/>
              </w:rPr>
              <w:t>5</w:t>
            </w:r>
            <w:r w:rsidRPr="00C6393F">
              <w:rPr>
                <w:webHidden/>
              </w:rPr>
              <w:fldChar w:fldCharType="end"/>
            </w:r>
          </w:hyperlink>
        </w:p>
        <w:p w14:paraId="2E41E00F" w14:textId="1EE09328" w:rsidR="00953D60" w:rsidRPr="00C6393F" w:rsidRDefault="00953D60" w:rsidP="006D5105">
          <w:pPr>
            <w:pStyle w:val="TOC1"/>
            <w:rPr>
              <w:rFonts w:eastAsiaTheme="minorEastAsia"/>
            </w:rPr>
          </w:pPr>
          <w:hyperlink w:anchor="_Toc32496105" w:history="1">
            <w:r w:rsidRPr="00C6393F">
              <w:rPr>
                <w:rStyle w:val="Hyperlink"/>
              </w:rPr>
              <w:t>III.</w:t>
            </w:r>
            <w:r w:rsidRPr="00C6393F">
              <w:rPr>
                <w:rFonts w:eastAsiaTheme="minorEastAsia"/>
              </w:rPr>
              <w:tab/>
            </w:r>
            <w:r w:rsidRPr="00C6393F">
              <w:rPr>
                <w:rStyle w:val="Hyperlink"/>
              </w:rPr>
              <w:t>Oral Health Surveillance System Logic Model</w:t>
            </w:r>
            <w:r w:rsidRPr="00C6393F">
              <w:rPr>
                <w:webHidden/>
              </w:rPr>
              <w:tab/>
            </w:r>
            <w:r w:rsidR="007D0248">
              <w:rPr>
                <w:webHidden/>
              </w:rPr>
              <w:t>7</w:t>
            </w:r>
          </w:hyperlink>
        </w:p>
        <w:p w14:paraId="303D5ED7" w14:textId="31AD363E" w:rsidR="00953D60" w:rsidRPr="006D5105" w:rsidRDefault="00953D60" w:rsidP="006D5105">
          <w:pPr>
            <w:pStyle w:val="TOC1"/>
            <w:rPr>
              <w:rFonts w:eastAsiaTheme="minorEastAsia"/>
            </w:rPr>
          </w:pPr>
          <w:hyperlink w:anchor="_Toc32496106" w:history="1">
            <w:r w:rsidRPr="006D5105">
              <w:rPr>
                <w:rStyle w:val="Hyperlink"/>
                <w:color w:val="auto"/>
              </w:rPr>
              <w:t>IV.</w:t>
            </w:r>
            <w:r w:rsidRPr="006D5105">
              <w:rPr>
                <w:rFonts w:eastAsiaTheme="minorEastAsia"/>
              </w:rPr>
              <w:tab/>
            </w:r>
            <w:r w:rsidRPr="006D5105">
              <w:rPr>
                <w:rStyle w:val="Hyperlink"/>
                <w:color w:val="auto"/>
              </w:rPr>
              <w:t>Oral Health Indicators and Data Sources</w:t>
            </w:r>
            <w:r w:rsidRPr="006D5105">
              <w:rPr>
                <w:webHidden/>
              </w:rPr>
              <w:tab/>
            </w:r>
            <w:r w:rsidR="007D0248" w:rsidRPr="006D5105">
              <w:rPr>
                <w:webHidden/>
              </w:rPr>
              <w:t>10</w:t>
            </w:r>
          </w:hyperlink>
        </w:p>
        <w:p w14:paraId="3D6C2B35" w14:textId="1D685399" w:rsidR="00953D60" w:rsidRPr="006D5105" w:rsidRDefault="00953D60" w:rsidP="006D5105">
          <w:pPr>
            <w:pStyle w:val="TOC1"/>
            <w:rPr>
              <w:rFonts w:eastAsiaTheme="minorEastAsia"/>
            </w:rPr>
          </w:pPr>
          <w:hyperlink w:anchor="_Toc32496107" w:history="1">
            <w:r w:rsidRPr="006D5105">
              <w:rPr>
                <w:rStyle w:val="Hyperlink"/>
                <w:color w:val="auto"/>
              </w:rPr>
              <w:t>V.</w:t>
            </w:r>
            <w:r w:rsidRPr="006D5105">
              <w:rPr>
                <w:rFonts w:eastAsiaTheme="minorEastAsia"/>
              </w:rPr>
              <w:tab/>
            </w:r>
            <w:r w:rsidRPr="006D5105">
              <w:rPr>
                <w:rStyle w:val="Hyperlink"/>
                <w:color w:val="auto"/>
              </w:rPr>
              <w:t>Data Dissemination and Use</w:t>
            </w:r>
            <w:r w:rsidRPr="006D5105">
              <w:rPr>
                <w:webHidden/>
              </w:rPr>
              <w:tab/>
            </w:r>
            <w:r w:rsidR="006D5105" w:rsidRPr="006D5105">
              <w:rPr>
                <w:webHidden/>
              </w:rPr>
              <w:t>18</w:t>
            </w:r>
          </w:hyperlink>
        </w:p>
        <w:p w14:paraId="79C26691" w14:textId="03A9DB2E" w:rsidR="00953D60" w:rsidRPr="006D5105" w:rsidRDefault="00953D60" w:rsidP="006D5105">
          <w:pPr>
            <w:pStyle w:val="TOC1"/>
            <w:rPr>
              <w:rFonts w:eastAsiaTheme="minorEastAsia"/>
            </w:rPr>
          </w:pPr>
          <w:hyperlink w:anchor="_Toc32496108" w:history="1">
            <w:r w:rsidRPr="006D5105">
              <w:rPr>
                <w:rStyle w:val="Hyperlink"/>
                <w:color w:val="auto"/>
              </w:rPr>
              <w:t>VI.</w:t>
            </w:r>
            <w:r w:rsidRPr="006D5105">
              <w:rPr>
                <w:rFonts w:eastAsiaTheme="minorEastAsia"/>
              </w:rPr>
              <w:tab/>
            </w:r>
            <w:r w:rsidRPr="006D5105">
              <w:rPr>
                <w:rStyle w:val="Hyperlink"/>
                <w:color w:val="auto"/>
              </w:rPr>
              <w:t>Resources and Sustainability</w:t>
            </w:r>
            <w:r w:rsidRPr="006D5105">
              <w:rPr>
                <w:webHidden/>
              </w:rPr>
              <w:tab/>
            </w:r>
            <w:r w:rsidR="006801A7">
              <w:rPr>
                <w:webHidden/>
              </w:rPr>
              <w:t>20</w:t>
            </w:r>
          </w:hyperlink>
        </w:p>
        <w:p w14:paraId="31E5D278" w14:textId="3274263D" w:rsidR="00953D60" w:rsidRPr="006D5105" w:rsidRDefault="00953D60" w:rsidP="006D5105">
          <w:pPr>
            <w:pStyle w:val="TOC1"/>
            <w:rPr>
              <w:rFonts w:eastAsiaTheme="minorEastAsia"/>
            </w:rPr>
          </w:pPr>
          <w:hyperlink w:anchor="_Toc32496109" w:history="1">
            <w:r w:rsidRPr="006D5105">
              <w:rPr>
                <w:rStyle w:val="Hyperlink"/>
                <w:color w:val="auto"/>
              </w:rPr>
              <w:t>VII.</w:t>
            </w:r>
            <w:r w:rsidRPr="006D5105">
              <w:rPr>
                <w:rFonts w:eastAsiaTheme="minorEastAsia"/>
              </w:rPr>
              <w:tab/>
            </w:r>
            <w:r w:rsidRPr="006D5105">
              <w:rPr>
                <w:rStyle w:val="Hyperlink"/>
                <w:color w:val="auto"/>
              </w:rPr>
              <w:t>Privacy and Data Confidentiality</w:t>
            </w:r>
            <w:r w:rsidRPr="006D5105">
              <w:rPr>
                <w:webHidden/>
              </w:rPr>
              <w:tab/>
            </w:r>
            <w:r w:rsidR="006801A7">
              <w:rPr>
                <w:webHidden/>
              </w:rPr>
              <w:t>23</w:t>
            </w:r>
          </w:hyperlink>
        </w:p>
        <w:p w14:paraId="324C74B3" w14:textId="7ED2F408" w:rsidR="00953D60" w:rsidRPr="001319C8" w:rsidRDefault="00953D60" w:rsidP="006D5105">
          <w:pPr>
            <w:pStyle w:val="TOC1"/>
            <w:rPr>
              <w:rFonts w:eastAsiaTheme="minorEastAsia"/>
            </w:rPr>
          </w:pPr>
          <w:hyperlink w:anchor="_Toc32496110" w:history="1">
            <w:r w:rsidRPr="00C6393F">
              <w:rPr>
                <w:rStyle w:val="Hyperlink"/>
              </w:rPr>
              <w:t>VIII.</w:t>
            </w:r>
            <w:r w:rsidRPr="00C6393F">
              <w:rPr>
                <w:rFonts w:eastAsiaTheme="minorEastAsia"/>
              </w:rPr>
              <w:tab/>
            </w:r>
            <w:r w:rsidRPr="00C6393F">
              <w:rPr>
                <w:rStyle w:val="Hyperlink"/>
              </w:rPr>
              <w:t>Evaluation</w:t>
            </w:r>
            <w:r w:rsidRPr="00C6393F">
              <w:rPr>
                <w:webHidden/>
              </w:rPr>
              <w:tab/>
            </w:r>
            <w:r w:rsidR="006801A7">
              <w:rPr>
                <w:webHidden/>
              </w:rPr>
              <w:t>24</w:t>
            </w:r>
          </w:hyperlink>
        </w:p>
        <w:p w14:paraId="3A25CCE5" w14:textId="77777777" w:rsidR="00953D60" w:rsidRPr="00C6393F" w:rsidRDefault="00953D60" w:rsidP="00953D60">
          <w:pPr>
            <w:rPr>
              <w:rFonts w:cstheme="minorHAnsi"/>
              <w:sz w:val="24"/>
              <w:szCs w:val="24"/>
            </w:rPr>
          </w:pPr>
          <w:r w:rsidRPr="00C6393F">
            <w:rPr>
              <w:rFonts w:cstheme="minorHAnsi"/>
              <w:b/>
              <w:bCs/>
              <w:noProof/>
              <w:sz w:val="24"/>
              <w:szCs w:val="24"/>
            </w:rPr>
            <w:fldChar w:fldCharType="end"/>
          </w:r>
        </w:p>
      </w:sdtContent>
    </w:sdt>
    <w:p w14:paraId="7E1591CE" w14:textId="77777777" w:rsidR="00EB0A4C" w:rsidRDefault="00EB0A4C" w:rsidP="00EB0A4C">
      <w:pPr>
        <w:rPr>
          <w:rFonts w:asciiTheme="majorHAnsi" w:hAnsiTheme="majorHAnsi" w:cstheme="minorHAnsi"/>
          <w:bCs/>
          <w:color w:val="365F91" w:themeColor="accent1" w:themeShade="BF"/>
          <w:sz w:val="24"/>
          <w:szCs w:val="24"/>
        </w:rPr>
      </w:pPr>
      <w:bookmarkStart w:id="3" w:name="_Toc32496101"/>
    </w:p>
    <w:p w14:paraId="106386F4" w14:textId="77777777" w:rsidR="006801A7" w:rsidRPr="00EB0A4C" w:rsidRDefault="006801A7" w:rsidP="006801A7">
      <w:pPr>
        <w:pStyle w:val="Heading1"/>
        <w:rPr>
          <w:rFonts w:cstheme="minorHAnsi"/>
          <w:color w:val="4F81BD" w:themeColor="accent1"/>
          <w:sz w:val="24"/>
          <w:szCs w:val="24"/>
        </w:rPr>
      </w:pPr>
      <w:r w:rsidRPr="00EB0A4C">
        <w:rPr>
          <w:rFonts w:cstheme="minorHAnsi"/>
          <w:color w:val="4F81BD" w:themeColor="accent1"/>
          <w:sz w:val="24"/>
          <w:szCs w:val="24"/>
        </w:rPr>
        <w:t>List of Tables and Figures</w:t>
      </w:r>
    </w:p>
    <w:p w14:paraId="553CE5AD" w14:textId="77777777" w:rsidR="006801A7" w:rsidRPr="00554064" w:rsidRDefault="006801A7" w:rsidP="006801A7">
      <w:pPr>
        <w:pStyle w:val="TableofFigures"/>
        <w:tabs>
          <w:tab w:val="right" w:leader="dot" w:pos="9350"/>
        </w:tabs>
        <w:rPr>
          <w:rFonts w:eastAsiaTheme="minorEastAsia" w:cstheme="minorHAnsi"/>
          <w:i/>
          <w:iCs/>
          <w:noProof/>
          <w:sz w:val="24"/>
          <w:szCs w:val="24"/>
        </w:rPr>
      </w:pPr>
      <w:r w:rsidRPr="00C6393F">
        <w:rPr>
          <w:rFonts w:cstheme="minorHAnsi"/>
          <w:b/>
          <w:sz w:val="24"/>
          <w:szCs w:val="24"/>
        </w:rPr>
        <w:fldChar w:fldCharType="begin"/>
      </w:r>
      <w:r w:rsidRPr="00C6393F">
        <w:rPr>
          <w:rFonts w:cstheme="minorHAnsi"/>
          <w:b/>
          <w:sz w:val="24"/>
          <w:szCs w:val="24"/>
        </w:rPr>
        <w:instrText xml:space="preserve"> TOC \h \z \c "Table" </w:instrText>
      </w:r>
      <w:r w:rsidRPr="00C6393F">
        <w:rPr>
          <w:rFonts w:cstheme="minorHAnsi"/>
          <w:b/>
          <w:sz w:val="24"/>
          <w:szCs w:val="24"/>
        </w:rPr>
        <w:fldChar w:fldCharType="separate"/>
      </w:r>
      <w:hyperlink w:anchor="_Toc32496093" w:history="1">
        <w:r w:rsidRPr="00554064">
          <w:rPr>
            <w:rStyle w:val="Hyperlink"/>
            <w:rFonts w:cstheme="minorHAnsi"/>
            <w:i/>
            <w:iCs/>
            <w:noProof/>
            <w:sz w:val="24"/>
            <w:szCs w:val="24"/>
          </w:rPr>
          <w:t>Table 1: Virginia’s DP24-0048 Logic Model ………………………………………………………………………………7 Table 2: Virginia’s Oral Health Surveillance Indicators</w:t>
        </w:r>
        <w:r w:rsidRPr="00554064">
          <w:rPr>
            <w:rFonts w:cstheme="minorHAnsi"/>
            <w:i/>
            <w:iCs/>
            <w:noProof/>
            <w:webHidden/>
            <w:sz w:val="24"/>
            <w:szCs w:val="24"/>
          </w:rPr>
          <w:t>……………………………………………………………..10</w:t>
        </w:r>
      </w:hyperlink>
    </w:p>
    <w:p w14:paraId="1C44100A" w14:textId="77777777" w:rsidR="006801A7" w:rsidRPr="00554064" w:rsidRDefault="006801A7" w:rsidP="006801A7">
      <w:pPr>
        <w:pStyle w:val="TableofFigures"/>
        <w:tabs>
          <w:tab w:val="right" w:leader="dot" w:pos="9350"/>
        </w:tabs>
        <w:rPr>
          <w:rFonts w:eastAsiaTheme="minorEastAsia" w:cstheme="minorHAnsi"/>
          <w:noProof/>
          <w:sz w:val="24"/>
          <w:szCs w:val="24"/>
        </w:rPr>
      </w:pPr>
      <w:hyperlink w:anchor="_Toc32496094" w:history="1">
        <w:r w:rsidRPr="00554064">
          <w:rPr>
            <w:rStyle w:val="Hyperlink"/>
            <w:rFonts w:cstheme="minorHAnsi"/>
            <w:i/>
            <w:iCs/>
            <w:noProof/>
            <w:sz w:val="24"/>
            <w:szCs w:val="24"/>
          </w:rPr>
          <w:t>Table 3: Description of Additional Data Sources</w:t>
        </w:r>
        <w:r w:rsidRPr="00554064">
          <w:rPr>
            <w:rFonts w:cstheme="minorHAnsi"/>
            <w:i/>
            <w:iCs/>
            <w:noProof/>
            <w:webHidden/>
            <w:sz w:val="24"/>
            <w:szCs w:val="24"/>
          </w:rPr>
          <w:t xml:space="preserve"> ………………………………………………………………………17</w:t>
        </w:r>
      </w:hyperlink>
    </w:p>
    <w:p w14:paraId="1719ED20" w14:textId="7A282293" w:rsidR="00EB0A4C" w:rsidRDefault="006801A7" w:rsidP="006801A7">
      <w:pPr>
        <w:rPr>
          <w:rFonts w:asciiTheme="majorHAnsi" w:hAnsiTheme="majorHAnsi" w:cstheme="minorHAnsi"/>
          <w:bCs/>
          <w:color w:val="365F91" w:themeColor="accent1" w:themeShade="BF"/>
          <w:sz w:val="24"/>
          <w:szCs w:val="24"/>
        </w:rPr>
      </w:pPr>
      <w:r w:rsidRPr="00C6393F">
        <w:rPr>
          <w:rFonts w:cstheme="minorHAnsi"/>
          <w:b/>
          <w:sz w:val="24"/>
          <w:szCs w:val="24"/>
        </w:rPr>
        <w:fldChar w:fldCharType="end"/>
      </w:r>
    </w:p>
    <w:p w14:paraId="2357D218" w14:textId="77777777" w:rsidR="00EB0A4C" w:rsidRDefault="00EB0A4C" w:rsidP="00EB0A4C">
      <w:pPr>
        <w:rPr>
          <w:rFonts w:asciiTheme="majorHAnsi" w:hAnsiTheme="majorHAnsi" w:cstheme="minorHAnsi"/>
          <w:bCs/>
          <w:color w:val="365F91" w:themeColor="accent1" w:themeShade="BF"/>
          <w:sz w:val="24"/>
          <w:szCs w:val="24"/>
        </w:rPr>
      </w:pPr>
    </w:p>
    <w:p w14:paraId="21E94F72" w14:textId="77777777" w:rsidR="00EB0A4C" w:rsidRDefault="00EB0A4C" w:rsidP="00EB0A4C">
      <w:pPr>
        <w:rPr>
          <w:rFonts w:asciiTheme="majorHAnsi" w:hAnsiTheme="majorHAnsi" w:cstheme="minorHAnsi"/>
          <w:bCs/>
          <w:color w:val="365F91" w:themeColor="accent1" w:themeShade="BF"/>
          <w:sz w:val="24"/>
          <w:szCs w:val="24"/>
        </w:rPr>
      </w:pPr>
    </w:p>
    <w:p w14:paraId="357CBA19" w14:textId="77777777" w:rsidR="00EB0A4C" w:rsidRDefault="00EB0A4C" w:rsidP="00EB0A4C">
      <w:pPr>
        <w:rPr>
          <w:rFonts w:asciiTheme="majorHAnsi" w:hAnsiTheme="majorHAnsi" w:cstheme="minorHAnsi"/>
          <w:bCs/>
          <w:color w:val="365F91" w:themeColor="accent1" w:themeShade="BF"/>
          <w:sz w:val="24"/>
          <w:szCs w:val="24"/>
        </w:rPr>
      </w:pPr>
    </w:p>
    <w:p w14:paraId="40C27483" w14:textId="77777777" w:rsidR="00EB0A4C" w:rsidRDefault="00EB0A4C" w:rsidP="00EB0A4C">
      <w:pPr>
        <w:rPr>
          <w:rFonts w:asciiTheme="majorHAnsi" w:hAnsiTheme="majorHAnsi" w:cstheme="minorHAnsi"/>
          <w:bCs/>
          <w:color w:val="365F91" w:themeColor="accent1" w:themeShade="BF"/>
          <w:sz w:val="24"/>
          <w:szCs w:val="24"/>
        </w:rPr>
      </w:pPr>
    </w:p>
    <w:p w14:paraId="39FEED58" w14:textId="77777777" w:rsidR="00EB0A4C" w:rsidRDefault="00EB0A4C" w:rsidP="00EB0A4C">
      <w:pPr>
        <w:rPr>
          <w:rFonts w:asciiTheme="majorHAnsi" w:hAnsiTheme="majorHAnsi" w:cstheme="minorHAnsi"/>
          <w:bCs/>
          <w:color w:val="365F91" w:themeColor="accent1" w:themeShade="BF"/>
          <w:sz w:val="24"/>
          <w:szCs w:val="24"/>
        </w:rPr>
      </w:pPr>
    </w:p>
    <w:p w14:paraId="6126BBBC" w14:textId="77777777" w:rsidR="00EB0A4C" w:rsidRDefault="00EB0A4C" w:rsidP="00EB0A4C">
      <w:pPr>
        <w:rPr>
          <w:rFonts w:asciiTheme="majorHAnsi" w:hAnsiTheme="majorHAnsi" w:cstheme="minorHAnsi"/>
          <w:bCs/>
          <w:color w:val="365F91" w:themeColor="accent1" w:themeShade="BF"/>
          <w:sz w:val="24"/>
          <w:szCs w:val="24"/>
        </w:rPr>
      </w:pPr>
    </w:p>
    <w:p w14:paraId="7466509C" w14:textId="77777777" w:rsidR="00EB0A4C" w:rsidRDefault="00EB0A4C" w:rsidP="00EB0A4C">
      <w:pPr>
        <w:rPr>
          <w:rFonts w:asciiTheme="majorHAnsi" w:hAnsiTheme="majorHAnsi" w:cstheme="minorHAnsi"/>
          <w:bCs/>
          <w:color w:val="365F91" w:themeColor="accent1" w:themeShade="BF"/>
          <w:sz w:val="24"/>
          <w:szCs w:val="24"/>
        </w:rPr>
      </w:pPr>
    </w:p>
    <w:p w14:paraId="77443E92" w14:textId="77777777" w:rsidR="00EB0A4C" w:rsidRDefault="00EB0A4C" w:rsidP="00EB0A4C">
      <w:pPr>
        <w:rPr>
          <w:rFonts w:asciiTheme="majorHAnsi" w:hAnsiTheme="majorHAnsi" w:cstheme="minorHAnsi"/>
          <w:bCs/>
          <w:color w:val="365F91" w:themeColor="accent1" w:themeShade="BF"/>
          <w:sz w:val="24"/>
          <w:szCs w:val="24"/>
        </w:rPr>
      </w:pPr>
    </w:p>
    <w:p w14:paraId="6E0695E2" w14:textId="77777777" w:rsidR="00EB0A4C" w:rsidRDefault="00EB0A4C" w:rsidP="00EB0A4C">
      <w:pPr>
        <w:rPr>
          <w:rFonts w:asciiTheme="majorHAnsi" w:hAnsiTheme="majorHAnsi" w:cstheme="minorHAnsi"/>
          <w:bCs/>
          <w:color w:val="365F91" w:themeColor="accent1" w:themeShade="BF"/>
          <w:sz w:val="24"/>
          <w:szCs w:val="24"/>
        </w:rPr>
      </w:pPr>
    </w:p>
    <w:p w14:paraId="5961CF1D" w14:textId="77777777" w:rsidR="00EB0A4C" w:rsidRDefault="00EB0A4C" w:rsidP="00EB0A4C">
      <w:pPr>
        <w:rPr>
          <w:rFonts w:asciiTheme="majorHAnsi" w:hAnsiTheme="majorHAnsi" w:cstheme="minorHAnsi"/>
          <w:bCs/>
          <w:color w:val="365F91" w:themeColor="accent1" w:themeShade="BF"/>
          <w:sz w:val="24"/>
          <w:szCs w:val="24"/>
        </w:rPr>
      </w:pPr>
    </w:p>
    <w:p w14:paraId="55F9DC4A" w14:textId="77777777" w:rsidR="00EB0A4C" w:rsidRDefault="00EB0A4C" w:rsidP="00EB0A4C">
      <w:pPr>
        <w:rPr>
          <w:rFonts w:asciiTheme="majorHAnsi" w:hAnsiTheme="majorHAnsi" w:cstheme="minorHAnsi"/>
          <w:bCs/>
          <w:color w:val="365F91" w:themeColor="accent1" w:themeShade="BF"/>
          <w:sz w:val="24"/>
          <w:szCs w:val="24"/>
        </w:rPr>
      </w:pPr>
    </w:p>
    <w:p w14:paraId="44C7708C" w14:textId="4657C9C8" w:rsidR="00EB0A4C" w:rsidRPr="00EB0A4C" w:rsidRDefault="00EB0A4C" w:rsidP="00EB0A4C">
      <w:pPr>
        <w:rPr>
          <w:rFonts w:asciiTheme="majorHAnsi" w:hAnsiTheme="majorHAnsi" w:cstheme="minorHAnsi"/>
          <w:bCs/>
          <w:color w:val="365F91" w:themeColor="accent1" w:themeShade="BF"/>
          <w:sz w:val="24"/>
          <w:szCs w:val="24"/>
        </w:rPr>
      </w:pPr>
      <w:r w:rsidRPr="00EB0A4C">
        <w:rPr>
          <w:rFonts w:asciiTheme="majorHAnsi" w:hAnsiTheme="majorHAnsi" w:cstheme="minorHAnsi"/>
          <w:bCs/>
          <w:color w:val="365F91" w:themeColor="accent1" w:themeShade="BF"/>
          <w:sz w:val="24"/>
          <w:szCs w:val="24"/>
        </w:rPr>
        <w:lastRenderedPageBreak/>
        <w:t xml:space="preserve">List of Acronyms </w:t>
      </w:r>
    </w:p>
    <w:p w14:paraId="32358D18" w14:textId="77777777" w:rsidR="00EB0A4C" w:rsidRDefault="00EB0A4C" w:rsidP="00EB0A4C">
      <w:pPr>
        <w:rPr>
          <w:rFonts w:cstheme="minorHAnsi"/>
          <w:sz w:val="24"/>
          <w:szCs w:val="24"/>
        </w:rPr>
      </w:pPr>
      <w:r w:rsidRPr="00554064">
        <w:rPr>
          <w:rFonts w:cstheme="minorHAnsi"/>
          <w:b/>
          <w:sz w:val="24"/>
          <w:szCs w:val="24"/>
        </w:rPr>
        <w:t>ASTDD</w:t>
      </w:r>
      <w:r w:rsidRPr="00554064">
        <w:rPr>
          <w:rFonts w:cstheme="minorHAnsi"/>
          <w:b/>
          <w:sz w:val="24"/>
          <w:szCs w:val="24"/>
        </w:rPr>
        <w:tab/>
      </w:r>
      <w:r w:rsidRPr="00554064">
        <w:rPr>
          <w:rFonts w:cstheme="minorHAnsi"/>
          <w:sz w:val="24"/>
          <w:szCs w:val="24"/>
        </w:rPr>
        <w:tab/>
        <w:t>Association of State and Territorial Dental Directors</w:t>
      </w:r>
    </w:p>
    <w:p w14:paraId="101662F7" w14:textId="4E648F99" w:rsidR="000E3760" w:rsidRPr="00554064" w:rsidRDefault="000E3760" w:rsidP="00EB0A4C">
      <w:pPr>
        <w:rPr>
          <w:rFonts w:cstheme="minorHAnsi"/>
          <w:sz w:val="24"/>
          <w:szCs w:val="24"/>
        </w:rPr>
      </w:pPr>
      <w:r w:rsidRPr="00D44D66">
        <w:rPr>
          <w:rFonts w:cstheme="minorHAnsi"/>
          <w:b/>
          <w:bCs/>
          <w:sz w:val="24"/>
          <w:szCs w:val="24"/>
        </w:rPr>
        <w:t>ADS</w:t>
      </w:r>
      <w:r>
        <w:rPr>
          <w:rFonts w:cstheme="minorHAnsi"/>
          <w:sz w:val="24"/>
          <w:szCs w:val="24"/>
        </w:rPr>
        <w:tab/>
      </w:r>
      <w:r>
        <w:rPr>
          <w:rFonts w:cstheme="minorHAnsi"/>
          <w:sz w:val="24"/>
          <w:szCs w:val="24"/>
        </w:rPr>
        <w:tab/>
        <w:t>Association of Dental Safety</w:t>
      </w:r>
    </w:p>
    <w:p w14:paraId="4B72A138" w14:textId="77777777" w:rsidR="00EB0A4C" w:rsidRPr="00554064" w:rsidRDefault="00EB0A4C" w:rsidP="00EB0A4C">
      <w:pPr>
        <w:rPr>
          <w:rFonts w:cstheme="minorHAnsi"/>
          <w:sz w:val="24"/>
          <w:szCs w:val="24"/>
        </w:rPr>
      </w:pPr>
      <w:r w:rsidRPr="00554064">
        <w:rPr>
          <w:rFonts w:cstheme="minorHAnsi"/>
          <w:b/>
          <w:sz w:val="24"/>
          <w:szCs w:val="24"/>
        </w:rPr>
        <w:t>BSS</w:t>
      </w:r>
      <w:r w:rsidRPr="00554064">
        <w:rPr>
          <w:rFonts w:cstheme="minorHAnsi"/>
          <w:sz w:val="24"/>
          <w:szCs w:val="24"/>
        </w:rPr>
        <w:tab/>
      </w:r>
      <w:r w:rsidRPr="00554064">
        <w:rPr>
          <w:rFonts w:cstheme="minorHAnsi"/>
          <w:sz w:val="24"/>
          <w:szCs w:val="24"/>
        </w:rPr>
        <w:tab/>
        <w:t>Basic Screening Survey</w:t>
      </w:r>
    </w:p>
    <w:p w14:paraId="079FB079" w14:textId="77777777" w:rsidR="00EB0A4C" w:rsidRDefault="00EB0A4C" w:rsidP="00EB0A4C">
      <w:pPr>
        <w:rPr>
          <w:rFonts w:cstheme="minorHAnsi"/>
          <w:sz w:val="24"/>
          <w:szCs w:val="24"/>
        </w:rPr>
      </w:pPr>
      <w:r w:rsidRPr="00554064">
        <w:rPr>
          <w:rFonts w:cstheme="minorHAnsi"/>
          <w:b/>
          <w:sz w:val="24"/>
          <w:szCs w:val="24"/>
        </w:rPr>
        <w:t>CDC</w:t>
      </w:r>
      <w:r w:rsidRPr="00554064">
        <w:rPr>
          <w:rFonts w:cstheme="minorHAnsi"/>
          <w:b/>
          <w:sz w:val="24"/>
          <w:szCs w:val="24"/>
        </w:rPr>
        <w:tab/>
      </w:r>
      <w:r w:rsidRPr="00554064">
        <w:rPr>
          <w:rFonts w:cstheme="minorHAnsi"/>
          <w:b/>
          <w:sz w:val="24"/>
          <w:szCs w:val="24"/>
        </w:rPr>
        <w:tab/>
      </w:r>
      <w:r w:rsidRPr="00554064">
        <w:rPr>
          <w:rFonts w:cstheme="minorHAnsi"/>
          <w:sz w:val="24"/>
          <w:szCs w:val="24"/>
        </w:rPr>
        <w:t>Centers for Disease Control and Prevention</w:t>
      </w:r>
    </w:p>
    <w:p w14:paraId="2C34C7EE" w14:textId="506CF040" w:rsidR="00D44D66" w:rsidRPr="00554064" w:rsidRDefault="00D44D66" w:rsidP="00EB0A4C">
      <w:pPr>
        <w:rPr>
          <w:rFonts w:cstheme="minorHAnsi"/>
          <w:sz w:val="24"/>
          <w:szCs w:val="24"/>
        </w:rPr>
      </w:pPr>
      <w:r w:rsidRPr="00D44D66">
        <w:rPr>
          <w:rFonts w:cstheme="minorHAnsi"/>
          <w:b/>
          <w:bCs/>
          <w:sz w:val="24"/>
          <w:szCs w:val="24"/>
        </w:rPr>
        <w:t>CWF</w:t>
      </w:r>
      <w:r>
        <w:rPr>
          <w:rFonts w:cstheme="minorHAnsi"/>
          <w:sz w:val="24"/>
          <w:szCs w:val="24"/>
        </w:rPr>
        <w:tab/>
      </w:r>
      <w:r>
        <w:rPr>
          <w:rFonts w:cstheme="minorHAnsi"/>
          <w:sz w:val="24"/>
          <w:szCs w:val="24"/>
        </w:rPr>
        <w:tab/>
        <w:t>Community Water Fluoridation</w:t>
      </w:r>
    </w:p>
    <w:p w14:paraId="1441BE3E" w14:textId="77777777" w:rsidR="00EB0A4C" w:rsidRPr="00554064" w:rsidRDefault="00EB0A4C" w:rsidP="00EB0A4C">
      <w:pPr>
        <w:rPr>
          <w:rFonts w:cstheme="minorHAnsi"/>
          <w:color w:val="000000" w:themeColor="text1"/>
          <w:sz w:val="24"/>
          <w:szCs w:val="24"/>
        </w:rPr>
      </w:pPr>
      <w:r w:rsidRPr="00554064">
        <w:rPr>
          <w:rFonts w:cstheme="minorHAnsi"/>
          <w:b/>
          <w:color w:val="000000" w:themeColor="text1"/>
          <w:sz w:val="24"/>
          <w:szCs w:val="24"/>
        </w:rPr>
        <w:t>DOE</w:t>
      </w:r>
      <w:r w:rsidRPr="00554064">
        <w:rPr>
          <w:rFonts w:cstheme="minorHAnsi"/>
          <w:b/>
          <w:color w:val="000000" w:themeColor="text1"/>
          <w:sz w:val="24"/>
          <w:szCs w:val="24"/>
        </w:rPr>
        <w:tab/>
      </w:r>
      <w:r w:rsidRPr="00554064">
        <w:rPr>
          <w:rFonts w:cstheme="minorHAnsi"/>
          <w:b/>
          <w:color w:val="000000" w:themeColor="text1"/>
          <w:sz w:val="24"/>
          <w:szCs w:val="24"/>
        </w:rPr>
        <w:tab/>
      </w:r>
      <w:r w:rsidRPr="00554064">
        <w:rPr>
          <w:rFonts w:cstheme="minorHAnsi"/>
          <w:color w:val="000000" w:themeColor="text1"/>
          <w:sz w:val="24"/>
          <w:szCs w:val="24"/>
        </w:rPr>
        <w:t>Department of Education</w:t>
      </w:r>
    </w:p>
    <w:p w14:paraId="392C1169" w14:textId="77777777" w:rsidR="00EB0A4C" w:rsidRDefault="00EB0A4C" w:rsidP="00EB0A4C">
      <w:pPr>
        <w:rPr>
          <w:rFonts w:cstheme="minorHAnsi"/>
          <w:color w:val="000000" w:themeColor="text1"/>
          <w:sz w:val="24"/>
          <w:szCs w:val="24"/>
        </w:rPr>
      </w:pPr>
      <w:r w:rsidRPr="00554064">
        <w:rPr>
          <w:rFonts w:cstheme="minorHAnsi"/>
          <w:b/>
          <w:color w:val="000000" w:themeColor="text1"/>
          <w:sz w:val="24"/>
          <w:szCs w:val="24"/>
        </w:rPr>
        <w:t>DOH</w:t>
      </w:r>
      <w:r w:rsidRPr="00554064">
        <w:rPr>
          <w:rFonts w:cstheme="minorHAnsi"/>
          <w:color w:val="000000" w:themeColor="text1"/>
          <w:sz w:val="24"/>
          <w:szCs w:val="24"/>
        </w:rPr>
        <w:tab/>
      </w:r>
      <w:r w:rsidRPr="00554064">
        <w:rPr>
          <w:rFonts w:cstheme="minorHAnsi"/>
          <w:color w:val="000000" w:themeColor="text1"/>
          <w:sz w:val="24"/>
          <w:szCs w:val="24"/>
        </w:rPr>
        <w:tab/>
        <w:t xml:space="preserve">Division of Oral Health </w:t>
      </w:r>
    </w:p>
    <w:p w14:paraId="465E8291" w14:textId="05625DC2" w:rsidR="00D674E7" w:rsidRPr="00554064" w:rsidRDefault="00D674E7" w:rsidP="00EB0A4C">
      <w:pPr>
        <w:rPr>
          <w:rFonts w:cstheme="minorHAnsi"/>
          <w:color w:val="000000" w:themeColor="text1"/>
          <w:sz w:val="24"/>
          <w:szCs w:val="24"/>
        </w:rPr>
      </w:pPr>
      <w:r w:rsidRPr="004F5774">
        <w:rPr>
          <w:rFonts w:cstheme="minorHAnsi"/>
          <w:b/>
          <w:bCs/>
          <w:color w:val="000000" w:themeColor="text1"/>
          <w:sz w:val="24"/>
          <w:szCs w:val="24"/>
        </w:rPr>
        <w:t>DPHP</w:t>
      </w:r>
      <w:r>
        <w:rPr>
          <w:rFonts w:cstheme="minorHAnsi"/>
          <w:color w:val="000000" w:themeColor="text1"/>
          <w:sz w:val="24"/>
          <w:szCs w:val="24"/>
        </w:rPr>
        <w:tab/>
      </w:r>
      <w:r>
        <w:rPr>
          <w:rFonts w:cstheme="minorHAnsi"/>
          <w:color w:val="000000" w:themeColor="text1"/>
          <w:sz w:val="24"/>
          <w:szCs w:val="24"/>
        </w:rPr>
        <w:tab/>
        <w:t>Division of Prevention and Health Promotion</w:t>
      </w:r>
    </w:p>
    <w:p w14:paraId="6AA4CE85" w14:textId="77777777" w:rsidR="00EB0A4C" w:rsidRDefault="00EB0A4C" w:rsidP="00EB0A4C">
      <w:pPr>
        <w:rPr>
          <w:rFonts w:cstheme="minorHAnsi"/>
          <w:color w:val="000000"/>
          <w:sz w:val="24"/>
          <w:szCs w:val="24"/>
        </w:rPr>
      </w:pPr>
      <w:r w:rsidRPr="00554064">
        <w:rPr>
          <w:rFonts w:cstheme="minorHAnsi"/>
          <w:b/>
          <w:bCs/>
          <w:color w:val="000000"/>
          <w:sz w:val="24"/>
          <w:szCs w:val="24"/>
        </w:rPr>
        <w:t>EBPDS</w:t>
      </w:r>
      <w:r w:rsidRPr="00554064">
        <w:rPr>
          <w:rFonts w:cstheme="minorHAnsi"/>
          <w:color w:val="000000"/>
          <w:sz w:val="24"/>
          <w:szCs w:val="24"/>
        </w:rPr>
        <w:t xml:space="preserve"> </w:t>
      </w:r>
      <w:r w:rsidRPr="00554064">
        <w:rPr>
          <w:rFonts w:cstheme="minorHAnsi"/>
          <w:color w:val="000000"/>
          <w:sz w:val="24"/>
          <w:szCs w:val="24"/>
        </w:rPr>
        <w:tab/>
      </w:r>
      <w:r w:rsidRPr="00554064">
        <w:rPr>
          <w:rFonts w:cstheme="minorHAnsi"/>
          <w:color w:val="000000"/>
          <w:sz w:val="24"/>
          <w:szCs w:val="24"/>
        </w:rPr>
        <w:tab/>
        <w:t xml:space="preserve">Evidence Based Preventive Dental Services </w:t>
      </w:r>
    </w:p>
    <w:p w14:paraId="47EC7C1B" w14:textId="093A8C97" w:rsidR="004F5774" w:rsidRPr="004F5774" w:rsidRDefault="004F5774" w:rsidP="00EB0A4C">
      <w:pPr>
        <w:rPr>
          <w:rFonts w:cstheme="minorHAnsi"/>
          <w:b/>
          <w:bCs/>
          <w:color w:val="000000"/>
          <w:sz w:val="24"/>
          <w:szCs w:val="24"/>
        </w:rPr>
      </w:pPr>
      <w:r w:rsidRPr="004F5774">
        <w:rPr>
          <w:rFonts w:cstheme="minorHAnsi"/>
          <w:b/>
          <w:bCs/>
          <w:color w:val="000000"/>
          <w:sz w:val="24"/>
          <w:szCs w:val="24"/>
        </w:rPr>
        <w:t>HAI</w:t>
      </w:r>
      <w:r>
        <w:rPr>
          <w:rFonts w:cstheme="minorHAnsi"/>
          <w:b/>
          <w:bCs/>
          <w:color w:val="000000"/>
          <w:sz w:val="24"/>
          <w:szCs w:val="24"/>
        </w:rPr>
        <w:tab/>
      </w:r>
      <w:r>
        <w:rPr>
          <w:rFonts w:cstheme="minorHAnsi"/>
          <w:b/>
          <w:bCs/>
          <w:color w:val="000000"/>
          <w:sz w:val="24"/>
          <w:szCs w:val="24"/>
        </w:rPr>
        <w:tab/>
      </w:r>
      <w:r w:rsidRPr="008210B0">
        <w:rPr>
          <w:rFonts w:cstheme="minorHAnsi"/>
          <w:color w:val="000000"/>
          <w:sz w:val="24"/>
          <w:szCs w:val="24"/>
        </w:rPr>
        <w:t>Healthcare Associated</w:t>
      </w:r>
      <w:r w:rsidR="008210B0" w:rsidRPr="008210B0">
        <w:rPr>
          <w:rFonts w:cstheme="minorHAnsi"/>
          <w:color w:val="000000"/>
          <w:sz w:val="24"/>
          <w:szCs w:val="24"/>
        </w:rPr>
        <w:t xml:space="preserve"> Infections</w:t>
      </w:r>
    </w:p>
    <w:p w14:paraId="4F93BB4D" w14:textId="77777777" w:rsidR="00EB0A4C" w:rsidRPr="00554064" w:rsidRDefault="00EB0A4C" w:rsidP="00EB0A4C">
      <w:pPr>
        <w:rPr>
          <w:rFonts w:cstheme="minorHAnsi"/>
          <w:sz w:val="24"/>
          <w:szCs w:val="24"/>
        </w:rPr>
      </w:pPr>
      <w:r w:rsidRPr="00554064">
        <w:rPr>
          <w:rFonts w:cstheme="minorHAnsi"/>
          <w:b/>
          <w:bCs/>
          <w:color w:val="000000"/>
          <w:sz w:val="24"/>
          <w:szCs w:val="24"/>
        </w:rPr>
        <w:t>IPC</w:t>
      </w:r>
      <w:r w:rsidRPr="00554064">
        <w:rPr>
          <w:rFonts w:cstheme="minorHAnsi"/>
          <w:color w:val="000000"/>
          <w:sz w:val="24"/>
          <w:szCs w:val="24"/>
        </w:rPr>
        <w:tab/>
      </w:r>
      <w:r w:rsidRPr="00554064">
        <w:rPr>
          <w:rFonts w:cstheme="minorHAnsi"/>
          <w:color w:val="000000"/>
          <w:sz w:val="24"/>
          <w:szCs w:val="24"/>
        </w:rPr>
        <w:tab/>
        <w:t>Infection Prevention and Control</w:t>
      </w:r>
    </w:p>
    <w:p w14:paraId="718563E5" w14:textId="77777777" w:rsidR="00EB0A4C" w:rsidRPr="00554064" w:rsidRDefault="00EB0A4C" w:rsidP="00EB0A4C">
      <w:pPr>
        <w:rPr>
          <w:rFonts w:cstheme="minorHAnsi"/>
          <w:sz w:val="24"/>
          <w:szCs w:val="24"/>
        </w:rPr>
      </w:pPr>
      <w:r w:rsidRPr="00554064">
        <w:rPr>
          <w:rFonts w:cstheme="minorHAnsi"/>
          <w:b/>
          <w:sz w:val="24"/>
          <w:szCs w:val="24"/>
        </w:rPr>
        <w:t>MDI</w:t>
      </w:r>
      <w:r w:rsidRPr="00554064">
        <w:rPr>
          <w:rFonts w:cstheme="minorHAnsi"/>
          <w:sz w:val="24"/>
          <w:szCs w:val="24"/>
        </w:rPr>
        <w:tab/>
      </w:r>
      <w:r w:rsidRPr="00554064">
        <w:rPr>
          <w:rFonts w:cstheme="minorHAnsi"/>
          <w:sz w:val="24"/>
          <w:szCs w:val="24"/>
        </w:rPr>
        <w:tab/>
        <w:t>Medical-Dental Integration</w:t>
      </w:r>
    </w:p>
    <w:p w14:paraId="255629C0" w14:textId="777DD43C" w:rsidR="00EB0A4C" w:rsidRDefault="00EB0A4C" w:rsidP="00EB0A4C">
      <w:pPr>
        <w:rPr>
          <w:rFonts w:cstheme="minorHAnsi"/>
          <w:sz w:val="24"/>
          <w:szCs w:val="24"/>
        </w:rPr>
      </w:pPr>
      <w:r w:rsidRPr="00554064">
        <w:rPr>
          <w:rFonts w:cstheme="minorHAnsi"/>
          <w:b/>
          <w:color w:val="000000" w:themeColor="text1"/>
          <w:sz w:val="24"/>
          <w:szCs w:val="24"/>
        </w:rPr>
        <w:t>NACDD</w:t>
      </w:r>
      <w:r w:rsidRPr="00554064">
        <w:rPr>
          <w:rFonts w:cstheme="minorHAnsi"/>
          <w:b/>
          <w:color w:val="000000" w:themeColor="text1"/>
          <w:sz w:val="24"/>
          <w:szCs w:val="24"/>
        </w:rPr>
        <w:tab/>
      </w:r>
      <w:r w:rsidRPr="00554064">
        <w:rPr>
          <w:rFonts w:cstheme="minorHAnsi"/>
          <w:sz w:val="24"/>
          <w:szCs w:val="24"/>
        </w:rPr>
        <w:t>National Association of Chronic Disease Directors</w:t>
      </w:r>
    </w:p>
    <w:p w14:paraId="20EEE7BC" w14:textId="27CF151F" w:rsidR="008210B0" w:rsidRDefault="00FE34A7" w:rsidP="00EB0A4C">
      <w:pPr>
        <w:rPr>
          <w:rFonts w:cstheme="minorHAnsi"/>
          <w:sz w:val="24"/>
          <w:szCs w:val="24"/>
        </w:rPr>
      </w:pPr>
      <w:r w:rsidRPr="00F72A4D">
        <w:rPr>
          <w:rFonts w:cstheme="minorHAnsi"/>
          <w:b/>
          <w:bCs/>
          <w:sz w:val="24"/>
          <w:szCs w:val="24"/>
        </w:rPr>
        <w:t>ODW</w:t>
      </w:r>
      <w:r>
        <w:rPr>
          <w:rFonts w:cstheme="minorHAnsi"/>
          <w:sz w:val="24"/>
          <w:szCs w:val="24"/>
        </w:rPr>
        <w:tab/>
      </w:r>
      <w:r>
        <w:rPr>
          <w:rFonts w:cstheme="minorHAnsi"/>
          <w:sz w:val="24"/>
          <w:szCs w:val="24"/>
        </w:rPr>
        <w:tab/>
        <w:t>Office of Drinking Water</w:t>
      </w:r>
    </w:p>
    <w:p w14:paraId="54FFFDEA" w14:textId="1EF048C2" w:rsidR="00FE34A7" w:rsidRDefault="00FE34A7" w:rsidP="00EB0A4C">
      <w:pPr>
        <w:rPr>
          <w:rFonts w:cstheme="minorHAnsi"/>
          <w:sz w:val="24"/>
          <w:szCs w:val="24"/>
        </w:rPr>
      </w:pPr>
      <w:r w:rsidRPr="00F72A4D">
        <w:rPr>
          <w:rFonts w:cstheme="minorHAnsi"/>
          <w:b/>
          <w:bCs/>
          <w:sz w:val="24"/>
          <w:szCs w:val="24"/>
        </w:rPr>
        <w:t>OFHS</w:t>
      </w:r>
      <w:r>
        <w:rPr>
          <w:rFonts w:cstheme="minorHAnsi"/>
          <w:sz w:val="24"/>
          <w:szCs w:val="24"/>
        </w:rPr>
        <w:tab/>
      </w:r>
      <w:r>
        <w:rPr>
          <w:rFonts w:cstheme="minorHAnsi"/>
          <w:sz w:val="24"/>
          <w:szCs w:val="24"/>
        </w:rPr>
        <w:tab/>
        <w:t>Office of Family Health Services</w:t>
      </w:r>
    </w:p>
    <w:p w14:paraId="1668C8D1" w14:textId="100BE587" w:rsidR="00F72A4D" w:rsidRDefault="00F72A4D" w:rsidP="00EB0A4C">
      <w:pPr>
        <w:rPr>
          <w:rFonts w:cstheme="minorHAnsi"/>
          <w:sz w:val="24"/>
          <w:szCs w:val="24"/>
        </w:rPr>
      </w:pPr>
      <w:r w:rsidRPr="00F72A4D">
        <w:rPr>
          <w:rFonts w:cstheme="minorHAnsi"/>
          <w:b/>
          <w:bCs/>
          <w:sz w:val="24"/>
          <w:szCs w:val="24"/>
        </w:rPr>
        <w:t>OHSS</w:t>
      </w:r>
      <w:r>
        <w:rPr>
          <w:rFonts w:cstheme="minorHAnsi"/>
          <w:sz w:val="24"/>
          <w:szCs w:val="24"/>
        </w:rPr>
        <w:tab/>
      </w:r>
      <w:r>
        <w:rPr>
          <w:rFonts w:cstheme="minorHAnsi"/>
          <w:sz w:val="24"/>
          <w:szCs w:val="24"/>
        </w:rPr>
        <w:tab/>
        <w:t>Oral Health Surveillance System</w:t>
      </w:r>
    </w:p>
    <w:p w14:paraId="02FCC025" w14:textId="324BA012" w:rsidR="00E71264" w:rsidRDefault="00E71264" w:rsidP="00EB0A4C">
      <w:pPr>
        <w:rPr>
          <w:rFonts w:cstheme="minorHAnsi"/>
          <w:sz w:val="24"/>
          <w:szCs w:val="24"/>
        </w:rPr>
      </w:pPr>
      <w:r w:rsidRPr="00554064">
        <w:rPr>
          <w:rFonts w:cstheme="minorHAnsi"/>
          <w:b/>
          <w:sz w:val="24"/>
          <w:szCs w:val="24"/>
        </w:rPr>
        <w:t>SOHP</w:t>
      </w:r>
      <w:r w:rsidRPr="00554064">
        <w:rPr>
          <w:rFonts w:cstheme="minorHAnsi"/>
          <w:sz w:val="24"/>
          <w:szCs w:val="24"/>
        </w:rPr>
        <w:tab/>
      </w:r>
      <w:r w:rsidRPr="00554064">
        <w:rPr>
          <w:rFonts w:cstheme="minorHAnsi"/>
          <w:sz w:val="24"/>
          <w:szCs w:val="24"/>
        </w:rPr>
        <w:tab/>
        <w:t xml:space="preserve">State Oral Health Program </w:t>
      </w:r>
    </w:p>
    <w:p w14:paraId="7C674FB3" w14:textId="58F71A35" w:rsidR="00E71264" w:rsidRPr="00554064" w:rsidRDefault="00E71264" w:rsidP="00EB0A4C">
      <w:pPr>
        <w:rPr>
          <w:rFonts w:cstheme="minorHAnsi"/>
          <w:sz w:val="24"/>
          <w:szCs w:val="24"/>
        </w:rPr>
      </w:pPr>
      <w:r w:rsidRPr="00E71264">
        <w:rPr>
          <w:rFonts w:cstheme="minorHAnsi"/>
          <w:b/>
          <w:bCs/>
          <w:sz w:val="24"/>
          <w:szCs w:val="24"/>
        </w:rPr>
        <w:t>SSP</w:t>
      </w:r>
      <w:r>
        <w:rPr>
          <w:rFonts w:cstheme="minorHAnsi"/>
          <w:sz w:val="24"/>
          <w:szCs w:val="24"/>
        </w:rPr>
        <w:tab/>
      </w:r>
      <w:r>
        <w:rPr>
          <w:rFonts w:cstheme="minorHAnsi"/>
          <w:sz w:val="24"/>
          <w:szCs w:val="24"/>
        </w:rPr>
        <w:tab/>
        <w:t>School Sealant Program</w:t>
      </w:r>
    </w:p>
    <w:p w14:paraId="27E787A3" w14:textId="77777777" w:rsidR="00EB0A4C" w:rsidRPr="00554064" w:rsidRDefault="00EB0A4C" w:rsidP="00EB0A4C">
      <w:pPr>
        <w:rPr>
          <w:rFonts w:cstheme="minorHAnsi"/>
          <w:sz w:val="24"/>
          <w:szCs w:val="24"/>
        </w:rPr>
      </w:pPr>
      <w:r w:rsidRPr="00554064">
        <w:rPr>
          <w:rFonts w:cstheme="minorHAnsi"/>
          <w:b/>
          <w:sz w:val="24"/>
          <w:szCs w:val="24"/>
        </w:rPr>
        <w:t>VDH</w:t>
      </w:r>
      <w:r w:rsidRPr="00554064">
        <w:rPr>
          <w:rFonts w:cstheme="minorHAnsi"/>
          <w:b/>
          <w:sz w:val="24"/>
          <w:szCs w:val="24"/>
        </w:rPr>
        <w:tab/>
      </w:r>
      <w:r w:rsidRPr="00554064">
        <w:rPr>
          <w:rFonts w:cstheme="minorHAnsi"/>
          <w:b/>
          <w:sz w:val="24"/>
          <w:szCs w:val="24"/>
        </w:rPr>
        <w:tab/>
      </w:r>
      <w:r w:rsidRPr="00554064">
        <w:rPr>
          <w:rFonts w:cstheme="minorHAnsi"/>
          <w:sz w:val="24"/>
          <w:szCs w:val="24"/>
        </w:rPr>
        <w:t>Virginia Department of Health</w:t>
      </w:r>
    </w:p>
    <w:p w14:paraId="784B3E92" w14:textId="77777777" w:rsidR="00EB0A4C" w:rsidRPr="00554064" w:rsidRDefault="00EB0A4C" w:rsidP="00EB0A4C">
      <w:pPr>
        <w:rPr>
          <w:rFonts w:cstheme="minorHAnsi"/>
          <w:sz w:val="24"/>
          <w:szCs w:val="24"/>
        </w:rPr>
      </w:pPr>
      <w:r w:rsidRPr="00554064">
        <w:rPr>
          <w:rFonts w:cstheme="minorHAnsi"/>
          <w:b/>
          <w:sz w:val="24"/>
          <w:szCs w:val="24"/>
        </w:rPr>
        <w:t>VHC</w:t>
      </w:r>
      <w:r w:rsidRPr="00554064">
        <w:rPr>
          <w:rFonts w:cstheme="minorHAnsi"/>
          <w:sz w:val="24"/>
          <w:szCs w:val="24"/>
        </w:rPr>
        <w:tab/>
      </w:r>
      <w:r w:rsidRPr="00554064">
        <w:rPr>
          <w:rFonts w:cstheme="minorHAnsi"/>
          <w:sz w:val="24"/>
          <w:szCs w:val="24"/>
        </w:rPr>
        <w:tab/>
        <w:t>Virginia Health Catalyst</w:t>
      </w:r>
    </w:p>
    <w:p w14:paraId="3DA05B5C" w14:textId="77777777" w:rsidR="00EB0A4C" w:rsidRDefault="00EB0A4C" w:rsidP="00953D60">
      <w:pPr>
        <w:pStyle w:val="Heading1"/>
        <w:rPr>
          <w:rFonts w:cstheme="minorHAnsi"/>
          <w:color w:val="4F81BD" w:themeColor="accent1"/>
          <w:sz w:val="24"/>
          <w:szCs w:val="24"/>
        </w:rPr>
      </w:pPr>
    </w:p>
    <w:bookmarkEnd w:id="3"/>
    <w:p w14:paraId="4BB08F62" w14:textId="04AA3297" w:rsidR="00953D60" w:rsidRPr="00C6393F" w:rsidRDefault="00953D60" w:rsidP="00953D60">
      <w:pPr>
        <w:rPr>
          <w:rFonts w:cstheme="minorHAnsi"/>
          <w:sz w:val="24"/>
          <w:szCs w:val="24"/>
        </w:rPr>
      </w:pPr>
    </w:p>
    <w:p w14:paraId="3D4004B1" w14:textId="77777777" w:rsidR="00953D60" w:rsidRDefault="00953D60" w:rsidP="00953D60">
      <w:pPr>
        <w:pStyle w:val="Heading1"/>
        <w:rPr>
          <w:rFonts w:cstheme="minorHAnsi"/>
          <w:sz w:val="24"/>
          <w:szCs w:val="24"/>
        </w:rPr>
      </w:pPr>
      <w:bookmarkStart w:id="4" w:name="_Toc32496102"/>
      <w:r w:rsidRPr="00C6393F">
        <w:rPr>
          <w:rFonts w:cstheme="minorHAnsi"/>
          <w:sz w:val="24"/>
          <w:szCs w:val="24"/>
        </w:rPr>
        <w:t>Acknowledgements</w:t>
      </w:r>
      <w:bookmarkEnd w:id="4"/>
    </w:p>
    <w:p w14:paraId="5C00DCC2" w14:textId="77777777" w:rsidR="00953D60" w:rsidRDefault="00953D60" w:rsidP="00953D60"/>
    <w:p w14:paraId="2821E2E2" w14:textId="5883EC11" w:rsidR="00953D60" w:rsidRPr="00554064" w:rsidRDefault="00953D60" w:rsidP="00554064">
      <w:pPr>
        <w:spacing w:line="360" w:lineRule="auto"/>
        <w:rPr>
          <w:rFonts w:cstheme="minorHAnsi"/>
          <w:sz w:val="24"/>
          <w:szCs w:val="24"/>
        </w:rPr>
      </w:pPr>
      <w:bookmarkStart w:id="5" w:name="_Hlk78524156"/>
      <w:r w:rsidRPr="00554064">
        <w:rPr>
          <w:rFonts w:cstheme="minorHAnsi"/>
          <w:sz w:val="24"/>
          <w:szCs w:val="24"/>
        </w:rPr>
        <w:lastRenderedPageBreak/>
        <w:t>The Virginia Department of Health</w:t>
      </w:r>
      <w:r w:rsidR="0036794F" w:rsidRPr="00554064">
        <w:rPr>
          <w:rFonts w:cstheme="minorHAnsi"/>
          <w:sz w:val="24"/>
          <w:szCs w:val="24"/>
        </w:rPr>
        <w:t xml:space="preserve"> (VDH)</w:t>
      </w:r>
      <w:r w:rsidRPr="00554064">
        <w:rPr>
          <w:rFonts w:cstheme="minorHAnsi"/>
          <w:sz w:val="24"/>
          <w:szCs w:val="24"/>
        </w:rPr>
        <w:t xml:space="preserve"> staff that contributed to the development of this plan are Tonya Adiches (</w:t>
      </w:r>
      <w:r w:rsidR="001319C8" w:rsidRPr="00554064">
        <w:rPr>
          <w:rFonts w:cstheme="minorHAnsi"/>
          <w:sz w:val="24"/>
          <w:szCs w:val="24"/>
        </w:rPr>
        <w:t xml:space="preserve">SOHP </w:t>
      </w:r>
      <w:r w:rsidRPr="00554064">
        <w:rPr>
          <w:rFonts w:cstheme="minorHAnsi"/>
          <w:sz w:val="24"/>
          <w:szCs w:val="24"/>
        </w:rPr>
        <w:t>Manager), Pamela Blankenship (Programs and Grants Consultant)</w:t>
      </w:r>
      <w:r w:rsidR="006D5105" w:rsidRPr="00554064">
        <w:rPr>
          <w:rFonts w:cstheme="minorHAnsi"/>
          <w:sz w:val="24"/>
          <w:szCs w:val="24"/>
        </w:rPr>
        <w:t xml:space="preserve">, </w:t>
      </w:r>
      <w:r w:rsidRPr="00554064">
        <w:rPr>
          <w:rFonts w:cstheme="minorHAnsi"/>
          <w:sz w:val="24"/>
          <w:szCs w:val="24"/>
        </w:rPr>
        <w:t xml:space="preserve">and Kalu Onwuchekwa (Epidemiologist/Evaluator). </w:t>
      </w:r>
    </w:p>
    <w:bookmarkEnd w:id="5"/>
    <w:p w14:paraId="3709BADD" w14:textId="77777777" w:rsidR="00953D60" w:rsidRDefault="00953D60" w:rsidP="00953D60"/>
    <w:p w14:paraId="06E1FDF9" w14:textId="77777777" w:rsidR="006D5105" w:rsidRDefault="006D5105" w:rsidP="00953D60"/>
    <w:p w14:paraId="2CC36AE4" w14:textId="77777777" w:rsidR="006801A7" w:rsidRDefault="006801A7" w:rsidP="00953D60"/>
    <w:p w14:paraId="5A9A763C" w14:textId="77777777" w:rsidR="006801A7" w:rsidRDefault="006801A7" w:rsidP="00953D60"/>
    <w:p w14:paraId="7ED5805A" w14:textId="77777777" w:rsidR="006801A7" w:rsidRDefault="006801A7" w:rsidP="00953D60"/>
    <w:p w14:paraId="46880EF8" w14:textId="77777777" w:rsidR="006801A7" w:rsidRDefault="006801A7" w:rsidP="00953D60"/>
    <w:p w14:paraId="0B52840F" w14:textId="5DABDDDC" w:rsidR="00953D60" w:rsidRPr="00F61201" w:rsidRDefault="00953D60" w:rsidP="0040210B">
      <w:pPr>
        <w:pStyle w:val="Heading1"/>
        <w:numPr>
          <w:ilvl w:val="0"/>
          <w:numId w:val="30"/>
        </w:numPr>
        <w:rPr>
          <w:rFonts w:cstheme="minorHAnsi"/>
          <w:sz w:val="24"/>
          <w:szCs w:val="24"/>
        </w:rPr>
      </w:pPr>
      <w:bookmarkStart w:id="6" w:name="_Toc32496103"/>
      <w:bookmarkEnd w:id="0"/>
      <w:r w:rsidRPr="00F61201">
        <w:rPr>
          <w:rFonts w:cstheme="minorHAnsi"/>
          <w:sz w:val="24"/>
          <w:szCs w:val="24"/>
        </w:rPr>
        <w:t>Introduction</w:t>
      </w:r>
      <w:bookmarkEnd w:id="6"/>
    </w:p>
    <w:p w14:paraId="77A0E9C5" w14:textId="77777777" w:rsidR="00953D60" w:rsidRDefault="00953D60" w:rsidP="00953D60">
      <w:pPr>
        <w:spacing w:line="240" w:lineRule="auto"/>
        <w:contextualSpacing/>
        <w:jc w:val="both"/>
        <w:rPr>
          <w:sz w:val="24"/>
        </w:rPr>
      </w:pPr>
    </w:p>
    <w:p w14:paraId="4241DCEF" w14:textId="54BE5393" w:rsidR="00E52FB5" w:rsidRPr="00554064" w:rsidRDefault="00E52FB5" w:rsidP="00C150DA">
      <w:pPr>
        <w:spacing w:after="240" w:line="360" w:lineRule="auto"/>
        <w:contextualSpacing/>
        <w:jc w:val="both"/>
        <w:rPr>
          <w:sz w:val="24"/>
          <w:szCs w:val="24"/>
        </w:rPr>
      </w:pPr>
      <w:r w:rsidRPr="00554064">
        <w:rPr>
          <w:sz w:val="24"/>
          <w:szCs w:val="24"/>
        </w:rPr>
        <w:t xml:space="preserve">The Virginia Department of Health, </w:t>
      </w:r>
      <w:r w:rsidR="00790B24" w:rsidRPr="00554064">
        <w:rPr>
          <w:sz w:val="24"/>
          <w:szCs w:val="24"/>
        </w:rPr>
        <w:t xml:space="preserve">State Oral Health Program (SOHP) </w:t>
      </w:r>
      <w:r w:rsidR="00953D60" w:rsidRPr="00554064">
        <w:rPr>
          <w:sz w:val="24"/>
          <w:szCs w:val="24"/>
        </w:rPr>
        <w:t xml:space="preserve">provides </w:t>
      </w:r>
      <w:r w:rsidR="003A5D81" w:rsidRPr="00554064">
        <w:rPr>
          <w:sz w:val="24"/>
          <w:szCs w:val="24"/>
        </w:rPr>
        <w:t xml:space="preserve">many services aimed at improving oral health in Virginia.  A priority program provides </w:t>
      </w:r>
      <w:r w:rsidR="00953D60" w:rsidRPr="00554064">
        <w:rPr>
          <w:sz w:val="24"/>
          <w:szCs w:val="24"/>
        </w:rPr>
        <w:t xml:space="preserve">direct clinical preventive services for children in Virginia and assistance with establishing a dental home. </w:t>
      </w:r>
      <w:r w:rsidR="003A5D81" w:rsidRPr="00554064">
        <w:rPr>
          <w:sz w:val="24"/>
          <w:szCs w:val="24"/>
        </w:rPr>
        <w:t xml:space="preserve">In addition to clinical services, the SOHP provides educational activities and resources to a wide variety of partner groups to promote proper oral hygiene and support prevention services, access to dental care, medical - dental integration, and population-based public health initiatives like community water fluoridation.  </w:t>
      </w:r>
      <w:r w:rsidR="00953D60" w:rsidRPr="00554064">
        <w:rPr>
          <w:sz w:val="24"/>
          <w:szCs w:val="24"/>
        </w:rPr>
        <w:t xml:space="preserve">The </w:t>
      </w:r>
      <w:r w:rsidR="003A5D81" w:rsidRPr="00554064">
        <w:rPr>
          <w:sz w:val="24"/>
          <w:szCs w:val="24"/>
        </w:rPr>
        <w:t>SOHP</w:t>
      </w:r>
      <w:r w:rsidR="00953D60" w:rsidRPr="00554064">
        <w:rPr>
          <w:sz w:val="24"/>
          <w:szCs w:val="24"/>
        </w:rPr>
        <w:t xml:space="preserve"> incorporates quality assurance reviews to assure a competent public oral health workforce as well as surveillance and evaluation activities to monitor and track dental disease rates and trends and for program assessment of effectiveness and planning. </w:t>
      </w:r>
    </w:p>
    <w:p w14:paraId="7C771D58" w14:textId="77777777" w:rsidR="00E52FB5" w:rsidRPr="00554064" w:rsidRDefault="00E52FB5" w:rsidP="00C150DA">
      <w:pPr>
        <w:spacing w:after="240" w:line="360" w:lineRule="auto"/>
        <w:contextualSpacing/>
        <w:jc w:val="both"/>
        <w:rPr>
          <w:sz w:val="24"/>
          <w:szCs w:val="24"/>
        </w:rPr>
      </w:pPr>
    </w:p>
    <w:p w14:paraId="516FE89E" w14:textId="7198077F" w:rsidR="00953D60" w:rsidRPr="00554064" w:rsidRDefault="00115CB3" w:rsidP="00C150DA">
      <w:pPr>
        <w:autoSpaceDE w:val="0"/>
        <w:autoSpaceDN w:val="0"/>
        <w:adjustRightInd w:val="0"/>
        <w:spacing w:after="240" w:line="360" w:lineRule="auto"/>
        <w:rPr>
          <w:rFonts w:cstheme="minorHAnsi"/>
          <w:color w:val="000000"/>
          <w:sz w:val="24"/>
          <w:szCs w:val="24"/>
        </w:rPr>
      </w:pPr>
      <w:r w:rsidRPr="00554064">
        <w:rPr>
          <w:rFonts w:cstheme="minorHAnsi"/>
          <w:color w:val="000000"/>
          <w:sz w:val="24"/>
          <w:szCs w:val="24"/>
        </w:rPr>
        <w:t>To</w:t>
      </w:r>
      <w:r w:rsidR="00C75F68" w:rsidRPr="00554064">
        <w:rPr>
          <w:rFonts w:cstheme="minorHAnsi"/>
          <w:color w:val="000000"/>
          <w:sz w:val="24"/>
          <w:szCs w:val="24"/>
        </w:rPr>
        <w:t xml:space="preserve"> </w:t>
      </w:r>
      <w:r w:rsidR="00953D60" w:rsidRPr="00554064">
        <w:rPr>
          <w:rFonts w:cstheme="minorHAnsi"/>
          <w:color w:val="000000"/>
          <w:sz w:val="24"/>
          <w:szCs w:val="24"/>
        </w:rPr>
        <w:t>provide a consistent source of updated reliable and valid information for use in developing, implementing, and evaluating programs to improve the oral health of Virginia’s residents</w:t>
      </w:r>
      <w:r w:rsidR="00C75F68" w:rsidRPr="00554064">
        <w:rPr>
          <w:rFonts w:cstheme="minorHAnsi"/>
          <w:color w:val="000000"/>
          <w:sz w:val="24"/>
          <w:szCs w:val="24"/>
        </w:rPr>
        <w:t>, the SOHP maintains a robust oral health surveillance system (OHSS)</w:t>
      </w:r>
      <w:r w:rsidR="00953D60" w:rsidRPr="00554064">
        <w:rPr>
          <w:rFonts w:cstheme="minorHAnsi"/>
          <w:color w:val="000000"/>
          <w:sz w:val="24"/>
          <w:szCs w:val="24"/>
        </w:rPr>
        <w:t xml:space="preserve">. </w:t>
      </w:r>
      <w:r w:rsidR="008A361C" w:rsidRPr="00554064">
        <w:rPr>
          <w:rFonts w:cstheme="minorHAnsi"/>
          <w:color w:val="000000"/>
          <w:sz w:val="24"/>
          <w:szCs w:val="24"/>
        </w:rPr>
        <w:t xml:space="preserve">Utilizing this OHSS, the SOHP is better able to </w:t>
      </w:r>
      <w:r w:rsidR="004F3CAB" w:rsidRPr="00554064">
        <w:rPr>
          <w:rFonts w:cstheme="minorHAnsi"/>
          <w:sz w:val="24"/>
          <w:szCs w:val="24"/>
        </w:rPr>
        <w:t>monitor oral health outcomes, access to care, and disparities; to evaluate program performance; and to disseminate data to stakeholders for improved decision-making and equitable resource allocation.</w:t>
      </w:r>
      <w:r w:rsidR="008A361C" w:rsidRPr="00554064">
        <w:rPr>
          <w:rFonts w:cstheme="minorHAnsi"/>
          <w:sz w:val="24"/>
          <w:szCs w:val="24"/>
        </w:rPr>
        <w:t xml:space="preserve"> </w:t>
      </w:r>
      <w:r w:rsidR="00953D60" w:rsidRPr="00554064">
        <w:rPr>
          <w:rFonts w:cstheme="minorHAnsi"/>
          <w:sz w:val="24"/>
          <w:szCs w:val="24"/>
        </w:rPr>
        <w:t xml:space="preserve">Assessment </w:t>
      </w:r>
      <w:r w:rsidR="00953D60" w:rsidRPr="00554064">
        <w:rPr>
          <w:rFonts w:cstheme="minorHAnsi"/>
          <w:color w:val="000000"/>
          <w:sz w:val="24"/>
          <w:szCs w:val="24"/>
        </w:rPr>
        <w:t xml:space="preserve">is </w:t>
      </w:r>
      <w:r w:rsidR="00C75F68" w:rsidRPr="00554064">
        <w:rPr>
          <w:rFonts w:cstheme="minorHAnsi"/>
          <w:color w:val="000000"/>
          <w:sz w:val="24"/>
          <w:szCs w:val="24"/>
        </w:rPr>
        <w:t>a</w:t>
      </w:r>
      <w:r w:rsidR="00953D60" w:rsidRPr="00554064">
        <w:rPr>
          <w:rFonts w:cstheme="minorHAnsi"/>
          <w:color w:val="000000"/>
          <w:sz w:val="24"/>
          <w:szCs w:val="24"/>
        </w:rPr>
        <w:t xml:space="preserve"> key objective of Virginia’s public health efforts to address the nature and extent of oral diseases and </w:t>
      </w:r>
      <w:r w:rsidR="00C75F68" w:rsidRPr="00554064">
        <w:rPr>
          <w:rFonts w:cstheme="minorHAnsi"/>
          <w:color w:val="000000"/>
          <w:sz w:val="24"/>
          <w:szCs w:val="24"/>
        </w:rPr>
        <w:t>associated</w:t>
      </w:r>
      <w:r w:rsidR="00953D60" w:rsidRPr="00554064">
        <w:rPr>
          <w:rFonts w:cstheme="minorHAnsi"/>
          <w:color w:val="000000"/>
          <w:sz w:val="24"/>
          <w:szCs w:val="24"/>
        </w:rPr>
        <w:t xml:space="preserve"> risk factors by collecting, analyzing, interpreting, and disseminating oral health data. These activities provide a </w:t>
      </w:r>
      <w:r w:rsidR="00953D60" w:rsidRPr="00554064">
        <w:rPr>
          <w:rFonts w:cstheme="minorHAnsi"/>
          <w:color w:val="000000"/>
          <w:sz w:val="24"/>
          <w:szCs w:val="24"/>
        </w:rPr>
        <w:lastRenderedPageBreak/>
        <w:t xml:space="preserve">mechanism to routinely monitor state-specific oral health data and the impact of interventions within specific priority populations over time. Continual assessment and evaluation support development of oral health programs and policies, hence a surveillance system is a critical requirement for the </w:t>
      </w:r>
      <w:r w:rsidR="00C75F68" w:rsidRPr="00554064">
        <w:rPr>
          <w:rFonts w:cstheme="minorHAnsi"/>
          <w:color w:val="000000"/>
          <w:sz w:val="24"/>
          <w:szCs w:val="24"/>
        </w:rPr>
        <w:t>SOHP</w:t>
      </w:r>
      <w:r w:rsidR="00953D60" w:rsidRPr="00554064">
        <w:rPr>
          <w:rFonts w:cstheme="minorHAnsi"/>
          <w:color w:val="000000"/>
          <w:sz w:val="24"/>
          <w:szCs w:val="24"/>
        </w:rPr>
        <w:t>.</w:t>
      </w:r>
      <w:r w:rsidR="004F3CAB" w:rsidRPr="00554064">
        <w:rPr>
          <w:rFonts w:cstheme="minorHAnsi"/>
          <w:color w:val="000000" w:themeColor="text1"/>
          <w:sz w:val="24"/>
          <w:szCs w:val="24"/>
        </w:rPr>
        <w:t xml:space="preserve"> </w:t>
      </w:r>
    </w:p>
    <w:p w14:paraId="1A35F31C" w14:textId="0F5996A8" w:rsidR="008A361C" w:rsidRPr="00554064" w:rsidRDefault="008A361C" w:rsidP="008A361C">
      <w:pPr>
        <w:rPr>
          <w:rFonts w:cstheme="minorHAnsi"/>
          <w:bCs/>
          <w:sz w:val="24"/>
          <w:szCs w:val="24"/>
        </w:rPr>
      </w:pPr>
      <w:r w:rsidRPr="00554064">
        <w:rPr>
          <w:rFonts w:cstheme="minorHAnsi"/>
          <w:bCs/>
          <w:sz w:val="24"/>
          <w:szCs w:val="24"/>
        </w:rPr>
        <w:t xml:space="preserve">Objectives of </w:t>
      </w:r>
      <w:r w:rsidR="0040210B" w:rsidRPr="00554064">
        <w:rPr>
          <w:rFonts w:cstheme="minorHAnsi"/>
          <w:bCs/>
          <w:sz w:val="24"/>
          <w:szCs w:val="24"/>
        </w:rPr>
        <w:t>the OHSS are to:</w:t>
      </w:r>
    </w:p>
    <w:p w14:paraId="22BC2B00" w14:textId="77777777" w:rsidR="008A361C" w:rsidRPr="00554064" w:rsidRDefault="008A361C" w:rsidP="0040210B">
      <w:pPr>
        <w:numPr>
          <w:ilvl w:val="0"/>
          <w:numId w:val="31"/>
        </w:numPr>
        <w:spacing w:after="0" w:line="360" w:lineRule="auto"/>
        <w:jc w:val="both"/>
        <w:rPr>
          <w:rFonts w:cstheme="minorHAnsi"/>
          <w:sz w:val="24"/>
          <w:szCs w:val="24"/>
        </w:rPr>
      </w:pPr>
      <w:r w:rsidRPr="00554064">
        <w:rPr>
          <w:rFonts w:cstheme="minorHAnsi"/>
          <w:sz w:val="24"/>
          <w:szCs w:val="24"/>
        </w:rPr>
        <w:t>Estimate the extent and severity of oral disease and risk factors in Virginia.</w:t>
      </w:r>
    </w:p>
    <w:p w14:paraId="27CA70D3" w14:textId="77777777" w:rsidR="008A361C" w:rsidRPr="00554064" w:rsidRDefault="008A361C" w:rsidP="0040210B">
      <w:pPr>
        <w:numPr>
          <w:ilvl w:val="0"/>
          <w:numId w:val="31"/>
        </w:numPr>
        <w:spacing w:after="0" w:line="360" w:lineRule="auto"/>
        <w:jc w:val="both"/>
        <w:rPr>
          <w:rFonts w:cstheme="minorHAnsi"/>
          <w:sz w:val="24"/>
          <w:szCs w:val="24"/>
        </w:rPr>
      </w:pPr>
      <w:r w:rsidRPr="00554064">
        <w:rPr>
          <w:rFonts w:cstheme="minorHAnsi"/>
          <w:sz w:val="24"/>
          <w:szCs w:val="24"/>
        </w:rPr>
        <w:t>Measure utilization of oral health services in Virginia.</w:t>
      </w:r>
    </w:p>
    <w:p w14:paraId="1C570F9E" w14:textId="77777777" w:rsidR="008A361C" w:rsidRPr="00554064" w:rsidRDefault="008A361C" w:rsidP="0040210B">
      <w:pPr>
        <w:numPr>
          <w:ilvl w:val="0"/>
          <w:numId w:val="31"/>
        </w:numPr>
        <w:spacing w:after="0" w:line="360" w:lineRule="auto"/>
        <w:jc w:val="both"/>
        <w:rPr>
          <w:rFonts w:cstheme="minorHAnsi"/>
          <w:sz w:val="24"/>
          <w:szCs w:val="24"/>
        </w:rPr>
      </w:pPr>
      <w:r w:rsidRPr="00554064">
        <w:rPr>
          <w:rFonts w:cstheme="minorHAnsi"/>
          <w:sz w:val="24"/>
          <w:szCs w:val="24"/>
        </w:rPr>
        <w:t>Monitor utilization and effectiveness of community-based and school-based oral health prevention programs.</w:t>
      </w:r>
    </w:p>
    <w:p w14:paraId="52FEE661" w14:textId="77777777" w:rsidR="008A361C" w:rsidRPr="00554064" w:rsidRDefault="008A361C" w:rsidP="0040210B">
      <w:pPr>
        <w:numPr>
          <w:ilvl w:val="0"/>
          <w:numId w:val="31"/>
        </w:numPr>
        <w:spacing w:after="0" w:line="360" w:lineRule="auto"/>
        <w:jc w:val="both"/>
        <w:rPr>
          <w:rFonts w:cstheme="minorHAnsi"/>
          <w:sz w:val="24"/>
          <w:szCs w:val="24"/>
        </w:rPr>
      </w:pPr>
      <w:r w:rsidRPr="00554064">
        <w:rPr>
          <w:rFonts w:cstheme="minorHAnsi"/>
          <w:sz w:val="24"/>
          <w:szCs w:val="24"/>
        </w:rPr>
        <w:t>Identify populations at high risk of oral disease and the unmet needs of these populations.</w:t>
      </w:r>
    </w:p>
    <w:p w14:paraId="17D90A1B" w14:textId="77777777" w:rsidR="008A361C" w:rsidRPr="00554064" w:rsidRDefault="008A361C" w:rsidP="0040210B">
      <w:pPr>
        <w:numPr>
          <w:ilvl w:val="0"/>
          <w:numId w:val="31"/>
        </w:numPr>
        <w:spacing w:after="0" w:line="360" w:lineRule="auto"/>
        <w:jc w:val="both"/>
        <w:rPr>
          <w:rFonts w:cstheme="minorHAnsi"/>
          <w:sz w:val="24"/>
          <w:szCs w:val="24"/>
        </w:rPr>
      </w:pPr>
      <w:r w:rsidRPr="00554064">
        <w:rPr>
          <w:rFonts w:cstheme="minorHAnsi"/>
          <w:sz w:val="24"/>
          <w:szCs w:val="24"/>
        </w:rPr>
        <w:t>Provide current, scientific and reliable data for the state.</w:t>
      </w:r>
    </w:p>
    <w:p w14:paraId="7C6572BD" w14:textId="77777777" w:rsidR="008A361C" w:rsidRPr="00554064" w:rsidRDefault="008A361C" w:rsidP="0040210B">
      <w:pPr>
        <w:numPr>
          <w:ilvl w:val="0"/>
          <w:numId w:val="31"/>
        </w:numPr>
        <w:spacing w:after="0" w:line="360" w:lineRule="auto"/>
        <w:jc w:val="both"/>
        <w:rPr>
          <w:rFonts w:cstheme="minorHAnsi"/>
          <w:sz w:val="24"/>
          <w:szCs w:val="24"/>
        </w:rPr>
      </w:pPr>
      <w:r w:rsidRPr="00554064">
        <w:rPr>
          <w:rFonts w:cstheme="minorHAnsi"/>
          <w:sz w:val="24"/>
          <w:szCs w:val="24"/>
        </w:rPr>
        <w:t>Use oral health data to plan, implement, and evaluate the impact of Virginia’s oral health programs and policies.</w:t>
      </w:r>
    </w:p>
    <w:p w14:paraId="5AEFC10F" w14:textId="77777777" w:rsidR="008A361C" w:rsidRPr="00554064" w:rsidRDefault="008A361C" w:rsidP="0040210B">
      <w:pPr>
        <w:numPr>
          <w:ilvl w:val="0"/>
          <w:numId w:val="31"/>
        </w:numPr>
        <w:spacing w:after="0" w:line="360" w:lineRule="auto"/>
        <w:jc w:val="both"/>
        <w:rPr>
          <w:rFonts w:cstheme="minorHAnsi"/>
          <w:sz w:val="24"/>
          <w:szCs w:val="24"/>
        </w:rPr>
      </w:pPr>
      <w:r w:rsidRPr="00554064">
        <w:rPr>
          <w:rFonts w:cstheme="minorHAnsi"/>
          <w:sz w:val="24"/>
          <w:szCs w:val="24"/>
        </w:rPr>
        <w:t>Provide information for decision making and public health resource allocations.</w:t>
      </w:r>
    </w:p>
    <w:p w14:paraId="3ACE34CA" w14:textId="77777777" w:rsidR="008A361C" w:rsidRPr="00554064" w:rsidRDefault="008A361C" w:rsidP="00C150DA">
      <w:pPr>
        <w:numPr>
          <w:ilvl w:val="0"/>
          <w:numId w:val="31"/>
        </w:numPr>
        <w:spacing w:after="240" w:line="360" w:lineRule="auto"/>
        <w:jc w:val="both"/>
        <w:rPr>
          <w:rFonts w:cstheme="minorHAnsi"/>
          <w:sz w:val="24"/>
          <w:szCs w:val="24"/>
        </w:rPr>
      </w:pPr>
      <w:r w:rsidRPr="00554064">
        <w:rPr>
          <w:rFonts w:cstheme="minorHAnsi"/>
          <w:sz w:val="24"/>
          <w:szCs w:val="24"/>
        </w:rPr>
        <w:t>Evaluate Virginia’s strengths and gaps in surveillance measurements and in surveillance of priority populations and identify opportunities to improve the OHSS.</w:t>
      </w:r>
    </w:p>
    <w:p w14:paraId="5DCA6BEB" w14:textId="7AF56506" w:rsidR="00C75F68" w:rsidRPr="00554064" w:rsidRDefault="00C75F68" w:rsidP="00C150DA">
      <w:pPr>
        <w:pStyle w:val="CommentText"/>
        <w:spacing w:line="360" w:lineRule="auto"/>
        <w:rPr>
          <w:rFonts w:cstheme="minorHAnsi"/>
          <w:sz w:val="24"/>
          <w:szCs w:val="24"/>
        </w:rPr>
      </w:pPr>
      <w:r w:rsidRPr="00554064">
        <w:rPr>
          <w:rFonts w:cstheme="minorHAnsi"/>
          <w:sz w:val="24"/>
          <w:szCs w:val="24"/>
        </w:rPr>
        <w:t>The SOHP has developed a comprehensive surveillance plan to support data-driven planning, implementation, and evaluation of population-based oral health interventions under CDC Cooperative Agreement DP24-0048. This plan spans four strategic areas: Community Water Fluoridation (CWF), Evidence-Based Preventive Dental Services (EBPDS), Medical-Dental Integration (MDI) with a focus on Type 2 Diabetes, and Infection Prevention and Control (IPC).</w:t>
      </w:r>
    </w:p>
    <w:p w14:paraId="0C7B7276" w14:textId="3BF416FA" w:rsidR="00953D60" w:rsidRDefault="00953D60" w:rsidP="0040210B">
      <w:pPr>
        <w:pStyle w:val="Heading1"/>
        <w:numPr>
          <w:ilvl w:val="0"/>
          <w:numId w:val="30"/>
        </w:numPr>
        <w:rPr>
          <w:rFonts w:cstheme="minorHAnsi"/>
          <w:sz w:val="24"/>
          <w:szCs w:val="24"/>
        </w:rPr>
      </w:pPr>
      <w:bookmarkStart w:id="7" w:name="_Toc32496104"/>
      <w:bookmarkEnd w:id="1"/>
      <w:r w:rsidRPr="00F61201">
        <w:rPr>
          <w:rFonts w:cstheme="minorHAnsi"/>
          <w:sz w:val="24"/>
          <w:szCs w:val="24"/>
        </w:rPr>
        <w:t>Objectives</w:t>
      </w:r>
      <w:bookmarkEnd w:id="7"/>
    </w:p>
    <w:p w14:paraId="786E2ECB" w14:textId="77777777" w:rsidR="008473F7" w:rsidRPr="008473F7" w:rsidRDefault="008473F7" w:rsidP="008473F7"/>
    <w:p w14:paraId="1FE52AA7" w14:textId="77777777" w:rsidR="0040210B" w:rsidRPr="00C150DA" w:rsidRDefault="0040210B" w:rsidP="00C150DA">
      <w:pPr>
        <w:pStyle w:val="CommentText"/>
        <w:spacing w:line="360" w:lineRule="auto"/>
        <w:rPr>
          <w:rFonts w:cstheme="minorHAnsi"/>
          <w:sz w:val="24"/>
          <w:szCs w:val="24"/>
        </w:rPr>
      </w:pPr>
      <w:r w:rsidRPr="00C150DA">
        <w:rPr>
          <w:rFonts w:cstheme="minorHAnsi"/>
          <w:sz w:val="24"/>
          <w:szCs w:val="24"/>
        </w:rPr>
        <w:t xml:space="preserve">Surveillance plan activities include collecting and analyzing timely, valid, </w:t>
      </w:r>
      <w:r w:rsidRPr="00C150DA">
        <w:rPr>
          <w:sz w:val="24"/>
          <w:szCs w:val="24"/>
        </w:rPr>
        <w:t xml:space="preserve">and representative data on oral health outcomes and service access; monitoring progress toward goals related to CWF, EBPDS, MDI, and IPC; identifying disparities by region, income, race/ethnicity, insurance status, and other social determinants of health; disseminating findings to inform policies and </w:t>
      </w:r>
      <w:r w:rsidRPr="00C150DA">
        <w:rPr>
          <w:sz w:val="24"/>
          <w:szCs w:val="24"/>
        </w:rPr>
        <w:lastRenderedPageBreak/>
        <w:t>support program improvement; and engaging stakeholders in data interpretation and decision-making.</w:t>
      </w:r>
    </w:p>
    <w:p w14:paraId="35A1FE64" w14:textId="77777777" w:rsidR="0040210B" w:rsidRPr="00C75F68" w:rsidRDefault="0040210B" w:rsidP="00C150DA">
      <w:pPr>
        <w:pStyle w:val="CommentText"/>
        <w:spacing w:after="0" w:line="360" w:lineRule="auto"/>
        <w:rPr>
          <w:rFonts w:cstheme="minorHAnsi"/>
          <w:color w:val="000000" w:themeColor="text1"/>
          <w:sz w:val="24"/>
          <w:szCs w:val="24"/>
        </w:rPr>
      </w:pPr>
      <w:r w:rsidRPr="00C75F68">
        <w:rPr>
          <w:rFonts w:cstheme="minorHAnsi"/>
          <w:color w:val="000000" w:themeColor="text1"/>
          <w:sz w:val="24"/>
          <w:szCs w:val="24"/>
        </w:rPr>
        <w:t xml:space="preserve">Overarching program goals </w:t>
      </w:r>
      <w:r>
        <w:rPr>
          <w:rFonts w:cstheme="minorHAnsi"/>
          <w:color w:val="000000" w:themeColor="text1"/>
          <w:sz w:val="24"/>
          <w:szCs w:val="24"/>
        </w:rPr>
        <w:t xml:space="preserve">and objectives </w:t>
      </w:r>
      <w:r w:rsidRPr="00C75F68">
        <w:rPr>
          <w:rFonts w:cstheme="minorHAnsi"/>
          <w:color w:val="000000" w:themeColor="text1"/>
          <w:sz w:val="24"/>
          <w:szCs w:val="24"/>
        </w:rPr>
        <w:t>include:</w:t>
      </w:r>
    </w:p>
    <w:p w14:paraId="6A2A7333" w14:textId="33C58B62" w:rsidR="000B30BB" w:rsidRDefault="000B30BB" w:rsidP="00C150DA">
      <w:pPr>
        <w:pStyle w:val="CommentText"/>
        <w:spacing w:after="0" w:line="360" w:lineRule="auto"/>
        <w:ind w:left="360"/>
        <w:rPr>
          <w:rFonts w:cstheme="minorHAnsi"/>
          <w:color w:val="000000" w:themeColor="text1"/>
          <w:sz w:val="24"/>
          <w:szCs w:val="24"/>
        </w:rPr>
      </w:pPr>
      <w:r w:rsidRPr="00C75F68">
        <w:rPr>
          <w:rFonts w:cstheme="minorHAnsi"/>
          <w:color w:val="000000" w:themeColor="text1"/>
          <w:sz w:val="24"/>
          <w:szCs w:val="24"/>
        </w:rPr>
        <w:t>•</w:t>
      </w:r>
      <w:r w:rsidRPr="00C75F68">
        <w:rPr>
          <w:rFonts w:cstheme="minorHAnsi"/>
          <w:color w:val="000000" w:themeColor="text1"/>
          <w:sz w:val="24"/>
          <w:szCs w:val="24"/>
        </w:rPr>
        <w:tab/>
        <w:t>Increasing access to optimal community water fluoridation</w:t>
      </w:r>
    </w:p>
    <w:p w14:paraId="79926941" w14:textId="5F430469" w:rsidR="000B30BB" w:rsidRPr="000B30BB" w:rsidRDefault="000B30BB" w:rsidP="00C150DA">
      <w:pPr>
        <w:pStyle w:val="CommentText"/>
        <w:numPr>
          <w:ilvl w:val="0"/>
          <w:numId w:val="34"/>
        </w:numPr>
        <w:spacing w:after="0" w:line="360" w:lineRule="auto"/>
        <w:rPr>
          <w:rFonts w:cstheme="minorHAnsi"/>
          <w:color w:val="000000" w:themeColor="text1"/>
          <w:sz w:val="24"/>
          <w:szCs w:val="24"/>
        </w:rPr>
      </w:pPr>
      <w:r w:rsidRPr="000B30BB">
        <w:rPr>
          <w:rFonts w:cstheme="minorHAnsi"/>
          <w:color w:val="000000" w:themeColor="text1"/>
          <w:sz w:val="24"/>
          <w:szCs w:val="24"/>
        </w:rPr>
        <w:t>Provid</w:t>
      </w:r>
      <w:r w:rsidR="00887046">
        <w:rPr>
          <w:rFonts w:cstheme="minorHAnsi"/>
          <w:color w:val="000000" w:themeColor="text1"/>
          <w:sz w:val="24"/>
          <w:szCs w:val="24"/>
        </w:rPr>
        <w:t>ing</w:t>
      </w:r>
      <w:r w:rsidRPr="000B30BB">
        <w:rPr>
          <w:rFonts w:cstheme="minorHAnsi"/>
          <w:color w:val="000000" w:themeColor="text1"/>
          <w:sz w:val="24"/>
          <w:szCs w:val="24"/>
        </w:rPr>
        <w:t xml:space="preserve"> financial and technical support for quality control and management of fluoridated water systems, especially in water systems serving 10,000 or fewer people</w:t>
      </w:r>
    </w:p>
    <w:p w14:paraId="00DCDAE1" w14:textId="09CAFBD5" w:rsidR="000B30BB" w:rsidRPr="000B30BB" w:rsidRDefault="000B30BB" w:rsidP="00C150DA">
      <w:pPr>
        <w:pStyle w:val="CommentText"/>
        <w:numPr>
          <w:ilvl w:val="0"/>
          <w:numId w:val="34"/>
        </w:numPr>
        <w:spacing w:after="0" w:line="360" w:lineRule="auto"/>
        <w:rPr>
          <w:rFonts w:cstheme="minorHAnsi"/>
          <w:color w:val="000000" w:themeColor="text1"/>
          <w:sz w:val="24"/>
          <w:szCs w:val="24"/>
        </w:rPr>
      </w:pPr>
      <w:r w:rsidRPr="000B30BB">
        <w:rPr>
          <w:rFonts w:cstheme="minorHAnsi"/>
          <w:color w:val="000000" w:themeColor="text1"/>
          <w:sz w:val="24"/>
          <w:szCs w:val="24"/>
        </w:rPr>
        <w:t>Collect</w:t>
      </w:r>
      <w:r w:rsidR="00887046">
        <w:rPr>
          <w:rFonts w:cstheme="minorHAnsi"/>
          <w:color w:val="000000" w:themeColor="text1"/>
          <w:sz w:val="24"/>
          <w:szCs w:val="24"/>
        </w:rPr>
        <w:t>ing</w:t>
      </w:r>
      <w:r w:rsidRPr="000B30BB">
        <w:rPr>
          <w:rFonts w:cstheme="minorHAnsi"/>
          <w:color w:val="000000" w:themeColor="text1"/>
          <w:sz w:val="24"/>
          <w:szCs w:val="24"/>
        </w:rPr>
        <w:t>, provid</w:t>
      </w:r>
      <w:r w:rsidR="00887046">
        <w:rPr>
          <w:rFonts w:cstheme="minorHAnsi"/>
          <w:color w:val="000000" w:themeColor="text1"/>
          <w:sz w:val="24"/>
          <w:szCs w:val="24"/>
        </w:rPr>
        <w:t>ing</w:t>
      </w:r>
      <w:r w:rsidRPr="000B30BB">
        <w:rPr>
          <w:rFonts w:cstheme="minorHAnsi"/>
          <w:color w:val="000000" w:themeColor="text1"/>
          <w:sz w:val="24"/>
          <w:szCs w:val="24"/>
        </w:rPr>
        <w:t>, and analyz</w:t>
      </w:r>
      <w:r w:rsidR="00887046">
        <w:rPr>
          <w:rFonts w:cstheme="minorHAnsi"/>
          <w:color w:val="000000" w:themeColor="text1"/>
          <w:sz w:val="24"/>
          <w:szCs w:val="24"/>
        </w:rPr>
        <w:t>ing</w:t>
      </w:r>
      <w:r w:rsidRPr="000B30BB">
        <w:rPr>
          <w:rFonts w:cstheme="minorHAnsi"/>
          <w:color w:val="000000" w:themeColor="text1"/>
          <w:sz w:val="24"/>
          <w:szCs w:val="24"/>
        </w:rPr>
        <w:t xml:space="preserve"> water system fluoridation data, to identify disparities in access to optimally fluoridated water  </w:t>
      </w:r>
    </w:p>
    <w:p w14:paraId="22A9253C" w14:textId="3AA13195" w:rsidR="0040210B" w:rsidRDefault="0040210B" w:rsidP="00C150DA">
      <w:pPr>
        <w:pStyle w:val="CommentText"/>
        <w:spacing w:after="0" w:line="360" w:lineRule="auto"/>
        <w:ind w:left="360"/>
        <w:rPr>
          <w:rFonts w:cstheme="minorHAnsi"/>
          <w:color w:val="000000" w:themeColor="text1"/>
          <w:sz w:val="24"/>
          <w:szCs w:val="24"/>
        </w:rPr>
      </w:pPr>
      <w:r w:rsidRPr="00C75F68">
        <w:rPr>
          <w:rFonts w:cstheme="minorHAnsi"/>
          <w:color w:val="000000" w:themeColor="text1"/>
          <w:sz w:val="24"/>
          <w:szCs w:val="24"/>
        </w:rPr>
        <w:t>•</w:t>
      </w:r>
      <w:r w:rsidRPr="00C75F68">
        <w:rPr>
          <w:rFonts w:cstheme="minorHAnsi"/>
          <w:color w:val="000000" w:themeColor="text1"/>
          <w:sz w:val="24"/>
          <w:szCs w:val="24"/>
        </w:rPr>
        <w:tab/>
        <w:t>Increasing access to evidence-based preventive dental services</w:t>
      </w:r>
    </w:p>
    <w:p w14:paraId="1F10D3AE" w14:textId="10BEDA81" w:rsidR="000B30BB" w:rsidRPr="000B30BB" w:rsidRDefault="000B30BB" w:rsidP="00C150DA">
      <w:pPr>
        <w:pStyle w:val="CommentText"/>
        <w:numPr>
          <w:ilvl w:val="0"/>
          <w:numId w:val="35"/>
        </w:numPr>
        <w:spacing w:after="0" w:line="360" w:lineRule="auto"/>
        <w:rPr>
          <w:rFonts w:cstheme="minorHAnsi"/>
          <w:color w:val="000000" w:themeColor="text1"/>
          <w:sz w:val="24"/>
          <w:szCs w:val="24"/>
        </w:rPr>
      </w:pPr>
      <w:r w:rsidRPr="000B30BB">
        <w:rPr>
          <w:rFonts w:cstheme="minorHAnsi"/>
          <w:color w:val="000000" w:themeColor="text1"/>
          <w:sz w:val="24"/>
          <w:szCs w:val="24"/>
        </w:rPr>
        <w:t>Analyz</w:t>
      </w:r>
      <w:r w:rsidR="00887046">
        <w:rPr>
          <w:rFonts w:cstheme="minorHAnsi"/>
          <w:color w:val="000000" w:themeColor="text1"/>
          <w:sz w:val="24"/>
          <w:szCs w:val="24"/>
        </w:rPr>
        <w:t>ing</w:t>
      </w:r>
      <w:r w:rsidRPr="000B30BB">
        <w:rPr>
          <w:rFonts w:cstheme="minorHAnsi"/>
          <w:color w:val="000000" w:themeColor="text1"/>
          <w:sz w:val="24"/>
          <w:szCs w:val="24"/>
        </w:rPr>
        <w:t xml:space="preserve"> secondary data about EBPDS to identify disparities in use and access </w:t>
      </w:r>
    </w:p>
    <w:p w14:paraId="11B74CA1" w14:textId="76286A90" w:rsidR="00887046" w:rsidRDefault="000B30BB" w:rsidP="00C150DA">
      <w:pPr>
        <w:pStyle w:val="CommentText"/>
        <w:numPr>
          <w:ilvl w:val="0"/>
          <w:numId w:val="35"/>
        </w:numPr>
        <w:spacing w:after="0" w:line="360" w:lineRule="auto"/>
        <w:rPr>
          <w:rFonts w:cstheme="minorHAnsi"/>
          <w:color w:val="000000" w:themeColor="text1"/>
          <w:sz w:val="24"/>
          <w:szCs w:val="24"/>
        </w:rPr>
      </w:pPr>
      <w:r w:rsidRPr="000B30BB">
        <w:rPr>
          <w:rFonts w:cstheme="minorHAnsi"/>
          <w:color w:val="000000" w:themeColor="text1"/>
          <w:sz w:val="24"/>
          <w:szCs w:val="24"/>
        </w:rPr>
        <w:t>Us</w:t>
      </w:r>
      <w:r w:rsidR="00887046">
        <w:rPr>
          <w:rFonts w:cstheme="minorHAnsi"/>
          <w:color w:val="000000" w:themeColor="text1"/>
          <w:sz w:val="24"/>
          <w:szCs w:val="24"/>
        </w:rPr>
        <w:t xml:space="preserve">ing </w:t>
      </w:r>
      <w:r w:rsidRPr="000B30BB">
        <w:rPr>
          <w:rFonts w:cstheme="minorHAnsi"/>
          <w:color w:val="000000" w:themeColor="text1"/>
          <w:sz w:val="24"/>
          <w:szCs w:val="24"/>
        </w:rPr>
        <w:t xml:space="preserve">secondary data analyses and program implementation data to expand access to </w:t>
      </w:r>
      <w:r w:rsidRPr="00887046">
        <w:rPr>
          <w:rFonts w:cstheme="minorHAnsi"/>
          <w:color w:val="000000" w:themeColor="text1"/>
          <w:sz w:val="24"/>
          <w:szCs w:val="24"/>
        </w:rPr>
        <w:t>EBPDS</w:t>
      </w:r>
    </w:p>
    <w:p w14:paraId="23AAD3D4" w14:textId="2B48A23E" w:rsidR="000B30BB" w:rsidRPr="00887046" w:rsidRDefault="000B30BB" w:rsidP="00C150DA">
      <w:pPr>
        <w:pStyle w:val="CommentText"/>
        <w:numPr>
          <w:ilvl w:val="0"/>
          <w:numId w:val="35"/>
        </w:numPr>
        <w:spacing w:after="0" w:line="360" w:lineRule="auto"/>
        <w:rPr>
          <w:rFonts w:cstheme="minorHAnsi"/>
          <w:color w:val="000000" w:themeColor="text1"/>
          <w:sz w:val="24"/>
          <w:szCs w:val="24"/>
        </w:rPr>
      </w:pPr>
      <w:r w:rsidRPr="00887046">
        <w:rPr>
          <w:rFonts w:cstheme="minorHAnsi"/>
          <w:color w:val="000000" w:themeColor="text1"/>
          <w:sz w:val="24"/>
          <w:szCs w:val="24"/>
        </w:rPr>
        <w:t>Build</w:t>
      </w:r>
      <w:r w:rsidR="00887046">
        <w:rPr>
          <w:rFonts w:cstheme="minorHAnsi"/>
          <w:color w:val="000000" w:themeColor="text1"/>
          <w:sz w:val="24"/>
          <w:szCs w:val="24"/>
        </w:rPr>
        <w:t>ing</w:t>
      </w:r>
      <w:r w:rsidRPr="00887046">
        <w:rPr>
          <w:rFonts w:cstheme="minorHAnsi"/>
          <w:color w:val="000000" w:themeColor="text1"/>
          <w:sz w:val="24"/>
          <w:szCs w:val="24"/>
        </w:rPr>
        <w:t xml:space="preserve"> or us</w:t>
      </w:r>
      <w:r w:rsidR="00887046">
        <w:rPr>
          <w:rFonts w:cstheme="minorHAnsi"/>
          <w:color w:val="000000" w:themeColor="text1"/>
          <w:sz w:val="24"/>
          <w:szCs w:val="24"/>
        </w:rPr>
        <w:t>ing</w:t>
      </w:r>
      <w:r w:rsidRPr="00887046">
        <w:rPr>
          <w:rFonts w:cstheme="minorHAnsi"/>
          <w:color w:val="000000" w:themeColor="text1"/>
          <w:sz w:val="24"/>
          <w:szCs w:val="24"/>
        </w:rPr>
        <w:t xml:space="preserve"> existing partnerships to increase EBPDS participation in communities that disproportionately experience barriers to oral health care or elevated risk for cavities.</w:t>
      </w:r>
    </w:p>
    <w:p w14:paraId="53716BEC" w14:textId="472C54D1" w:rsidR="00F61201" w:rsidRDefault="0040210B" w:rsidP="00C150DA">
      <w:pPr>
        <w:pStyle w:val="CommentText"/>
        <w:spacing w:after="0" w:line="360" w:lineRule="auto"/>
        <w:ind w:left="360"/>
        <w:rPr>
          <w:rFonts w:cstheme="minorHAnsi"/>
          <w:color w:val="000000" w:themeColor="text1"/>
          <w:sz w:val="24"/>
          <w:szCs w:val="24"/>
        </w:rPr>
      </w:pPr>
      <w:r w:rsidRPr="00C75F68">
        <w:rPr>
          <w:rFonts w:cstheme="minorHAnsi"/>
          <w:color w:val="000000" w:themeColor="text1"/>
          <w:sz w:val="24"/>
          <w:szCs w:val="24"/>
        </w:rPr>
        <w:t>•</w:t>
      </w:r>
      <w:r w:rsidRPr="00C75F68">
        <w:rPr>
          <w:rFonts w:cstheme="minorHAnsi"/>
          <w:color w:val="000000" w:themeColor="text1"/>
          <w:sz w:val="24"/>
          <w:szCs w:val="24"/>
        </w:rPr>
        <w:tab/>
        <w:t xml:space="preserve">Improving oral health and chronic disease surveillance using secondary data sources to </w:t>
      </w:r>
      <w:r>
        <w:rPr>
          <w:rFonts w:cstheme="minorHAnsi"/>
          <w:color w:val="000000" w:themeColor="text1"/>
          <w:sz w:val="24"/>
          <w:szCs w:val="24"/>
        </w:rPr>
        <w:tab/>
      </w:r>
      <w:r w:rsidRPr="00C75F68">
        <w:rPr>
          <w:rFonts w:cstheme="minorHAnsi"/>
          <w:color w:val="000000" w:themeColor="text1"/>
          <w:sz w:val="24"/>
          <w:szCs w:val="24"/>
        </w:rPr>
        <w:t>describe oral health trends</w:t>
      </w:r>
    </w:p>
    <w:p w14:paraId="6F090EBE" w14:textId="31E27C97" w:rsidR="000B30BB" w:rsidRPr="00887046" w:rsidRDefault="000B30BB" w:rsidP="00C150DA">
      <w:pPr>
        <w:pStyle w:val="CommentText"/>
        <w:numPr>
          <w:ilvl w:val="0"/>
          <w:numId w:val="38"/>
        </w:numPr>
        <w:spacing w:after="0" w:line="360" w:lineRule="auto"/>
        <w:rPr>
          <w:rFonts w:cstheme="minorHAnsi"/>
          <w:color w:val="000000" w:themeColor="text1"/>
          <w:sz w:val="24"/>
          <w:szCs w:val="24"/>
        </w:rPr>
      </w:pPr>
      <w:r w:rsidRPr="00887046">
        <w:rPr>
          <w:rFonts w:cstheme="minorHAnsi"/>
          <w:color w:val="000000" w:themeColor="text1"/>
          <w:sz w:val="24"/>
          <w:szCs w:val="24"/>
        </w:rPr>
        <w:t>Analyz</w:t>
      </w:r>
      <w:r w:rsidR="00887046">
        <w:rPr>
          <w:rFonts w:cstheme="minorHAnsi"/>
          <w:color w:val="000000" w:themeColor="text1"/>
          <w:sz w:val="24"/>
          <w:szCs w:val="24"/>
        </w:rPr>
        <w:t>ing</w:t>
      </w:r>
      <w:r w:rsidRPr="00887046">
        <w:rPr>
          <w:rFonts w:cstheme="minorHAnsi"/>
          <w:color w:val="000000" w:themeColor="text1"/>
          <w:sz w:val="24"/>
          <w:szCs w:val="24"/>
        </w:rPr>
        <w:t>, interpret</w:t>
      </w:r>
      <w:r w:rsidR="00887046">
        <w:rPr>
          <w:rFonts w:cstheme="minorHAnsi"/>
          <w:color w:val="000000" w:themeColor="text1"/>
          <w:sz w:val="24"/>
          <w:szCs w:val="24"/>
        </w:rPr>
        <w:t>ing</w:t>
      </w:r>
      <w:r w:rsidRPr="00887046">
        <w:rPr>
          <w:rFonts w:cstheme="minorHAnsi"/>
          <w:color w:val="000000" w:themeColor="text1"/>
          <w:sz w:val="24"/>
          <w:szCs w:val="24"/>
        </w:rPr>
        <w:t>, and disseminat</w:t>
      </w:r>
      <w:r w:rsidR="00887046">
        <w:rPr>
          <w:rFonts w:cstheme="minorHAnsi"/>
          <w:color w:val="000000" w:themeColor="text1"/>
          <w:sz w:val="24"/>
          <w:szCs w:val="24"/>
        </w:rPr>
        <w:t>ing</w:t>
      </w:r>
      <w:r w:rsidRPr="00887046">
        <w:rPr>
          <w:rFonts w:cstheme="minorHAnsi"/>
          <w:color w:val="000000" w:themeColor="text1"/>
          <w:sz w:val="24"/>
          <w:szCs w:val="24"/>
        </w:rPr>
        <w:t xml:space="preserve"> secondary data about relationships between the oral health of people with diabetes, their overall health, as well as their use and access to medical and dental care</w:t>
      </w:r>
      <w:r w:rsidR="00887046">
        <w:rPr>
          <w:rFonts w:cstheme="minorHAnsi"/>
          <w:color w:val="000000" w:themeColor="text1"/>
          <w:sz w:val="24"/>
          <w:szCs w:val="24"/>
        </w:rPr>
        <w:t>.</w:t>
      </w:r>
    </w:p>
    <w:p w14:paraId="677AACCB" w14:textId="15389CD5" w:rsidR="000B30BB" w:rsidRDefault="000B30BB" w:rsidP="00C150DA">
      <w:pPr>
        <w:pStyle w:val="CommentText"/>
        <w:numPr>
          <w:ilvl w:val="0"/>
          <w:numId w:val="38"/>
        </w:numPr>
        <w:spacing w:after="0" w:line="360" w:lineRule="auto"/>
        <w:rPr>
          <w:rFonts w:cstheme="minorHAnsi"/>
          <w:color w:val="000000" w:themeColor="text1"/>
          <w:sz w:val="24"/>
          <w:szCs w:val="24"/>
        </w:rPr>
      </w:pPr>
      <w:r w:rsidRPr="000B30BB">
        <w:rPr>
          <w:rFonts w:cstheme="minorHAnsi"/>
          <w:color w:val="000000" w:themeColor="text1"/>
          <w:sz w:val="24"/>
          <w:szCs w:val="24"/>
        </w:rPr>
        <w:t>Build</w:t>
      </w:r>
      <w:r w:rsidR="00887046">
        <w:rPr>
          <w:rFonts w:cstheme="minorHAnsi"/>
          <w:color w:val="000000" w:themeColor="text1"/>
          <w:sz w:val="24"/>
          <w:szCs w:val="24"/>
        </w:rPr>
        <w:t>ing</w:t>
      </w:r>
      <w:r w:rsidRPr="000B30BB">
        <w:rPr>
          <w:rFonts w:cstheme="minorHAnsi"/>
          <w:color w:val="000000" w:themeColor="text1"/>
          <w:sz w:val="24"/>
          <w:szCs w:val="24"/>
        </w:rPr>
        <w:t xml:space="preserve"> and expand</w:t>
      </w:r>
      <w:r w:rsidR="00887046">
        <w:rPr>
          <w:rFonts w:cstheme="minorHAnsi"/>
          <w:color w:val="000000" w:themeColor="text1"/>
          <w:sz w:val="24"/>
          <w:szCs w:val="24"/>
        </w:rPr>
        <w:t xml:space="preserve">ing </w:t>
      </w:r>
      <w:r w:rsidRPr="000B30BB">
        <w:rPr>
          <w:rFonts w:cstheme="minorHAnsi"/>
          <w:color w:val="000000" w:themeColor="text1"/>
          <w:sz w:val="24"/>
          <w:szCs w:val="24"/>
        </w:rPr>
        <w:t xml:space="preserve">partnerships that will use data </w:t>
      </w:r>
      <w:r w:rsidR="00887046" w:rsidRPr="000B30BB">
        <w:rPr>
          <w:rFonts w:cstheme="minorHAnsi"/>
          <w:color w:val="000000" w:themeColor="text1"/>
          <w:sz w:val="24"/>
          <w:szCs w:val="24"/>
        </w:rPr>
        <w:t>analysis</w:t>
      </w:r>
      <w:r w:rsidRPr="000B30BB">
        <w:rPr>
          <w:rFonts w:cstheme="minorHAnsi"/>
          <w:color w:val="000000" w:themeColor="text1"/>
          <w:sz w:val="24"/>
          <w:szCs w:val="24"/>
        </w:rPr>
        <w:t xml:space="preserve"> to raise awareness about evidence-based strategies to integrate medical and dental services that people with diabetes </w:t>
      </w:r>
      <w:r w:rsidR="00887046" w:rsidRPr="000B30BB">
        <w:rPr>
          <w:rFonts w:cstheme="minorHAnsi"/>
          <w:color w:val="000000" w:themeColor="text1"/>
          <w:sz w:val="24"/>
          <w:szCs w:val="24"/>
        </w:rPr>
        <w:t>need and</w:t>
      </w:r>
      <w:r w:rsidRPr="000B30BB">
        <w:rPr>
          <w:rFonts w:cstheme="minorHAnsi"/>
          <w:color w:val="000000" w:themeColor="text1"/>
          <w:sz w:val="24"/>
          <w:szCs w:val="24"/>
        </w:rPr>
        <w:t xml:space="preserve"> inform oral health programs and policies</w:t>
      </w:r>
      <w:r w:rsidR="00887046">
        <w:rPr>
          <w:rFonts w:cstheme="minorHAnsi"/>
          <w:color w:val="000000" w:themeColor="text1"/>
          <w:sz w:val="24"/>
          <w:szCs w:val="24"/>
        </w:rPr>
        <w:t>.</w:t>
      </w:r>
    </w:p>
    <w:p w14:paraId="381C948F" w14:textId="77777777" w:rsidR="000B30BB" w:rsidRDefault="0040210B" w:rsidP="00C150DA">
      <w:pPr>
        <w:pStyle w:val="CommentText"/>
        <w:numPr>
          <w:ilvl w:val="0"/>
          <w:numId w:val="32"/>
        </w:numPr>
        <w:tabs>
          <w:tab w:val="left" w:pos="720"/>
        </w:tabs>
        <w:spacing w:after="0" w:line="360" w:lineRule="auto"/>
        <w:ind w:left="720"/>
        <w:rPr>
          <w:rFonts w:cstheme="minorHAnsi"/>
          <w:color w:val="000000" w:themeColor="text1"/>
          <w:sz w:val="24"/>
          <w:szCs w:val="24"/>
        </w:rPr>
      </w:pPr>
      <w:r w:rsidRPr="00C75F68">
        <w:rPr>
          <w:rFonts w:cstheme="minorHAnsi"/>
          <w:color w:val="000000" w:themeColor="text1"/>
          <w:sz w:val="24"/>
          <w:szCs w:val="24"/>
        </w:rPr>
        <w:t>Increasing awareness of infection prevention and control guidelines in traditional and non-traditional settings.</w:t>
      </w:r>
    </w:p>
    <w:p w14:paraId="6BFF48F9" w14:textId="2B78BB98" w:rsidR="0040210B" w:rsidRPr="00C75F68" w:rsidRDefault="000B30BB" w:rsidP="00C150DA">
      <w:pPr>
        <w:pStyle w:val="CommentText"/>
        <w:numPr>
          <w:ilvl w:val="0"/>
          <w:numId w:val="39"/>
        </w:numPr>
        <w:tabs>
          <w:tab w:val="left" w:pos="720"/>
        </w:tabs>
        <w:spacing w:after="0" w:line="360" w:lineRule="auto"/>
        <w:rPr>
          <w:rFonts w:cstheme="minorHAnsi"/>
          <w:color w:val="000000" w:themeColor="text1"/>
          <w:sz w:val="24"/>
          <w:szCs w:val="24"/>
        </w:rPr>
      </w:pPr>
      <w:r w:rsidRPr="000B30BB">
        <w:rPr>
          <w:rFonts w:cstheme="minorHAnsi"/>
          <w:color w:val="000000" w:themeColor="text1"/>
          <w:sz w:val="24"/>
          <w:szCs w:val="24"/>
        </w:rPr>
        <w:t>Promot</w:t>
      </w:r>
      <w:r w:rsidR="00887046">
        <w:rPr>
          <w:rFonts w:cstheme="minorHAnsi"/>
          <w:color w:val="000000" w:themeColor="text1"/>
          <w:sz w:val="24"/>
          <w:szCs w:val="24"/>
        </w:rPr>
        <w:t>ing</w:t>
      </w:r>
      <w:r w:rsidRPr="000B30BB">
        <w:rPr>
          <w:rFonts w:cstheme="minorHAnsi"/>
          <w:color w:val="000000" w:themeColor="text1"/>
          <w:sz w:val="24"/>
          <w:szCs w:val="24"/>
        </w:rPr>
        <w:t xml:space="preserve"> dental IPC resources by establishing new (or using existing) partnerships with state </w:t>
      </w:r>
      <w:r w:rsidR="00875264">
        <w:rPr>
          <w:rFonts w:cstheme="minorHAnsi"/>
          <w:color w:val="000000" w:themeColor="text1"/>
          <w:sz w:val="24"/>
          <w:szCs w:val="24"/>
        </w:rPr>
        <w:t>Healthcare-</w:t>
      </w:r>
      <w:r w:rsidR="00075176">
        <w:rPr>
          <w:rFonts w:cstheme="minorHAnsi"/>
          <w:color w:val="000000" w:themeColor="text1"/>
          <w:sz w:val="24"/>
          <w:szCs w:val="24"/>
        </w:rPr>
        <w:t>A</w:t>
      </w:r>
      <w:r w:rsidR="00875264">
        <w:rPr>
          <w:rFonts w:cstheme="minorHAnsi"/>
          <w:color w:val="000000" w:themeColor="text1"/>
          <w:sz w:val="24"/>
          <w:szCs w:val="24"/>
        </w:rPr>
        <w:t xml:space="preserve">ssociated </w:t>
      </w:r>
      <w:r w:rsidR="00075176">
        <w:rPr>
          <w:rFonts w:cstheme="minorHAnsi"/>
          <w:color w:val="000000" w:themeColor="text1"/>
          <w:sz w:val="24"/>
          <w:szCs w:val="24"/>
        </w:rPr>
        <w:t>Infection (</w:t>
      </w:r>
      <w:r w:rsidRPr="000B30BB">
        <w:rPr>
          <w:rFonts w:cstheme="minorHAnsi"/>
          <w:color w:val="000000" w:themeColor="text1"/>
          <w:sz w:val="24"/>
          <w:szCs w:val="24"/>
        </w:rPr>
        <w:t>HAI</w:t>
      </w:r>
      <w:r w:rsidR="00075176">
        <w:rPr>
          <w:rFonts w:cstheme="minorHAnsi"/>
          <w:color w:val="000000" w:themeColor="text1"/>
          <w:sz w:val="24"/>
          <w:szCs w:val="24"/>
        </w:rPr>
        <w:t>)</w:t>
      </w:r>
      <w:r w:rsidRPr="000B30BB">
        <w:rPr>
          <w:rFonts w:cstheme="minorHAnsi"/>
          <w:color w:val="000000" w:themeColor="text1"/>
          <w:sz w:val="24"/>
          <w:szCs w:val="24"/>
        </w:rPr>
        <w:t xml:space="preserve"> programs and organizations with oral health IPC expertise.</w:t>
      </w:r>
      <w:r w:rsidR="0040210B" w:rsidRPr="00C75F68">
        <w:rPr>
          <w:rFonts w:cstheme="minorHAnsi"/>
          <w:color w:val="000000" w:themeColor="text1"/>
          <w:sz w:val="24"/>
          <w:szCs w:val="24"/>
        </w:rPr>
        <w:t xml:space="preserve"> </w:t>
      </w:r>
    </w:p>
    <w:p w14:paraId="3B9F6674" w14:textId="62F536F1" w:rsidR="002A013C" w:rsidRDefault="0040210B" w:rsidP="00C150DA">
      <w:pPr>
        <w:pStyle w:val="CommentText"/>
        <w:spacing w:after="240" w:line="360" w:lineRule="auto"/>
        <w:rPr>
          <w:rFonts w:cstheme="minorHAnsi"/>
          <w:color w:val="000000" w:themeColor="text1"/>
          <w:sz w:val="24"/>
          <w:szCs w:val="24"/>
        </w:rPr>
      </w:pPr>
      <w:r w:rsidRPr="00C75F68">
        <w:rPr>
          <w:rFonts w:cstheme="minorHAnsi"/>
          <w:color w:val="000000" w:themeColor="text1"/>
          <w:sz w:val="24"/>
          <w:szCs w:val="24"/>
        </w:rPr>
        <w:lastRenderedPageBreak/>
        <w:t xml:space="preserve">By executing surveillance activities included in the work plan, </w:t>
      </w:r>
      <w:r>
        <w:rPr>
          <w:rFonts w:cstheme="minorHAnsi"/>
          <w:color w:val="000000" w:themeColor="text1"/>
          <w:sz w:val="24"/>
          <w:szCs w:val="24"/>
        </w:rPr>
        <w:t>the SOHP</w:t>
      </w:r>
      <w:r w:rsidRPr="00C75F68">
        <w:rPr>
          <w:rFonts w:cstheme="minorHAnsi"/>
          <w:color w:val="000000" w:themeColor="text1"/>
          <w:sz w:val="24"/>
          <w:szCs w:val="24"/>
        </w:rPr>
        <w:t xml:space="preserve"> anticipates achieving short-term, intermediate, and long-term outcomes during the grant period as described in the logic model </w:t>
      </w:r>
      <w:r w:rsidR="00F61201">
        <w:rPr>
          <w:rFonts w:cstheme="minorHAnsi"/>
          <w:color w:val="000000" w:themeColor="text1"/>
          <w:sz w:val="24"/>
          <w:szCs w:val="24"/>
        </w:rPr>
        <w:t>below</w:t>
      </w:r>
      <w:r w:rsidRPr="00C75F68">
        <w:rPr>
          <w:rFonts w:cstheme="minorHAnsi"/>
          <w:color w:val="000000" w:themeColor="text1"/>
          <w:sz w:val="24"/>
          <w:szCs w:val="24"/>
        </w:rPr>
        <w:t xml:space="preserve">.  </w:t>
      </w:r>
    </w:p>
    <w:p w14:paraId="64E48E7D" w14:textId="77777777" w:rsidR="002A013C" w:rsidRDefault="002A013C" w:rsidP="00C150DA">
      <w:pPr>
        <w:spacing w:after="0" w:line="360" w:lineRule="auto"/>
        <w:rPr>
          <w:rFonts w:cstheme="minorHAnsi"/>
          <w:color w:val="000000" w:themeColor="text1"/>
          <w:sz w:val="24"/>
          <w:szCs w:val="24"/>
        </w:rPr>
        <w:sectPr w:rsidR="002A013C" w:rsidSect="002A013C">
          <w:footerReference w:type="default" r:id="rId7"/>
          <w:type w:val="continuous"/>
          <w:pgSz w:w="12240" w:h="15840"/>
          <w:pgMar w:top="1440" w:right="1440" w:bottom="1440" w:left="1440" w:header="720" w:footer="720" w:gutter="0"/>
          <w:cols w:space="720"/>
          <w:docGrid w:linePitch="360"/>
        </w:sectPr>
      </w:pPr>
      <w:r>
        <w:rPr>
          <w:rFonts w:cstheme="minorHAnsi"/>
          <w:color w:val="000000" w:themeColor="text1"/>
          <w:sz w:val="24"/>
          <w:szCs w:val="24"/>
        </w:rPr>
        <w:br w:type="page"/>
      </w:r>
    </w:p>
    <w:p w14:paraId="616343C0" w14:textId="02AF5214" w:rsidR="00953D60" w:rsidRDefault="00953D60" w:rsidP="00F61201">
      <w:pPr>
        <w:pStyle w:val="Heading1"/>
        <w:numPr>
          <w:ilvl w:val="0"/>
          <w:numId w:val="30"/>
        </w:numPr>
        <w:rPr>
          <w:rFonts w:cstheme="minorHAnsi"/>
          <w:sz w:val="24"/>
          <w:szCs w:val="24"/>
        </w:rPr>
      </w:pPr>
      <w:bookmarkStart w:id="8" w:name="_Surveillance_Plan"/>
      <w:bookmarkStart w:id="9" w:name="_Oral_Health_Surveillance"/>
      <w:bookmarkStart w:id="10" w:name="_Toc32496105"/>
      <w:bookmarkEnd w:id="8"/>
      <w:bookmarkEnd w:id="9"/>
      <w:r w:rsidRPr="00F61201">
        <w:rPr>
          <w:rFonts w:cstheme="minorHAnsi"/>
          <w:sz w:val="24"/>
          <w:szCs w:val="24"/>
        </w:rPr>
        <w:lastRenderedPageBreak/>
        <w:t>Oral Health Surveillance System Logic Model</w:t>
      </w:r>
      <w:bookmarkEnd w:id="10"/>
      <w:r w:rsidRPr="00F61201">
        <w:rPr>
          <w:rFonts w:cstheme="minorHAnsi"/>
          <w:sz w:val="24"/>
          <w:szCs w:val="24"/>
        </w:rPr>
        <w:t xml:space="preserve"> </w:t>
      </w:r>
    </w:p>
    <w:p w14:paraId="2FC6799E" w14:textId="3E1CA445" w:rsidR="007D0248" w:rsidRPr="007D0248" w:rsidRDefault="007D0248" w:rsidP="007D0248">
      <w:pPr>
        <w:rPr>
          <w:b/>
          <w:bCs/>
          <w:sz w:val="24"/>
          <w:szCs w:val="24"/>
        </w:rPr>
      </w:pPr>
      <w:r w:rsidRPr="007D0248">
        <w:rPr>
          <w:b/>
          <w:bCs/>
          <w:sz w:val="24"/>
          <w:szCs w:val="24"/>
        </w:rPr>
        <w:t>Table 1 Logic Model</w:t>
      </w:r>
    </w:p>
    <w:p w14:paraId="382AF65D" w14:textId="6D0BE3C6" w:rsidR="00953D60" w:rsidRDefault="005F1034" w:rsidP="002A013C">
      <w:r w:rsidRPr="005F1034">
        <w:rPr>
          <w:noProof/>
        </w:rPr>
        <w:drawing>
          <wp:inline distT="0" distB="0" distL="0" distR="0" wp14:anchorId="6BE6C119" wp14:editId="2AEBA383">
            <wp:extent cx="8203676" cy="4358640"/>
            <wp:effectExtent l="0" t="0" r="6985" b="3810"/>
            <wp:docPr id="18301125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8162" cy="4408841"/>
                    </a:xfrm>
                    <a:prstGeom prst="rect">
                      <a:avLst/>
                    </a:prstGeom>
                    <a:noFill/>
                    <a:ln>
                      <a:noFill/>
                    </a:ln>
                  </pic:spPr>
                </pic:pic>
              </a:graphicData>
            </a:graphic>
          </wp:inline>
        </w:drawing>
      </w:r>
    </w:p>
    <w:p w14:paraId="2F3B47CC" w14:textId="77777777" w:rsidR="002A013C" w:rsidRDefault="002A013C" w:rsidP="005F1034">
      <w:pPr>
        <w:ind w:left="-630"/>
        <w:sectPr w:rsidR="002A013C" w:rsidSect="002A013C">
          <w:pgSz w:w="15840" w:h="12240" w:orient="landscape"/>
          <w:pgMar w:top="1440" w:right="1440" w:bottom="1440" w:left="1440" w:header="720" w:footer="720" w:gutter="0"/>
          <w:cols w:space="720"/>
          <w:docGrid w:linePitch="360"/>
        </w:sectPr>
      </w:pPr>
    </w:p>
    <w:p w14:paraId="6276A4A5" w14:textId="114AE5BA" w:rsidR="005F1034" w:rsidRDefault="005F1034" w:rsidP="002A013C">
      <w:r w:rsidRPr="005F1034">
        <w:rPr>
          <w:noProof/>
        </w:rPr>
        <w:lastRenderedPageBreak/>
        <w:drawing>
          <wp:inline distT="0" distB="0" distL="0" distR="0" wp14:anchorId="14871075" wp14:editId="68033EAA">
            <wp:extent cx="8191500" cy="6448180"/>
            <wp:effectExtent l="0" t="0" r="0" b="0"/>
            <wp:docPr id="1964853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6126" cy="6499052"/>
                    </a:xfrm>
                    <a:prstGeom prst="rect">
                      <a:avLst/>
                    </a:prstGeom>
                    <a:noFill/>
                    <a:ln>
                      <a:noFill/>
                    </a:ln>
                  </pic:spPr>
                </pic:pic>
              </a:graphicData>
            </a:graphic>
          </wp:inline>
        </w:drawing>
      </w:r>
    </w:p>
    <w:p w14:paraId="57281837" w14:textId="071C7844" w:rsidR="005F1034" w:rsidRDefault="005F1034" w:rsidP="002A013C">
      <w:r w:rsidRPr="005F1034">
        <w:rPr>
          <w:noProof/>
        </w:rPr>
        <w:lastRenderedPageBreak/>
        <w:drawing>
          <wp:inline distT="0" distB="0" distL="0" distR="0" wp14:anchorId="530BC039" wp14:editId="1F169BCB">
            <wp:extent cx="8237220" cy="5158540"/>
            <wp:effectExtent l="0" t="0" r="0" b="4445"/>
            <wp:docPr id="1445035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8519" cy="5203191"/>
                    </a:xfrm>
                    <a:prstGeom prst="rect">
                      <a:avLst/>
                    </a:prstGeom>
                    <a:noFill/>
                    <a:ln>
                      <a:noFill/>
                    </a:ln>
                  </pic:spPr>
                </pic:pic>
              </a:graphicData>
            </a:graphic>
          </wp:inline>
        </w:drawing>
      </w:r>
    </w:p>
    <w:p w14:paraId="1F7FFC74" w14:textId="77777777" w:rsidR="005F1034" w:rsidRDefault="005F1034" w:rsidP="005F1034">
      <w:pPr>
        <w:ind w:left="-630"/>
      </w:pPr>
    </w:p>
    <w:p w14:paraId="67C19B95" w14:textId="77777777" w:rsidR="005F1034" w:rsidRPr="008107BB" w:rsidRDefault="005F1034" w:rsidP="005F1034">
      <w:pPr>
        <w:ind w:left="-630"/>
      </w:pPr>
    </w:p>
    <w:p w14:paraId="1E013876" w14:textId="77777777" w:rsidR="002A013C" w:rsidRDefault="002A013C" w:rsidP="002A013C">
      <w:pPr>
        <w:spacing w:line="240" w:lineRule="auto"/>
        <w:rPr>
          <w:rFonts w:cstheme="minorHAnsi"/>
          <w:sz w:val="24"/>
          <w:szCs w:val="24"/>
        </w:rPr>
        <w:sectPr w:rsidR="002A013C" w:rsidSect="002A013C">
          <w:pgSz w:w="15840" w:h="12240" w:orient="landscape"/>
          <w:pgMar w:top="990" w:right="1440" w:bottom="1440" w:left="1440" w:header="720" w:footer="720" w:gutter="0"/>
          <w:cols w:space="720"/>
          <w:docGrid w:linePitch="360"/>
        </w:sectPr>
      </w:pPr>
    </w:p>
    <w:p w14:paraId="3A8DA8E1" w14:textId="1C397275" w:rsidR="00953D60" w:rsidRPr="00C6393F" w:rsidRDefault="00953D60" w:rsidP="002A013C">
      <w:pPr>
        <w:pStyle w:val="Heading1"/>
        <w:numPr>
          <w:ilvl w:val="0"/>
          <w:numId w:val="30"/>
        </w:numPr>
        <w:rPr>
          <w:rFonts w:cstheme="minorHAnsi"/>
          <w:sz w:val="24"/>
          <w:szCs w:val="24"/>
        </w:rPr>
      </w:pPr>
      <w:bookmarkStart w:id="11" w:name="_Toc32496106"/>
      <w:r w:rsidRPr="00C6393F">
        <w:rPr>
          <w:rFonts w:cstheme="minorHAnsi"/>
          <w:sz w:val="24"/>
          <w:szCs w:val="24"/>
        </w:rPr>
        <w:lastRenderedPageBreak/>
        <w:t>Oral Health Indicators and Data Sources</w:t>
      </w:r>
      <w:bookmarkEnd w:id="11"/>
    </w:p>
    <w:p w14:paraId="67948CEA" w14:textId="77777777" w:rsidR="00953D60" w:rsidRDefault="00953D60" w:rsidP="00953D60">
      <w:pPr>
        <w:rPr>
          <w:rFonts w:cstheme="minorHAnsi"/>
          <w:b/>
          <w:sz w:val="24"/>
          <w:szCs w:val="24"/>
        </w:rPr>
      </w:pPr>
    </w:p>
    <w:tbl>
      <w:tblPr>
        <w:tblStyle w:val="TableGrid"/>
        <w:tblW w:w="12955" w:type="dxa"/>
        <w:tblLook w:val="04A0" w:firstRow="1" w:lastRow="0" w:firstColumn="1" w:lastColumn="0" w:noHBand="0" w:noVBand="1"/>
      </w:tblPr>
      <w:tblGrid>
        <w:gridCol w:w="2591"/>
        <w:gridCol w:w="2591"/>
        <w:gridCol w:w="2591"/>
        <w:gridCol w:w="2591"/>
        <w:gridCol w:w="2591"/>
      </w:tblGrid>
      <w:tr w:rsidR="00953D60" w:rsidRPr="008473F7" w14:paraId="76C20F2A" w14:textId="77777777" w:rsidTr="00C42AA3">
        <w:trPr>
          <w:tblHeader/>
        </w:trPr>
        <w:tc>
          <w:tcPr>
            <w:tcW w:w="12955" w:type="dxa"/>
            <w:gridSpan w:val="5"/>
            <w:shd w:val="clear" w:color="auto" w:fill="808080" w:themeFill="background1" w:themeFillShade="80"/>
          </w:tcPr>
          <w:p w14:paraId="4BAAE939" w14:textId="265162DC" w:rsidR="00953D60" w:rsidRPr="008473F7" w:rsidRDefault="00953D60" w:rsidP="00C42AA3">
            <w:pPr>
              <w:pStyle w:val="TableHeader"/>
              <w:rPr>
                <w:rFonts w:cstheme="minorHAnsi"/>
                <w:sz w:val="24"/>
                <w:szCs w:val="24"/>
                <w:highlight w:val="red"/>
              </w:rPr>
            </w:pPr>
            <w:bookmarkStart w:id="12" w:name="_Toc32496093"/>
            <w:bookmarkStart w:id="13" w:name="_Hlk27499082"/>
            <w:bookmarkStart w:id="14" w:name="Table1"/>
            <w:bookmarkStart w:id="15" w:name="_Hlk22901842"/>
            <w:r w:rsidRPr="007D0248">
              <w:rPr>
                <w:rFonts w:cstheme="minorHAnsi"/>
                <w:i/>
                <w:sz w:val="24"/>
                <w:szCs w:val="24"/>
              </w:rPr>
              <w:t xml:space="preserve">Table </w:t>
            </w:r>
            <w:r w:rsidR="007D0248" w:rsidRPr="007D0248">
              <w:rPr>
                <w:rFonts w:cstheme="minorHAnsi"/>
                <w:i/>
                <w:sz w:val="24"/>
                <w:szCs w:val="24"/>
              </w:rPr>
              <w:t>2</w:t>
            </w:r>
            <w:r w:rsidRPr="007D0248">
              <w:rPr>
                <w:rFonts w:cstheme="minorHAnsi"/>
                <w:i/>
                <w:sz w:val="24"/>
                <w:szCs w:val="24"/>
              </w:rPr>
              <w:t>:</w:t>
            </w:r>
            <w:r w:rsidRPr="007D0248">
              <w:rPr>
                <w:rFonts w:cstheme="minorHAnsi"/>
                <w:sz w:val="24"/>
                <w:szCs w:val="24"/>
              </w:rPr>
              <w:t xml:space="preserve"> </w:t>
            </w:r>
            <w:r w:rsidR="007D0248" w:rsidRPr="007D0248">
              <w:rPr>
                <w:rFonts w:cstheme="minorHAnsi"/>
                <w:sz w:val="24"/>
                <w:szCs w:val="24"/>
              </w:rPr>
              <w:t xml:space="preserve">Virginia’s </w:t>
            </w:r>
            <w:r w:rsidRPr="007D0248">
              <w:rPr>
                <w:rFonts w:cstheme="minorHAnsi"/>
                <w:sz w:val="24"/>
                <w:szCs w:val="24"/>
              </w:rPr>
              <w:t>Oral Health Surveillance Indicators</w:t>
            </w:r>
            <w:bookmarkEnd w:id="12"/>
            <w:r w:rsidRPr="007D0248">
              <w:rPr>
                <w:rFonts w:cstheme="minorHAnsi"/>
                <w:sz w:val="24"/>
                <w:szCs w:val="24"/>
              </w:rPr>
              <w:t xml:space="preserve"> </w:t>
            </w:r>
          </w:p>
        </w:tc>
      </w:tr>
      <w:bookmarkEnd w:id="13"/>
      <w:tr w:rsidR="00953D60" w:rsidRPr="008473F7" w14:paraId="07F8D9E0" w14:textId="77777777" w:rsidTr="00C42AA3">
        <w:trPr>
          <w:tblHeader/>
        </w:trPr>
        <w:tc>
          <w:tcPr>
            <w:tcW w:w="2591" w:type="dxa"/>
            <w:shd w:val="clear" w:color="auto" w:fill="808080" w:themeFill="background1" w:themeFillShade="80"/>
          </w:tcPr>
          <w:p w14:paraId="0DCCA7D6" w14:textId="77777777" w:rsidR="00953D60" w:rsidRPr="000D7464" w:rsidRDefault="00953D60" w:rsidP="00C42AA3">
            <w:pPr>
              <w:rPr>
                <w:rFonts w:cstheme="minorHAnsi"/>
                <w:b/>
                <w:color w:val="FFFFFF" w:themeColor="background1"/>
                <w:sz w:val="24"/>
                <w:szCs w:val="24"/>
              </w:rPr>
            </w:pPr>
            <w:r w:rsidRPr="000D7464">
              <w:rPr>
                <w:rFonts w:cstheme="minorHAnsi"/>
                <w:b/>
                <w:color w:val="FFFFFF" w:themeColor="background1"/>
                <w:sz w:val="24"/>
                <w:szCs w:val="24"/>
              </w:rPr>
              <w:t>Prioritized Indicators</w:t>
            </w:r>
          </w:p>
        </w:tc>
        <w:tc>
          <w:tcPr>
            <w:tcW w:w="2591" w:type="dxa"/>
            <w:shd w:val="clear" w:color="auto" w:fill="808080" w:themeFill="background1" w:themeFillShade="80"/>
          </w:tcPr>
          <w:p w14:paraId="7F4F6DAB" w14:textId="77777777" w:rsidR="00953D60" w:rsidRPr="000D7464" w:rsidRDefault="00953D60" w:rsidP="00C42AA3">
            <w:pPr>
              <w:rPr>
                <w:rFonts w:cstheme="minorHAnsi"/>
                <w:b/>
                <w:color w:val="FFFFFF" w:themeColor="background1"/>
                <w:sz w:val="24"/>
                <w:szCs w:val="24"/>
              </w:rPr>
            </w:pPr>
            <w:r w:rsidRPr="000D7464">
              <w:rPr>
                <w:rFonts w:cstheme="minorHAnsi"/>
                <w:b/>
                <w:color w:val="FFFFFF" w:themeColor="background1"/>
                <w:sz w:val="24"/>
                <w:szCs w:val="24"/>
              </w:rPr>
              <w:t>Data Sources</w:t>
            </w:r>
          </w:p>
        </w:tc>
        <w:tc>
          <w:tcPr>
            <w:tcW w:w="2591" w:type="dxa"/>
            <w:shd w:val="clear" w:color="auto" w:fill="808080" w:themeFill="background1" w:themeFillShade="80"/>
          </w:tcPr>
          <w:p w14:paraId="252F2A6A" w14:textId="77777777" w:rsidR="00953D60" w:rsidRPr="000D7464" w:rsidRDefault="00953D60" w:rsidP="00C42AA3">
            <w:pPr>
              <w:rPr>
                <w:rFonts w:cstheme="minorHAnsi"/>
                <w:b/>
                <w:color w:val="FFFFFF" w:themeColor="background1"/>
                <w:sz w:val="24"/>
                <w:szCs w:val="24"/>
              </w:rPr>
            </w:pPr>
            <w:r w:rsidRPr="000D7464">
              <w:rPr>
                <w:rFonts w:cstheme="minorHAnsi"/>
                <w:b/>
                <w:color w:val="FFFFFF" w:themeColor="background1"/>
                <w:sz w:val="24"/>
                <w:szCs w:val="24"/>
              </w:rPr>
              <w:t>Frequency of Collection</w:t>
            </w:r>
          </w:p>
        </w:tc>
        <w:tc>
          <w:tcPr>
            <w:tcW w:w="2591" w:type="dxa"/>
            <w:shd w:val="clear" w:color="auto" w:fill="808080" w:themeFill="background1" w:themeFillShade="80"/>
          </w:tcPr>
          <w:p w14:paraId="1D7AF090" w14:textId="77777777" w:rsidR="00953D60" w:rsidRPr="000D7464" w:rsidRDefault="00953D60" w:rsidP="00C42AA3">
            <w:pPr>
              <w:rPr>
                <w:rFonts w:cstheme="minorHAnsi"/>
                <w:b/>
                <w:color w:val="FFFFFF" w:themeColor="background1"/>
                <w:sz w:val="24"/>
                <w:szCs w:val="24"/>
              </w:rPr>
            </w:pPr>
            <w:r w:rsidRPr="000D7464">
              <w:rPr>
                <w:rFonts w:cstheme="minorHAnsi"/>
                <w:b/>
                <w:color w:val="FFFFFF" w:themeColor="background1"/>
                <w:sz w:val="24"/>
                <w:szCs w:val="24"/>
              </w:rPr>
              <w:t>Most Recent Year that Data are Available</w:t>
            </w:r>
          </w:p>
        </w:tc>
        <w:tc>
          <w:tcPr>
            <w:tcW w:w="2591" w:type="dxa"/>
            <w:shd w:val="clear" w:color="auto" w:fill="808080" w:themeFill="background1" w:themeFillShade="80"/>
          </w:tcPr>
          <w:p w14:paraId="106B85CE" w14:textId="2C210CB8" w:rsidR="00953D60" w:rsidRPr="000D7464" w:rsidRDefault="00953D60" w:rsidP="00C42AA3">
            <w:pPr>
              <w:rPr>
                <w:rFonts w:cstheme="minorHAnsi"/>
                <w:b/>
                <w:color w:val="FFFFFF" w:themeColor="background1"/>
                <w:sz w:val="24"/>
                <w:szCs w:val="24"/>
              </w:rPr>
            </w:pPr>
            <w:r w:rsidRPr="000D7464">
              <w:rPr>
                <w:rFonts w:cstheme="minorHAnsi"/>
                <w:b/>
                <w:color w:val="FFFFFF" w:themeColor="background1"/>
                <w:sz w:val="24"/>
                <w:szCs w:val="24"/>
              </w:rPr>
              <w:t>Projected Data Years Available through 202</w:t>
            </w:r>
            <w:r w:rsidR="000D7464">
              <w:rPr>
                <w:rFonts w:cstheme="minorHAnsi"/>
                <w:b/>
                <w:color w:val="FFFFFF" w:themeColor="background1"/>
                <w:sz w:val="24"/>
                <w:szCs w:val="24"/>
              </w:rPr>
              <w:t>7</w:t>
            </w:r>
          </w:p>
        </w:tc>
      </w:tr>
      <w:tr w:rsidR="00953D60" w:rsidRPr="008473F7" w14:paraId="3A18F877" w14:textId="77777777" w:rsidTr="00C42AA3">
        <w:tc>
          <w:tcPr>
            <w:tcW w:w="12955" w:type="dxa"/>
            <w:gridSpan w:val="5"/>
            <w:shd w:val="clear" w:color="auto" w:fill="D9D9D9" w:themeFill="background1" w:themeFillShade="D9"/>
          </w:tcPr>
          <w:p w14:paraId="70CB1607" w14:textId="635F3F2D" w:rsidR="00953D60" w:rsidRPr="008473F7" w:rsidRDefault="00953D60" w:rsidP="00C42AA3">
            <w:pPr>
              <w:rPr>
                <w:rFonts w:cstheme="minorHAnsi"/>
                <w:b/>
                <w:sz w:val="24"/>
                <w:szCs w:val="24"/>
                <w:highlight w:val="red"/>
              </w:rPr>
            </w:pPr>
            <w:bookmarkStart w:id="16" w:name="_Hlk197329081"/>
            <w:r w:rsidRPr="000D7464">
              <w:rPr>
                <w:rFonts w:cstheme="minorHAnsi"/>
                <w:b/>
                <w:sz w:val="24"/>
                <w:szCs w:val="24"/>
              </w:rPr>
              <w:t>Core Indicators</w:t>
            </w:r>
            <w:r w:rsidR="000D7464">
              <w:rPr>
                <w:rFonts w:cstheme="minorHAnsi"/>
                <w:b/>
                <w:sz w:val="24"/>
                <w:szCs w:val="24"/>
              </w:rPr>
              <w:t xml:space="preserve"> – Community Water Fluoridation</w:t>
            </w:r>
          </w:p>
        </w:tc>
      </w:tr>
      <w:bookmarkEnd w:id="16"/>
      <w:tr w:rsidR="000D7464" w:rsidRPr="008473F7" w14:paraId="35E94BC0" w14:textId="77777777" w:rsidTr="00C42AA3">
        <w:tc>
          <w:tcPr>
            <w:tcW w:w="2591" w:type="dxa"/>
          </w:tcPr>
          <w:p w14:paraId="37C99E31" w14:textId="77777777" w:rsidR="000D7464" w:rsidRDefault="000D7464" w:rsidP="00C42AA3">
            <w:pPr>
              <w:rPr>
                <w:rFonts w:ascii="Times New Roman" w:eastAsia="Times New Roman" w:hAnsi="Times New Roman" w:cs="Times New Roman"/>
                <w:sz w:val="24"/>
                <w:szCs w:val="24"/>
              </w:rPr>
            </w:pPr>
            <w:r w:rsidRPr="000D7464">
              <w:rPr>
                <w:rFonts w:ascii="Times New Roman" w:eastAsia="Times New Roman" w:hAnsi="Times New Roman" w:cs="Times New Roman"/>
                <w:sz w:val="24"/>
                <w:szCs w:val="24"/>
              </w:rPr>
              <w:t>Proportion of small water systems reporting fluoridation data to WFRS annually</w:t>
            </w:r>
          </w:p>
          <w:p w14:paraId="0470F7A7" w14:textId="25E7F1CB" w:rsidR="00EE2765" w:rsidRPr="008473F7" w:rsidRDefault="00EE2765" w:rsidP="00EE2765">
            <w:pPr>
              <w:spacing w:after="0"/>
              <w:rPr>
                <w:rFonts w:cstheme="minorHAnsi"/>
                <w:sz w:val="24"/>
                <w:szCs w:val="24"/>
                <w:highlight w:val="red"/>
              </w:rPr>
            </w:pPr>
          </w:p>
        </w:tc>
        <w:tc>
          <w:tcPr>
            <w:tcW w:w="2591" w:type="dxa"/>
          </w:tcPr>
          <w:p w14:paraId="7CD983C0" w14:textId="3ABA8335" w:rsidR="000D7464" w:rsidRPr="000D7464" w:rsidRDefault="000D7464" w:rsidP="00C42AA3">
            <w:pPr>
              <w:rPr>
                <w:rFonts w:cstheme="minorHAnsi"/>
                <w:sz w:val="24"/>
                <w:szCs w:val="24"/>
              </w:rPr>
            </w:pPr>
            <w:r w:rsidRPr="000D7464">
              <w:rPr>
                <w:rFonts w:cstheme="minorHAnsi"/>
                <w:sz w:val="24"/>
                <w:szCs w:val="24"/>
              </w:rPr>
              <w:t>WFRS</w:t>
            </w:r>
          </w:p>
        </w:tc>
        <w:tc>
          <w:tcPr>
            <w:tcW w:w="2591" w:type="dxa"/>
          </w:tcPr>
          <w:p w14:paraId="3FA064E5" w14:textId="10BFDB69" w:rsidR="000D7464" w:rsidRPr="000D7464" w:rsidRDefault="000D7464" w:rsidP="00C42AA3">
            <w:pPr>
              <w:rPr>
                <w:rFonts w:cstheme="minorHAnsi"/>
                <w:sz w:val="24"/>
                <w:szCs w:val="24"/>
              </w:rPr>
            </w:pPr>
            <w:r>
              <w:rPr>
                <w:rFonts w:cstheme="minorHAnsi"/>
                <w:sz w:val="24"/>
                <w:szCs w:val="24"/>
              </w:rPr>
              <w:t>Monthly</w:t>
            </w:r>
          </w:p>
        </w:tc>
        <w:tc>
          <w:tcPr>
            <w:tcW w:w="2591" w:type="dxa"/>
            <w:shd w:val="clear" w:color="auto" w:fill="auto"/>
          </w:tcPr>
          <w:p w14:paraId="074B80AF" w14:textId="7050706B" w:rsidR="000D7464" w:rsidRPr="000D7464" w:rsidRDefault="000D7464" w:rsidP="00C42AA3">
            <w:pPr>
              <w:jc w:val="center"/>
              <w:rPr>
                <w:rFonts w:cstheme="minorHAnsi"/>
                <w:sz w:val="24"/>
                <w:szCs w:val="24"/>
              </w:rPr>
            </w:pPr>
            <w:r>
              <w:rPr>
                <w:rFonts w:cstheme="minorHAnsi"/>
                <w:sz w:val="24"/>
                <w:szCs w:val="24"/>
              </w:rPr>
              <w:t>2025</w:t>
            </w:r>
          </w:p>
        </w:tc>
        <w:tc>
          <w:tcPr>
            <w:tcW w:w="2591" w:type="dxa"/>
            <w:shd w:val="clear" w:color="auto" w:fill="auto"/>
          </w:tcPr>
          <w:p w14:paraId="7DAA6CC1" w14:textId="44424D73" w:rsidR="000D7464" w:rsidRDefault="00CB67C2" w:rsidP="00C42AA3">
            <w:pPr>
              <w:rPr>
                <w:rFonts w:cstheme="minorHAnsi"/>
                <w:sz w:val="24"/>
                <w:szCs w:val="24"/>
              </w:rPr>
            </w:pPr>
            <w:r>
              <w:rPr>
                <w:rFonts w:cstheme="minorHAnsi"/>
                <w:sz w:val="24"/>
                <w:szCs w:val="24"/>
              </w:rPr>
              <w:t xml:space="preserve">2024 </w:t>
            </w:r>
            <w:r w:rsidR="00A621C5">
              <w:rPr>
                <w:rFonts w:cstheme="minorHAnsi"/>
                <w:sz w:val="24"/>
                <w:szCs w:val="24"/>
              </w:rPr>
              <w:t>–</w:t>
            </w:r>
            <w:r>
              <w:rPr>
                <w:rFonts w:cstheme="minorHAnsi"/>
                <w:sz w:val="24"/>
                <w:szCs w:val="24"/>
              </w:rPr>
              <w:t xml:space="preserve"> 2027</w:t>
            </w:r>
          </w:p>
          <w:p w14:paraId="769464BB" w14:textId="22D8A33E" w:rsidR="00A621C5" w:rsidRPr="000D7464" w:rsidRDefault="00A621C5" w:rsidP="00C42AA3">
            <w:pPr>
              <w:rPr>
                <w:rFonts w:cstheme="minorHAnsi"/>
                <w:sz w:val="24"/>
                <w:szCs w:val="24"/>
              </w:rPr>
            </w:pPr>
          </w:p>
        </w:tc>
      </w:tr>
      <w:tr w:rsidR="000D7464" w:rsidRPr="008473F7" w14:paraId="14872A25" w14:textId="77777777" w:rsidTr="00C42AA3">
        <w:tc>
          <w:tcPr>
            <w:tcW w:w="2591" w:type="dxa"/>
          </w:tcPr>
          <w:p w14:paraId="72534A51" w14:textId="0452DEBA" w:rsidR="000D7464" w:rsidRPr="008473F7" w:rsidRDefault="000D7464" w:rsidP="00C42AA3">
            <w:pPr>
              <w:rPr>
                <w:rFonts w:cstheme="minorHAnsi"/>
                <w:sz w:val="24"/>
                <w:szCs w:val="24"/>
                <w:highlight w:val="red"/>
              </w:rPr>
            </w:pPr>
            <w:r w:rsidRPr="000D7464">
              <w:rPr>
                <w:rFonts w:cstheme="minorHAnsi"/>
                <w:sz w:val="24"/>
                <w:szCs w:val="24"/>
              </w:rPr>
              <w:t>Proportion of population served by optimally fluoridated community water systems</w:t>
            </w:r>
          </w:p>
        </w:tc>
        <w:tc>
          <w:tcPr>
            <w:tcW w:w="2591" w:type="dxa"/>
          </w:tcPr>
          <w:p w14:paraId="0056FB98" w14:textId="3ACB3233" w:rsidR="000D7464" w:rsidRPr="000D7464" w:rsidRDefault="000D7464" w:rsidP="00C42AA3">
            <w:pPr>
              <w:rPr>
                <w:rFonts w:cstheme="minorHAnsi"/>
                <w:sz w:val="24"/>
                <w:szCs w:val="24"/>
              </w:rPr>
            </w:pPr>
            <w:r>
              <w:rPr>
                <w:rFonts w:cstheme="minorHAnsi"/>
                <w:sz w:val="24"/>
                <w:szCs w:val="24"/>
              </w:rPr>
              <w:t>WFRS</w:t>
            </w:r>
          </w:p>
        </w:tc>
        <w:tc>
          <w:tcPr>
            <w:tcW w:w="2591" w:type="dxa"/>
          </w:tcPr>
          <w:p w14:paraId="23FE9491" w14:textId="698A3674" w:rsidR="000D7464" w:rsidRPr="000D7464" w:rsidRDefault="000D7464" w:rsidP="00C42AA3">
            <w:pPr>
              <w:rPr>
                <w:rFonts w:cstheme="minorHAnsi"/>
                <w:sz w:val="24"/>
                <w:szCs w:val="24"/>
              </w:rPr>
            </w:pPr>
            <w:r>
              <w:rPr>
                <w:rFonts w:cstheme="minorHAnsi"/>
                <w:sz w:val="24"/>
                <w:szCs w:val="24"/>
              </w:rPr>
              <w:t>Monthly</w:t>
            </w:r>
          </w:p>
        </w:tc>
        <w:tc>
          <w:tcPr>
            <w:tcW w:w="2591" w:type="dxa"/>
            <w:shd w:val="clear" w:color="auto" w:fill="auto"/>
          </w:tcPr>
          <w:p w14:paraId="789647CE" w14:textId="649392C0" w:rsidR="000D7464" w:rsidRPr="000D7464" w:rsidRDefault="000D7464" w:rsidP="00C42AA3">
            <w:pPr>
              <w:jc w:val="center"/>
              <w:rPr>
                <w:rFonts w:cstheme="minorHAnsi"/>
                <w:sz w:val="24"/>
                <w:szCs w:val="24"/>
              </w:rPr>
            </w:pPr>
            <w:r>
              <w:rPr>
                <w:rFonts w:cstheme="minorHAnsi"/>
                <w:sz w:val="24"/>
                <w:szCs w:val="24"/>
              </w:rPr>
              <w:t>2025</w:t>
            </w:r>
          </w:p>
        </w:tc>
        <w:tc>
          <w:tcPr>
            <w:tcW w:w="2591" w:type="dxa"/>
            <w:shd w:val="clear" w:color="auto" w:fill="auto"/>
          </w:tcPr>
          <w:p w14:paraId="6A0935B7" w14:textId="0E7F63AD" w:rsidR="000D7464" w:rsidRDefault="00CB67C2" w:rsidP="00C42AA3">
            <w:pPr>
              <w:rPr>
                <w:rFonts w:cstheme="minorHAnsi"/>
                <w:sz w:val="24"/>
                <w:szCs w:val="24"/>
              </w:rPr>
            </w:pPr>
            <w:r w:rsidRPr="00CB67C2">
              <w:rPr>
                <w:rFonts w:cstheme="minorHAnsi"/>
                <w:sz w:val="24"/>
                <w:szCs w:val="24"/>
              </w:rPr>
              <w:t xml:space="preserve">2024 </w:t>
            </w:r>
            <w:r w:rsidR="00A621C5">
              <w:rPr>
                <w:rFonts w:cstheme="minorHAnsi"/>
                <w:sz w:val="24"/>
                <w:szCs w:val="24"/>
              </w:rPr>
              <w:t>–</w:t>
            </w:r>
            <w:r w:rsidRPr="00CB67C2">
              <w:rPr>
                <w:rFonts w:cstheme="minorHAnsi"/>
                <w:sz w:val="24"/>
                <w:szCs w:val="24"/>
              </w:rPr>
              <w:t xml:space="preserve"> 2027</w:t>
            </w:r>
          </w:p>
          <w:p w14:paraId="384D9CDA" w14:textId="16DB9EAA" w:rsidR="00A621C5" w:rsidRPr="000D7464" w:rsidRDefault="00A621C5" w:rsidP="00C42AA3">
            <w:pPr>
              <w:rPr>
                <w:rFonts w:cstheme="minorHAnsi"/>
                <w:sz w:val="24"/>
                <w:szCs w:val="24"/>
              </w:rPr>
            </w:pPr>
          </w:p>
        </w:tc>
      </w:tr>
      <w:tr w:rsidR="000D7464" w:rsidRPr="008473F7" w14:paraId="706D4E45" w14:textId="77777777" w:rsidTr="00C42AA3">
        <w:tc>
          <w:tcPr>
            <w:tcW w:w="2591" w:type="dxa"/>
          </w:tcPr>
          <w:p w14:paraId="0A2FB17B" w14:textId="77777777" w:rsidR="000D7464" w:rsidRDefault="000D7464" w:rsidP="00C42AA3">
            <w:pPr>
              <w:rPr>
                <w:rFonts w:cstheme="minorHAnsi"/>
                <w:sz w:val="24"/>
                <w:szCs w:val="24"/>
              </w:rPr>
            </w:pPr>
            <w:r w:rsidRPr="000D7464">
              <w:rPr>
                <w:rFonts w:cstheme="minorHAnsi"/>
                <w:sz w:val="24"/>
                <w:szCs w:val="24"/>
              </w:rPr>
              <w:t>Proportion of population served by fluoridated community water systems</w:t>
            </w:r>
          </w:p>
          <w:p w14:paraId="065C4D6A" w14:textId="09BA1E28" w:rsidR="00CB67C2" w:rsidRPr="008473F7" w:rsidRDefault="00CB67C2" w:rsidP="00EE2765">
            <w:pPr>
              <w:spacing w:after="0"/>
              <w:rPr>
                <w:rFonts w:cstheme="minorHAnsi"/>
                <w:sz w:val="24"/>
                <w:szCs w:val="24"/>
                <w:highlight w:val="red"/>
              </w:rPr>
            </w:pPr>
          </w:p>
        </w:tc>
        <w:tc>
          <w:tcPr>
            <w:tcW w:w="2591" w:type="dxa"/>
          </w:tcPr>
          <w:p w14:paraId="1E1295A8" w14:textId="7E256EFB" w:rsidR="000D7464" w:rsidRPr="000D7464" w:rsidRDefault="000D7464" w:rsidP="00C42AA3">
            <w:pPr>
              <w:rPr>
                <w:rFonts w:cstheme="minorHAnsi"/>
                <w:sz w:val="24"/>
                <w:szCs w:val="24"/>
              </w:rPr>
            </w:pPr>
            <w:r>
              <w:rPr>
                <w:rFonts w:cstheme="minorHAnsi"/>
                <w:sz w:val="24"/>
                <w:szCs w:val="24"/>
              </w:rPr>
              <w:t>WFRS</w:t>
            </w:r>
          </w:p>
        </w:tc>
        <w:tc>
          <w:tcPr>
            <w:tcW w:w="2591" w:type="dxa"/>
          </w:tcPr>
          <w:p w14:paraId="4A03FFB5" w14:textId="7E941125" w:rsidR="000D7464" w:rsidRPr="000D7464" w:rsidRDefault="000D7464" w:rsidP="00C42AA3">
            <w:pPr>
              <w:rPr>
                <w:rFonts w:cstheme="minorHAnsi"/>
                <w:sz w:val="24"/>
                <w:szCs w:val="24"/>
              </w:rPr>
            </w:pPr>
            <w:r>
              <w:rPr>
                <w:rFonts w:cstheme="minorHAnsi"/>
                <w:sz w:val="24"/>
                <w:szCs w:val="24"/>
              </w:rPr>
              <w:t>Monthly</w:t>
            </w:r>
          </w:p>
        </w:tc>
        <w:tc>
          <w:tcPr>
            <w:tcW w:w="2591" w:type="dxa"/>
            <w:shd w:val="clear" w:color="auto" w:fill="auto"/>
          </w:tcPr>
          <w:p w14:paraId="1675AD01" w14:textId="4F56F432" w:rsidR="000D7464" w:rsidRPr="000D7464" w:rsidRDefault="000D7464" w:rsidP="00C42AA3">
            <w:pPr>
              <w:jc w:val="center"/>
              <w:rPr>
                <w:rFonts w:cstheme="minorHAnsi"/>
                <w:sz w:val="24"/>
                <w:szCs w:val="24"/>
              </w:rPr>
            </w:pPr>
            <w:r>
              <w:rPr>
                <w:rFonts w:cstheme="minorHAnsi"/>
                <w:sz w:val="24"/>
                <w:szCs w:val="24"/>
              </w:rPr>
              <w:t>2025</w:t>
            </w:r>
          </w:p>
        </w:tc>
        <w:tc>
          <w:tcPr>
            <w:tcW w:w="2591" w:type="dxa"/>
            <w:shd w:val="clear" w:color="auto" w:fill="auto"/>
          </w:tcPr>
          <w:p w14:paraId="7F87169D" w14:textId="28BC1208" w:rsidR="000D7464" w:rsidRDefault="00CB67C2" w:rsidP="00C42AA3">
            <w:pPr>
              <w:rPr>
                <w:rFonts w:cstheme="minorHAnsi"/>
                <w:sz w:val="24"/>
                <w:szCs w:val="24"/>
              </w:rPr>
            </w:pPr>
            <w:r w:rsidRPr="00CB67C2">
              <w:rPr>
                <w:rFonts w:cstheme="minorHAnsi"/>
                <w:sz w:val="24"/>
                <w:szCs w:val="24"/>
              </w:rPr>
              <w:t xml:space="preserve">2024 </w:t>
            </w:r>
            <w:r w:rsidR="00A621C5">
              <w:rPr>
                <w:rFonts w:cstheme="minorHAnsi"/>
                <w:sz w:val="24"/>
                <w:szCs w:val="24"/>
              </w:rPr>
              <w:t>–</w:t>
            </w:r>
            <w:r w:rsidRPr="00CB67C2">
              <w:rPr>
                <w:rFonts w:cstheme="minorHAnsi"/>
                <w:sz w:val="24"/>
                <w:szCs w:val="24"/>
              </w:rPr>
              <w:t xml:space="preserve"> 2027</w:t>
            </w:r>
          </w:p>
          <w:p w14:paraId="3B7AC892" w14:textId="0FC0A74C" w:rsidR="00A621C5" w:rsidRPr="000D7464" w:rsidRDefault="00A621C5" w:rsidP="00C42AA3">
            <w:pPr>
              <w:rPr>
                <w:rFonts w:cstheme="minorHAnsi"/>
                <w:sz w:val="24"/>
                <w:szCs w:val="24"/>
              </w:rPr>
            </w:pPr>
          </w:p>
        </w:tc>
      </w:tr>
      <w:tr w:rsidR="000D7464" w:rsidRPr="008473F7" w14:paraId="077C888D" w14:textId="77777777" w:rsidTr="00C42AA3">
        <w:tc>
          <w:tcPr>
            <w:tcW w:w="2591" w:type="dxa"/>
          </w:tcPr>
          <w:p w14:paraId="214B2EEA" w14:textId="77777777" w:rsidR="000D7464" w:rsidRDefault="000D7464" w:rsidP="00C42AA3">
            <w:pPr>
              <w:rPr>
                <w:rFonts w:cstheme="minorHAnsi"/>
                <w:sz w:val="24"/>
                <w:szCs w:val="24"/>
              </w:rPr>
            </w:pPr>
            <w:r w:rsidRPr="000D7464">
              <w:rPr>
                <w:rFonts w:cstheme="minorHAnsi"/>
                <w:sz w:val="24"/>
                <w:szCs w:val="24"/>
              </w:rPr>
              <w:t>Number of mini-grants awarded to community water systems</w:t>
            </w:r>
          </w:p>
          <w:p w14:paraId="6915D7C3" w14:textId="0F5C28F2" w:rsidR="00CB67C2" w:rsidRPr="008473F7" w:rsidRDefault="00CB67C2" w:rsidP="00EE2765">
            <w:pPr>
              <w:spacing w:after="0"/>
              <w:rPr>
                <w:rFonts w:cstheme="minorHAnsi"/>
                <w:sz w:val="24"/>
                <w:szCs w:val="24"/>
                <w:highlight w:val="red"/>
              </w:rPr>
            </w:pPr>
          </w:p>
        </w:tc>
        <w:tc>
          <w:tcPr>
            <w:tcW w:w="2591" w:type="dxa"/>
          </w:tcPr>
          <w:p w14:paraId="060342F6" w14:textId="416E12E6" w:rsidR="000D7464" w:rsidRPr="000D7464" w:rsidRDefault="000D7464" w:rsidP="00C42AA3">
            <w:pPr>
              <w:rPr>
                <w:rFonts w:cstheme="minorHAnsi"/>
                <w:sz w:val="24"/>
                <w:szCs w:val="24"/>
              </w:rPr>
            </w:pPr>
            <w:r>
              <w:rPr>
                <w:rFonts w:cstheme="minorHAnsi"/>
                <w:sz w:val="24"/>
                <w:szCs w:val="24"/>
              </w:rPr>
              <w:t>SOHP Program Data</w:t>
            </w:r>
          </w:p>
        </w:tc>
        <w:tc>
          <w:tcPr>
            <w:tcW w:w="2591" w:type="dxa"/>
          </w:tcPr>
          <w:p w14:paraId="462C9927" w14:textId="28E26DE8" w:rsidR="000D7464" w:rsidRPr="000D7464" w:rsidRDefault="000D7464" w:rsidP="00C42AA3">
            <w:pPr>
              <w:rPr>
                <w:rFonts w:cstheme="minorHAnsi"/>
                <w:sz w:val="24"/>
                <w:szCs w:val="24"/>
              </w:rPr>
            </w:pPr>
            <w:r>
              <w:rPr>
                <w:rFonts w:cstheme="minorHAnsi"/>
                <w:sz w:val="24"/>
                <w:szCs w:val="24"/>
              </w:rPr>
              <w:t>Quarterly</w:t>
            </w:r>
          </w:p>
        </w:tc>
        <w:tc>
          <w:tcPr>
            <w:tcW w:w="2591" w:type="dxa"/>
            <w:shd w:val="clear" w:color="auto" w:fill="auto"/>
          </w:tcPr>
          <w:p w14:paraId="37FC5971" w14:textId="1A905F70" w:rsidR="000D7464" w:rsidRPr="000D7464" w:rsidRDefault="000D7464" w:rsidP="00C42AA3">
            <w:pPr>
              <w:jc w:val="center"/>
              <w:rPr>
                <w:rFonts w:cstheme="minorHAnsi"/>
                <w:sz w:val="24"/>
                <w:szCs w:val="24"/>
              </w:rPr>
            </w:pPr>
            <w:r>
              <w:rPr>
                <w:rFonts w:cstheme="minorHAnsi"/>
                <w:sz w:val="24"/>
                <w:szCs w:val="24"/>
              </w:rPr>
              <w:t>2025</w:t>
            </w:r>
          </w:p>
        </w:tc>
        <w:tc>
          <w:tcPr>
            <w:tcW w:w="2591" w:type="dxa"/>
            <w:shd w:val="clear" w:color="auto" w:fill="auto"/>
          </w:tcPr>
          <w:p w14:paraId="449BD61D" w14:textId="1597C819" w:rsidR="000D7464" w:rsidRDefault="00CB67C2" w:rsidP="00C42AA3">
            <w:pPr>
              <w:rPr>
                <w:rFonts w:cstheme="minorHAnsi"/>
                <w:sz w:val="24"/>
                <w:szCs w:val="24"/>
              </w:rPr>
            </w:pPr>
            <w:r w:rsidRPr="00CB67C2">
              <w:rPr>
                <w:rFonts w:cstheme="minorHAnsi"/>
                <w:sz w:val="24"/>
                <w:szCs w:val="24"/>
              </w:rPr>
              <w:t xml:space="preserve">2024 </w:t>
            </w:r>
            <w:r w:rsidR="00A621C5">
              <w:rPr>
                <w:rFonts w:cstheme="minorHAnsi"/>
                <w:sz w:val="24"/>
                <w:szCs w:val="24"/>
              </w:rPr>
              <w:t>–</w:t>
            </w:r>
            <w:r w:rsidRPr="00CB67C2">
              <w:rPr>
                <w:rFonts w:cstheme="minorHAnsi"/>
                <w:sz w:val="24"/>
                <w:szCs w:val="24"/>
              </w:rPr>
              <w:t xml:space="preserve"> 2027</w:t>
            </w:r>
          </w:p>
          <w:p w14:paraId="67000995" w14:textId="7AC3D326" w:rsidR="00A621C5" w:rsidRPr="000D7464" w:rsidRDefault="00A621C5" w:rsidP="00C42AA3">
            <w:pPr>
              <w:rPr>
                <w:rFonts w:cstheme="minorHAnsi"/>
                <w:sz w:val="24"/>
                <w:szCs w:val="24"/>
              </w:rPr>
            </w:pPr>
          </w:p>
        </w:tc>
      </w:tr>
      <w:tr w:rsidR="00CB67C2" w:rsidRPr="008473F7" w14:paraId="488CA39E" w14:textId="77777777" w:rsidTr="000B2BE8">
        <w:tc>
          <w:tcPr>
            <w:tcW w:w="12955" w:type="dxa"/>
            <w:gridSpan w:val="5"/>
            <w:shd w:val="clear" w:color="auto" w:fill="D9D9D9" w:themeFill="background1" w:themeFillShade="D9"/>
          </w:tcPr>
          <w:p w14:paraId="77385E75" w14:textId="57A89963" w:rsidR="00CB67C2" w:rsidRPr="008473F7" w:rsidRDefault="00CB67C2" w:rsidP="000B2BE8">
            <w:pPr>
              <w:rPr>
                <w:rFonts w:cstheme="minorHAnsi"/>
                <w:b/>
                <w:sz w:val="24"/>
                <w:szCs w:val="24"/>
                <w:highlight w:val="red"/>
              </w:rPr>
            </w:pPr>
            <w:bookmarkStart w:id="17" w:name="_Hlk197329844"/>
            <w:r w:rsidRPr="000D7464">
              <w:rPr>
                <w:rFonts w:cstheme="minorHAnsi"/>
                <w:b/>
                <w:sz w:val="24"/>
                <w:szCs w:val="24"/>
              </w:rPr>
              <w:lastRenderedPageBreak/>
              <w:t>Core Indicators</w:t>
            </w:r>
            <w:r>
              <w:rPr>
                <w:rFonts w:cstheme="minorHAnsi"/>
                <w:b/>
                <w:sz w:val="24"/>
                <w:szCs w:val="24"/>
              </w:rPr>
              <w:t xml:space="preserve"> – Data Analysis for Medical-Dental Integration Diabetes-focused</w:t>
            </w:r>
            <w:r w:rsidR="006D5105">
              <w:rPr>
                <w:rFonts w:cstheme="minorHAnsi"/>
                <w:b/>
                <w:sz w:val="24"/>
                <w:szCs w:val="24"/>
              </w:rPr>
              <w:t xml:space="preserve"> (Integrating Diabetes into OHSS)</w:t>
            </w:r>
          </w:p>
        </w:tc>
      </w:tr>
      <w:bookmarkEnd w:id="17"/>
      <w:tr w:rsidR="00CB67C2" w:rsidRPr="008473F7" w14:paraId="2DDCC38E" w14:textId="77777777" w:rsidTr="00CB67C2">
        <w:trPr>
          <w:trHeight w:val="2627"/>
        </w:trPr>
        <w:tc>
          <w:tcPr>
            <w:tcW w:w="2591" w:type="dxa"/>
          </w:tcPr>
          <w:p w14:paraId="1E5C66E9" w14:textId="7B25470E" w:rsidR="00CB67C2" w:rsidRPr="00CB67C2" w:rsidRDefault="00CB67C2" w:rsidP="00CB67C2">
            <w:pPr>
              <w:rPr>
                <w:rFonts w:cstheme="minorHAnsi"/>
                <w:sz w:val="24"/>
                <w:szCs w:val="24"/>
              </w:rPr>
            </w:pPr>
            <w:r w:rsidRPr="00AD1854">
              <w:t>Number of data sources analyzed related to oral health and diabetes</w:t>
            </w:r>
          </w:p>
        </w:tc>
        <w:tc>
          <w:tcPr>
            <w:tcW w:w="2591" w:type="dxa"/>
          </w:tcPr>
          <w:p w14:paraId="0051508C" w14:textId="77777777" w:rsidR="00CB67C2" w:rsidRDefault="00CB67C2" w:rsidP="00CB67C2">
            <w:pPr>
              <w:rPr>
                <w:rFonts w:cstheme="minorHAnsi"/>
                <w:sz w:val="24"/>
                <w:szCs w:val="24"/>
              </w:rPr>
            </w:pPr>
            <w:r w:rsidRPr="00AD1854">
              <w:t>Behavioral Risk Factor Surveillance System (BRFSS)</w:t>
            </w:r>
            <w:r w:rsidRPr="00CB67C2">
              <w:rPr>
                <w:rFonts w:cstheme="minorHAnsi"/>
                <w:sz w:val="24"/>
                <w:szCs w:val="24"/>
              </w:rPr>
              <w:t xml:space="preserve"> </w:t>
            </w:r>
          </w:p>
          <w:p w14:paraId="525064DD" w14:textId="544BF05F" w:rsidR="00CB67C2" w:rsidRPr="00CB67C2" w:rsidRDefault="00CB67C2" w:rsidP="00CB67C2">
            <w:pPr>
              <w:rPr>
                <w:rFonts w:cstheme="minorHAnsi"/>
                <w:sz w:val="24"/>
                <w:szCs w:val="24"/>
              </w:rPr>
            </w:pPr>
            <w:r w:rsidRPr="00CB67C2">
              <w:rPr>
                <w:rFonts w:cstheme="minorHAnsi"/>
                <w:sz w:val="24"/>
                <w:szCs w:val="24"/>
              </w:rPr>
              <w:t>All-Payer Claims Database (APCD)</w:t>
            </w:r>
          </w:p>
          <w:p w14:paraId="713A435B" w14:textId="77777777" w:rsidR="00CB67C2" w:rsidRPr="00CB67C2" w:rsidRDefault="00CB67C2" w:rsidP="00CB67C2">
            <w:pPr>
              <w:rPr>
                <w:rFonts w:cstheme="minorHAnsi"/>
                <w:sz w:val="24"/>
                <w:szCs w:val="24"/>
              </w:rPr>
            </w:pPr>
            <w:r w:rsidRPr="00CB67C2">
              <w:rPr>
                <w:rFonts w:cstheme="minorHAnsi"/>
                <w:sz w:val="24"/>
                <w:szCs w:val="24"/>
              </w:rPr>
              <w:t>Medicaid dental and medical claims</w:t>
            </w:r>
          </w:p>
          <w:p w14:paraId="1391C547" w14:textId="77777777" w:rsidR="00CB67C2" w:rsidRDefault="00CB67C2" w:rsidP="00CB67C2">
            <w:pPr>
              <w:rPr>
                <w:rFonts w:cstheme="minorHAnsi"/>
                <w:sz w:val="24"/>
                <w:szCs w:val="24"/>
              </w:rPr>
            </w:pPr>
            <w:r w:rsidRPr="00CB67C2">
              <w:rPr>
                <w:rFonts w:cstheme="minorHAnsi"/>
                <w:sz w:val="24"/>
                <w:szCs w:val="24"/>
              </w:rPr>
              <w:t xml:space="preserve">EHR data from </w:t>
            </w:r>
            <w:r>
              <w:rPr>
                <w:rFonts w:cstheme="minorHAnsi"/>
                <w:sz w:val="24"/>
                <w:szCs w:val="24"/>
              </w:rPr>
              <w:t>health systems</w:t>
            </w:r>
          </w:p>
          <w:p w14:paraId="59E4B6C2" w14:textId="3590CB93" w:rsidR="00EE2765" w:rsidRPr="008473F7" w:rsidRDefault="00EE2765" w:rsidP="00CB67C2">
            <w:pPr>
              <w:rPr>
                <w:rFonts w:cstheme="minorHAnsi"/>
                <w:sz w:val="24"/>
                <w:szCs w:val="24"/>
                <w:highlight w:val="red"/>
              </w:rPr>
            </w:pPr>
          </w:p>
        </w:tc>
        <w:tc>
          <w:tcPr>
            <w:tcW w:w="2591" w:type="dxa"/>
          </w:tcPr>
          <w:p w14:paraId="35025858" w14:textId="77777777" w:rsidR="00CB67C2" w:rsidRPr="000E5B4F" w:rsidRDefault="000E5B4F" w:rsidP="00CB67C2">
            <w:pPr>
              <w:rPr>
                <w:rFonts w:cstheme="minorHAnsi"/>
                <w:sz w:val="24"/>
                <w:szCs w:val="24"/>
              </w:rPr>
            </w:pPr>
            <w:r w:rsidRPr="000E5B4F">
              <w:rPr>
                <w:rFonts w:cstheme="minorHAnsi"/>
                <w:sz w:val="24"/>
                <w:szCs w:val="24"/>
              </w:rPr>
              <w:t>Annually</w:t>
            </w:r>
          </w:p>
          <w:p w14:paraId="52D77318" w14:textId="77777777" w:rsidR="000E5B4F" w:rsidRPr="000E5B4F" w:rsidRDefault="000E5B4F" w:rsidP="00CB67C2">
            <w:pPr>
              <w:rPr>
                <w:rFonts w:cstheme="minorHAnsi"/>
                <w:sz w:val="24"/>
                <w:szCs w:val="24"/>
              </w:rPr>
            </w:pPr>
          </w:p>
          <w:p w14:paraId="49CC8B94" w14:textId="77777777" w:rsidR="000E5B4F" w:rsidRPr="000E5B4F" w:rsidRDefault="000E5B4F" w:rsidP="00CB67C2">
            <w:pPr>
              <w:rPr>
                <w:rFonts w:cstheme="minorHAnsi"/>
                <w:sz w:val="24"/>
                <w:szCs w:val="24"/>
              </w:rPr>
            </w:pPr>
            <w:r w:rsidRPr="000E5B4F">
              <w:rPr>
                <w:rFonts w:cstheme="minorHAnsi"/>
                <w:sz w:val="24"/>
                <w:szCs w:val="24"/>
              </w:rPr>
              <w:t>Annually</w:t>
            </w:r>
          </w:p>
          <w:p w14:paraId="52A13FAC" w14:textId="77777777" w:rsidR="000E5B4F" w:rsidRPr="000E5B4F" w:rsidRDefault="000E5B4F" w:rsidP="00CB67C2">
            <w:pPr>
              <w:rPr>
                <w:rFonts w:cstheme="minorHAnsi"/>
                <w:sz w:val="24"/>
                <w:szCs w:val="24"/>
              </w:rPr>
            </w:pPr>
          </w:p>
          <w:p w14:paraId="51DB688E" w14:textId="77777777" w:rsidR="000E5B4F" w:rsidRPr="000E5B4F" w:rsidRDefault="000E5B4F" w:rsidP="00CB67C2">
            <w:pPr>
              <w:rPr>
                <w:rFonts w:cstheme="minorHAnsi"/>
                <w:sz w:val="24"/>
                <w:szCs w:val="24"/>
              </w:rPr>
            </w:pPr>
            <w:r w:rsidRPr="000E5B4F">
              <w:rPr>
                <w:rFonts w:cstheme="minorHAnsi"/>
                <w:sz w:val="24"/>
                <w:szCs w:val="24"/>
              </w:rPr>
              <w:t>Annually</w:t>
            </w:r>
          </w:p>
          <w:p w14:paraId="10664F15" w14:textId="77777777" w:rsidR="000E5B4F" w:rsidRPr="000E5B4F" w:rsidRDefault="000E5B4F" w:rsidP="000E5B4F">
            <w:pPr>
              <w:spacing w:after="0"/>
              <w:rPr>
                <w:rFonts w:cstheme="minorHAnsi"/>
                <w:sz w:val="24"/>
                <w:szCs w:val="24"/>
              </w:rPr>
            </w:pPr>
          </w:p>
          <w:p w14:paraId="36442092" w14:textId="3FAC9F65" w:rsidR="000E5B4F" w:rsidRPr="000E5B4F" w:rsidRDefault="000E5B4F" w:rsidP="00CB67C2">
            <w:pPr>
              <w:rPr>
                <w:rFonts w:cstheme="minorHAnsi"/>
                <w:sz w:val="24"/>
                <w:szCs w:val="24"/>
              </w:rPr>
            </w:pPr>
            <w:r w:rsidRPr="000E5B4F">
              <w:rPr>
                <w:rFonts w:cstheme="minorHAnsi"/>
                <w:sz w:val="24"/>
                <w:szCs w:val="24"/>
              </w:rPr>
              <w:t>Annually</w:t>
            </w:r>
          </w:p>
        </w:tc>
        <w:tc>
          <w:tcPr>
            <w:tcW w:w="2591" w:type="dxa"/>
            <w:shd w:val="clear" w:color="auto" w:fill="auto"/>
          </w:tcPr>
          <w:p w14:paraId="11C0BBE1" w14:textId="77777777" w:rsidR="00CB67C2" w:rsidRDefault="000E5B4F" w:rsidP="00CB67C2">
            <w:pPr>
              <w:jc w:val="center"/>
              <w:rPr>
                <w:rFonts w:cstheme="minorHAnsi"/>
                <w:sz w:val="24"/>
                <w:szCs w:val="24"/>
              </w:rPr>
            </w:pPr>
            <w:r>
              <w:rPr>
                <w:rFonts w:cstheme="minorHAnsi"/>
                <w:sz w:val="24"/>
                <w:szCs w:val="24"/>
              </w:rPr>
              <w:t>2022</w:t>
            </w:r>
          </w:p>
          <w:p w14:paraId="21775C26" w14:textId="77777777" w:rsidR="000E5B4F" w:rsidRDefault="000E5B4F" w:rsidP="00CB67C2">
            <w:pPr>
              <w:jc w:val="center"/>
              <w:rPr>
                <w:rFonts w:cstheme="minorHAnsi"/>
                <w:sz w:val="24"/>
                <w:szCs w:val="24"/>
              </w:rPr>
            </w:pPr>
          </w:p>
          <w:p w14:paraId="420F68C3" w14:textId="77777777" w:rsidR="000E5B4F" w:rsidRDefault="00A621C5" w:rsidP="00CB67C2">
            <w:pPr>
              <w:jc w:val="center"/>
              <w:rPr>
                <w:rFonts w:cstheme="minorHAnsi"/>
                <w:sz w:val="24"/>
                <w:szCs w:val="24"/>
              </w:rPr>
            </w:pPr>
            <w:r>
              <w:rPr>
                <w:rFonts w:cstheme="minorHAnsi"/>
                <w:sz w:val="24"/>
                <w:szCs w:val="24"/>
              </w:rPr>
              <w:t>2024</w:t>
            </w:r>
          </w:p>
          <w:p w14:paraId="0C8667B3" w14:textId="77777777" w:rsidR="00A621C5" w:rsidRDefault="00A621C5" w:rsidP="00CB67C2">
            <w:pPr>
              <w:jc w:val="center"/>
              <w:rPr>
                <w:rFonts w:cstheme="minorHAnsi"/>
                <w:sz w:val="24"/>
                <w:szCs w:val="24"/>
              </w:rPr>
            </w:pPr>
          </w:p>
          <w:p w14:paraId="5AA216AB" w14:textId="77777777" w:rsidR="00A621C5" w:rsidRDefault="00A621C5" w:rsidP="00A621C5">
            <w:pPr>
              <w:spacing w:after="0"/>
              <w:jc w:val="center"/>
              <w:rPr>
                <w:rFonts w:cstheme="minorHAnsi"/>
                <w:sz w:val="24"/>
                <w:szCs w:val="24"/>
              </w:rPr>
            </w:pPr>
            <w:r>
              <w:rPr>
                <w:rFonts w:cstheme="minorHAnsi"/>
                <w:sz w:val="24"/>
                <w:szCs w:val="24"/>
              </w:rPr>
              <w:t>2024</w:t>
            </w:r>
          </w:p>
          <w:p w14:paraId="6DCEC50A" w14:textId="77777777" w:rsidR="00A621C5" w:rsidRDefault="00A621C5" w:rsidP="00A621C5">
            <w:pPr>
              <w:spacing w:after="0"/>
              <w:jc w:val="center"/>
              <w:rPr>
                <w:rFonts w:cstheme="minorHAnsi"/>
                <w:sz w:val="24"/>
                <w:szCs w:val="24"/>
              </w:rPr>
            </w:pPr>
          </w:p>
          <w:p w14:paraId="62DB0FB7" w14:textId="77777777" w:rsidR="00A621C5" w:rsidRPr="00A621C5" w:rsidRDefault="00A621C5" w:rsidP="00A621C5">
            <w:pPr>
              <w:spacing w:after="0"/>
              <w:jc w:val="center"/>
              <w:rPr>
                <w:rFonts w:cstheme="minorHAnsi"/>
                <w:sz w:val="16"/>
                <w:szCs w:val="16"/>
              </w:rPr>
            </w:pPr>
          </w:p>
          <w:p w14:paraId="6EA250AF" w14:textId="65F15168" w:rsidR="00A621C5" w:rsidRPr="000E5B4F" w:rsidRDefault="00A621C5" w:rsidP="00CB67C2">
            <w:pPr>
              <w:jc w:val="center"/>
              <w:rPr>
                <w:rFonts w:cstheme="minorHAnsi"/>
                <w:sz w:val="24"/>
                <w:szCs w:val="24"/>
              </w:rPr>
            </w:pPr>
            <w:r>
              <w:rPr>
                <w:rFonts w:cstheme="minorHAnsi"/>
                <w:sz w:val="24"/>
                <w:szCs w:val="24"/>
              </w:rPr>
              <w:t>TBD</w:t>
            </w:r>
          </w:p>
        </w:tc>
        <w:tc>
          <w:tcPr>
            <w:tcW w:w="2591" w:type="dxa"/>
            <w:shd w:val="clear" w:color="auto" w:fill="auto"/>
          </w:tcPr>
          <w:p w14:paraId="673B26E8" w14:textId="2255F026" w:rsidR="00CB67C2" w:rsidRDefault="000E5B4F" w:rsidP="00CB67C2">
            <w:pPr>
              <w:rPr>
                <w:rFonts w:cstheme="minorHAnsi"/>
                <w:sz w:val="24"/>
                <w:szCs w:val="24"/>
              </w:rPr>
            </w:pPr>
            <w:r>
              <w:rPr>
                <w:rFonts w:cstheme="minorHAnsi"/>
                <w:sz w:val="24"/>
                <w:szCs w:val="24"/>
              </w:rPr>
              <w:t xml:space="preserve">2022 </w:t>
            </w:r>
            <w:r w:rsidR="00A621C5">
              <w:rPr>
                <w:rFonts w:cstheme="minorHAnsi"/>
                <w:sz w:val="24"/>
                <w:szCs w:val="24"/>
              </w:rPr>
              <w:t>–</w:t>
            </w:r>
            <w:r>
              <w:rPr>
                <w:rFonts w:cstheme="minorHAnsi"/>
                <w:sz w:val="24"/>
                <w:szCs w:val="24"/>
              </w:rPr>
              <w:t xml:space="preserve"> 2025</w:t>
            </w:r>
          </w:p>
          <w:p w14:paraId="23F4D6C0" w14:textId="77777777" w:rsidR="00A621C5" w:rsidRDefault="00A621C5" w:rsidP="00CB67C2">
            <w:pPr>
              <w:rPr>
                <w:rFonts w:cstheme="minorHAnsi"/>
                <w:sz w:val="24"/>
                <w:szCs w:val="24"/>
              </w:rPr>
            </w:pPr>
          </w:p>
          <w:p w14:paraId="6C9CDF0C" w14:textId="172620B1" w:rsidR="00A621C5" w:rsidRDefault="00A621C5" w:rsidP="00CB67C2">
            <w:pPr>
              <w:rPr>
                <w:rFonts w:cstheme="minorHAnsi"/>
                <w:sz w:val="24"/>
                <w:szCs w:val="24"/>
              </w:rPr>
            </w:pPr>
            <w:r>
              <w:rPr>
                <w:rFonts w:cstheme="minorHAnsi"/>
                <w:sz w:val="24"/>
                <w:szCs w:val="24"/>
              </w:rPr>
              <w:t>2022 – 2026</w:t>
            </w:r>
          </w:p>
          <w:p w14:paraId="7D3E9B29" w14:textId="77777777" w:rsidR="00A621C5" w:rsidRDefault="00A621C5" w:rsidP="00CB67C2">
            <w:pPr>
              <w:rPr>
                <w:rFonts w:cstheme="minorHAnsi"/>
                <w:sz w:val="24"/>
                <w:szCs w:val="24"/>
              </w:rPr>
            </w:pPr>
          </w:p>
          <w:p w14:paraId="37C67B65" w14:textId="34C3AD4B" w:rsidR="00A621C5" w:rsidRDefault="00A621C5" w:rsidP="00CB67C2">
            <w:pPr>
              <w:rPr>
                <w:rFonts w:cstheme="minorHAnsi"/>
                <w:sz w:val="24"/>
                <w:szCs w:val="24"/>
              </w:rPr>
            </w:pPr>
            <w:r>
              <w:rPr>
                <w:rFonts w:cstheme="minorHAnsi"/>
                <w:sz w:val="24"/>
                <w:szCs w:val="24"/>
              </w:rPr>
              <w:t>2022 – 2026</w:t>
            </w:r>
          </w:p>
          <w:p w14:paraId="1DE6DA16" w14:textId="77777777" w:rsidR="00A621C5" w:rsidRPr="00A621C5" w:rsidRDefault="00A621C5" w:rsidP="00CB67C2">
            <w:pPr>
              <w:rPr>
                <w:rFonts w:cstheme="minorHAnsi"/>
                <w:sz w:val="16"/>
                <w:szCs w:val="16"/>
              </w:rPr>
            </w:pPr>
          </w:p>
          <w:p w14:paraId="63FE4CFF" w14:textId="72F6A399" w:rsidR="00A621C5" w:rsidRPr="000E5B4F" w:rsidRDefault="00A621C5" w:rsidP="00CB67C2">
            <w:pPr>
              <w:rPr>
                <w:rFonts w:cstheme="minorHAnsi"/>
                <w:sz w:val="24"/>
                <w:szCs w:val="24"/>
              </w:rPr>
            </w:pPr>
            <w:r>
              <w:rPr>
                <w:rFonts w:cstheme="minorHAnsi"/>
                <w:sz w:val="24"/>
                <w:szCs w:val="24"/>
              </w:rPr>
              <w:t>TBD</w:t>
            </w:r>
          </w:p>
        </w:tc>
      </w:tr>
      <w:tr w:rsidR="00CB67C2" w:rsidRPr="008473F7" w14:paraId="7AB4C13D" w14:textId="77777777" w:rsidTr="00C42AA3">
        <w:tc>
          <w:tcPr>
            <w:tcW w:w="2591" w:type="dxa"/>
          </w:tcPr>
          <w:p w14:paraId="5FE4D64C" w14:textId="77777777" w:rsidR="00CB67C2" w:rsidRDefault="00CB67C2" w:rsidP="00C42AA3">
            <w:pPr>
              <w:rPr>
                <w:rFonts w:cstheme="minorHAnsi"/>
                <w:sz w:val="24"/>
                <w:szCs w:val="24"/>
              </w:rPr>
            </w:pPr>
            <w:r w:rsidRPr="00CB67C2">
              <w:rPr>
                <w:rFonts w:cstheme="minorHAnsi"/>
                <w:sz w:val="24"/>
                <w:szCs w:val="24"/>
              </w:rPr>
              <w:t>Number of publicly disseminated products that summarize analyses of secondary</w:t>
            </w:r>
            <w:r>
              <w:rPr>
                <w:rFonts w:cstheme="minorHAnsi"/>
                <w:sz w:val="24"/>
                <w:szCs w:val="24"/>
              </w:rPr>
              <w:t xml:space="preserve"> </w:t>
            </w:r>
            <w:r w:rsidRPr="00CB67C2">
              <w:rPr>
                <w:rFonts w:cstheme="minorHAnsi"/>
                <w:sz w:val="24"/>
                <w:szCs w:val="24"/>
              </w:rPr>
              <w:t xml:space="preserve">surveillance data about relationships between oral health </w:t>
            </w:r>
            <w:r>
              <w:rPr>
                <w:rFonts w:cstheme="minorHAnsi"/>
                <w:sz w:val="24"/>
                <w:szCs w:val="24"/>
              </w:rPr>
              <w:t>and</w:t>
            </w:r>
            <w:r w:rsidRPr="00CB67C2">
              <w:rPr>
                <w:rFonts w:cstheme="minorHAnsi"/>
                <w:sz w:val="24"/>
                <w:szCs w:val="24"/>
              </w:rPr>
              <w:t xml:space="preserve"> diabetes</w:t>
            </w:r>
          </w:p>
          <w:p w14:paraId="7622343A" w14:textId="77777777" w:rsidR="00EE2765" w:rsidRDefault="00EE2765" w:rsidP="00C42AA3">
            <w:pPr>
              <w:rPr>
                <w:rFonts w:cstheme="minorHAnsi"/>
                <w:sz w:val="24"/>
                <w:szCs w:val="24"/>
                <w:highlight w:val="red"/>
              </w:rPr>
            </w:pPr>
          </w:p>
          <w:p w14:paraId="75136BE7" w14:textId="77777777" w:rsidR="00EE2765" w:rsidRDefault="00EE2765" w:rsidP="00C42AA3">
            <w:pPr>
              <w:rPr>
                <w:rFonts w:cstheme="minorHAnsi"/>
                <w:sz w:val="24"/>
                <w:szCs w:val="24"/>
                <w:highlight w:val="red"/>
              </w:rPr>
            </w:pPr>
          </w:p>
          <w:p w14:paraId="7D215F8A" w14:textId="5AF70845" w:rsidR="00EE2765" w:rsidRPr="008473F7" w:rsidRDefault="00EE2765" w:rsidP="00C42AA3">
            <w:pPr>
              <w:rPr>
                <w:rFonts w:cstheme="minorHAnsi"/>
                <w:sz w:val="24"/>
                <w:szCs w:val="24"/>
                <w:highlight w:val="red"/>
              </w:rPr>
            </w:pPr>
          </w:p>
        </w:tc>
        <w:tc>
          <w:tcPr>
            <w:tcW w:w="2591" w:type="dxa"/>
          </w:tcPr>
          <w:p w14:paraId="045B1F22" w14:textId="72567241" w:rsidR="00CB67C2" w:rsidRPr="008473F7" w:rsidRDefault="00EE2765" w:rsidP="00C42AA3">
            <w:pPr>
              <w:rPr>
                <w:rFonts w:cstheme="minorHAnsi"/>
                <w:sz w:val="24"/>
                <w:szCs w:val="24"/>
                <w:highlight w:val="red"/>
              </w:rPr>
            </w:pPr>
            <w:r w:rsidRPr="00EE2765">
              <w:rPr>
                <w:rFonts w:cstheme="minorHAnsi"/>
                <w:sz w:val="24"/>
                <w:szCs w:val="24"/>
              </w:rPr>
              <w:t>SOHP Program Data</w:t>
            </w:r>
          </w:p>
        </w:tc>
        <w:tc>
          <w:tcPr>
            <w:tcW w:w="2591" w:type="dxa"/>
          </w:tcPr>
          <w:p w14:paraId="36C60157" w14:textId="2B8C1D16" w:rsidR="00CB67C2" w:rsidRPr="000E5B4F" w:rsidRDefault="00A621C5" w:rsidP="00C42AA3">
            <w:pPr>
              <w:rPr>
                <w:rFonts w:cstheme="minorHAnsi"/>
                <w:sz w:val="24"/>
                <w:szCs w:val="24"/>
              </w:rPr>
            </w:pPr>
            <w:r>
              <w:rPr>
                <w:rFonts w:cstheme="minorHAnsi"/>
                <w:sz w:val="24"/>
                <w:szCs w:val="24"/>
              </w:rPr>
              <w:t>Quarterly</w:t>
            </w:r>
          </w:p>
        </w:tc>
        <w:tc>
          <w:tcPr>
            <w:tcW w:w="2591" w:type="dxa"/>
            <w:shd w:val="clear" w:color="auto" w:fill="auto"/>
          </w:tcPr>
          <w:p w14:paraId="652E43F7" w14:textId="1A7EA531" w:rsidR="00CB67C2" w:rsidRPr="000E5B4F" w:rsidRDefault="00A621C5" w:rsidP="00C42AA3">
            <w:pPr>
              <w:jc w:val="center"/>
              <w:rPr>
                <w:rFonts w:cstheme="minorHAnsi"/>
                <w:sz w:val="24"/>
                <w:szCs w:val="24"/>
              </w:rPr>
            </w:pPr>
            <w:r>
              <w:rPr>
                <w:rFonts w:cstheme="minorHAnsi"/>
                <w:sz w:val="24"/>
                <w:szCs w:val="24"/>
              </w:rPr>
              <w:t>2025</w:t>
            </w:r>
          </w:p>
        </w:tc>
        <w:tc>
          <w:tcPr>
            <w:tcW w:w="2591" w:type="dxa"/>
            <w:shd w:val="clear" w:color="auto" w:fill="auto"/>
          </w:tcPr>
          <w:p w14:paraId="364704A8" w14:textId="24DD8B95" w:rsidR="00CB67C2" w:rsidRDefault="00A621C5" w:rsidP="00C42AA3">
            <w:pPr>
              <w:rPr>
                <w:rFonts w:cstheme="minorHAnsi"/>
                <w:sz w:val="24"/>
                <w:szCs w:val="24"/>
              </w:rPr>
            </w:pPr>
            <w:r>
              <w:rPr>
                <w:rFonts w:cstheme="minorHAnsi"/>
                <w:sz w:val="24"/>
                <w:szCs w:val="24"/>
              </w:rPr>
              <w:t>2024 – 2027</w:t>
            </w:r>
          </w:p>
          <w:p w14:paraId="3AF24102" w14:textId="4C72E734" w:rsidR="00A621C5" w:rsidRPr="000E5B4F" w:rsidRDefault="00A621C5" w:rsidP="00C42AA3">
            <w:pPr>
              <w:rPr>
                <w:rFonts w:cstheme="minorHAnsi"/>
                <w:sz w:val="24"/>
                <w:szCs w:val="24"/>
              </w:rPr>
            </w:pPr>
          </w:p>
        </w:tc>
      </w:tr>
      <w:tr w:rsidR="00EE2765" w:rsidRPr="008473F7" w14:paraId="27C093E2" w14:textId="77777777" w:rsidTr="000B2BE8">
        <w:tc>
          <w:tcPr>
            <w:tcW w:w="12955" w:type="dxa"/>
            <w:gridSpan w:val="5"/>
            <w:shd w:val="clear" w:color="auto" w:fill="D9D9D9" w:themeFill="background1" w:themeFillShade="D9"/>
          </w:tcPr>
          <w:p w14:paraId="255E2510" w14:textId="46C10C99" w:rsidR="00EE2765" w:rsidRPr="008473F7" w:rsidRDefault="00EE2765" w:rsidP="000B2BE8">
            <w:pPr>
              <w:rPr>
                <w:rFonts w:cstheme="minorHAnsi"/>
                <w:b/>
                <w:sz w:val="24"/>
                <w:szCs w:val="24"/>
                <w:highlight w:val="red"/>
              </w:rPr>
            </w:pPr>
            <w:bookmarkStart w:id="18" w:name="_Hlk197330365"/>
            <w:r w:rsidRPr="000D7464">
              <w:rPr>
                <w:rFonts w:cstheme="minorHAnsi"/>
                <w:b/>
                <w:sz w:val="24"/>
                <w:szCs w:val="24"/>
              </w:rPr>
              <w:lastRenderedPageBreak/>
              <w:t>Core Indicators</w:t>
            </w:r>
            <w:r>
              <w:rPr>
                <w:rFonts w:cstheme="minorHAnsi"/>
                <w:b/>
                <w:sz w:val="24"/>
                <w:szCs w:val="24"/>
              </w:rPr>
              <w:t xml:space="preserve"> – Data Analysis for Evidence-Based preventive Dental Services</w:t>
            </w:r>
          </w:p>
        </w:tc>
      </w:tr>
      <w:bookmarkEnd w:id="18"/>
      <w:tr w:rsidR="00EE2765" w:rsidRPr="008473F7" w14:paraId="725366C4" w14:textId="77777777" w:rsidTr="00C42AA3">
        <w:tc>
          <w:tcPr>
            <w:tcW w:w="2591" w:type="dxa"/>
          </w:tcPr>
          <w:p w14:paraId="6345E09B" w14:textId="2ED71766" w:rsidR="00EE2765" w:rsidRPr="00EE2765" w:rsidRDefault="00EE2765" w:rsidP="00EE2765">
            <w:pPr>
              <w:rPr>
                <w:rFonts w:cstheme="minorHAnsi"/>
                <w:sz w:val="24"/>
                <w:szCs w:val="24"/>
              </w:rPr>
            </w:pPr>
            <w:r w:rsidRPr="00EE2765">
              <w:rPr>
                <w:rFonts w:cstheme="minorHAnsi"/>
                <w:sz w:val="24"/>
                <w:szCs w:val="24"/>
              </w:rPr>
              <w:t xml:space="preserve">Number of data sources analyzed related </w:t>
            </w:r>
            <w:r>
              <w:rPr>
                <w:rFonts w:cstheme="minorHAnsi"/>
                <w:sz w:val="24"/>
                <w:szCs w:val="24"/>
              </w:rPr>
              <w:t>Evidence-Based Preventive Dental Services</w:t>
            </w:r>
          </w:p>
          <w:p w14:paraId="7F450F37" w14:textId="77777777" w:rsidR="00EE2765" w:rsidRPr="00EE2765" w:rsidRDefault="00EE2765" w:rsidP="00EE2765">
            <w:pPr>
              <w:rPr>
                <w:rFonts w:cstheme="minorHAnsi"/>
                <w:sz w:val="24"/>
                <w:szCs w:val="24"/>
              </w:rPr>
            </w:pPr>
          </w:p>
          <w:p w14:paraId="1765BB27" w14:textId="77777777" w:rsidR="00EE2765" w:rsidRPr="00EE2765" w:rsidRDefault="00EE2765" w:rsidP="00EE2765">
            <w:pPr>
              <w:rPr>
                <w:rFonts w:cstheme="minorHAnsi"/>
                <w:sz w:val="24"/>
                <w:szCs w:val="24"/>
              </w:rPr>
            </w:pPr>
          </w:p>
          <w:p w14:paraId="08F0EFDF" w14:textId="77777777" w:rsidR="00EE2765" w:rsidRPr="008473F7" w:rsidRDefault="00EE2765" w:rsidP="00C42AA3">
            <w:pPr>
              <w:rPr>
                <w:rFonts w:cstheme="minorHAnsi"/>
                <w:sz w:val="24"/>
                <w:szCs w:val="24"/>
                <w:highlight w:val="red"/>
              </w:rPr>
            </w:pPr>
          </w:p>
        </w:tc>
        <w:tc>
          <w:tcPr>
            <w:tcW w:w="2591" w:type="dxa"/>
          </w:tcPr>
          <w:p w14:paraId="4A3FA81F" w14:textId="7447670E" w:rsidR="00EE2765" w:rsidRPr="00EE2765" w:rsidRDefault="00EE2765" w:rsidP="00EE2765">
            <w:pPr>
              <w:rPr>
                <w:rFonts w:cstheme="minorHAnsi"/>
                <w:sz w:val="24"/>
                <w:szCs w:val="24"/>
              </w:rPr>
            </w:pPr>
            <w:r w:rsidRPr="00EE2765">
              <w:rPr>
                <w:rFonts w:cstheme="minorHAnsi"/>
                <w:sz w:val="24"/>
                <w:szCs w:val="24"/>
              </w:rPr>
              <w:t xml:space="preserve">SOHP </w:t>
            </w:r>
            <w:r>
              <w:rPr>
                <w:rFonts w:cstheme="minorHAnsi"/>
                <w:sz w:val="24"/>
                <w:szCs w:val="24"/>
              </w:rPr>
              <w:t>P</w:t>
            </w:r>
            <w:r w:rsidRPr="00EE2765">
              <w:rPr>
                <w:rFonts w:cstheme="minorHAnsi"/>
                <w:sz w:val="24"/>
                <w:szCs w:val="24"/>
              </w:rPr>
              <w:t xml:space="preserve">rogram </w:t>
            </w:r>
            <w:r>
              <w:rPr>
                <w:rFonts w:cstheme="minorHAnsi"/>
                <w:sz w:val="24"/>
                <w:szCs w:val="24"/>
              </w:rPr>
              <w:t>Data from Modified SEALs Database</w:t>
            </w:r>
          </w:p>
          <w:p w14:paraId="2BA4E97E" w14:textId="060B5176" w:rsidR="00EE2765" w:rsidRPr="00EE2765" w:rsidRDefault="00EE2765" w:rsidP="00EE2765">
            <w:pPr>
              <w:rPr>
                <w:rFonts w:cstheme="minorHAnsi"/>
                <w:sz w:val="24"/>
                <w:szCs w:val="24"/>
              </w:rPr>
            </w:pPr>
            <w:r w:rsidRPr="00EE2765">
              <w:rPr>
                <w:rFonts w:cstheme="minorHAnsi"/>
                <w:sz w:val="24"/>
                <w:szCs w:val="24"/>
              </w:rPr>
              <w:t>BSS data (3rd Grade)</w:t>
            </w:r>
          </w:p>
          <w:p w14:paraId="01D1538E" w14:textId="47DE94FE" w:rsidR="00EE2765" w:rsidRPr="00EE2765" w:rsidRDefault="00EE2765" w:rsidP="00EE2765">
            <w:pPr>
              <w:rPr>
                <w:rFonts w:cstheme="minorHAnsi"/>
                <w:sz w:val="24"/>
                <w:szCs w:val="24"/>
              </w:rPr>
            </w:pPr>
            <w:r w:rsidRPr="00EE2765">
              <w:rPr>
                <w:rFonts w:cstheme="minorHAnsi"/>
                <w:sz w:val="24"/>
                <w:szCs w:val="24"/>
              </w:rPr>
              <w:t xml:space="preserve">School eligibility </w:t>
            </w:r>
            <w:r>
              <w:rPr>
                <w:rFonts w:cstheme="minorHAnsi"/>
                <w:sz w:val="24"/>
                <w:szCs w:val="24"/>
              </w:rPr>
              <w:t xml:space="preserve">data </w:t>
            </w:r>
            <w:r w:rsidRPr="00EE2765">
              <w:rPr>
                <w:rFonts w:cstheme="minorHAnsi"/>
                <w:sz w:val="24"/>
                <w:szCs w:val="24"/>
              </w:rPr>
              <w:t>based on DOE free/reduced lunch data</w:t>
            </w:r>
          </w:p>
          <w:p w14:paraId="7B5EA955" w14:textId="77777777" w:rsidR="00EE2765" w:rsidRDefault="00EE2765" w:rsidP="00EE2765">
            <w:pPr>
              <w:rPr>
                <w:rFonts w:cstheme="minorHAnsi"/>
                <w:sz w:val="24"/>
                <w:szCs w:val="24"/>
              </w:rPr>
            </w:pPr>
            <w:r w:rsidRPr="00EE2765">
              <w:rPr>
                <w:rFonts w:cstheme="minorHAnsi"/>
                <w:sz w:val="24"/>
                <w:szCs w:val="24"/>
              </w:rPr>
              <w:t>Medicaid/CHIP utilization data (where available)</w:t>
            </w:r>
          </w:p>
          <w:p w14:paraId="1E2EE653" w14:textId="3738ACE2" w:rsidR="000931A6" w:rsidRPr="008473F7" w:rsidRDefault="000931A6" w:rsidP="00EE2765">
            <w:pPr>
              <w:rPr>
                <w:rFonts w:cstheme="minorHAnsi"/>
                <w:sz w:val="24"/>
                <w:szCs w:val="24"/>
                <w:highlight w:val="red"/>
              </w:rPr>
            </w:pPr>
          </w:p>
        </w:tc>
        <w:tc>
          <w:tcPr>
            <w:tcW w:w="2591" w:type="dxa"/>
          </w:tcPr>
          <w:p w14:paraId="4D52F4E7" w14:textId="77777777" w:rsidR="00EE2765" w:rsidRPr="00A621C5" w:rsidRDefault="00A621C5" w:rsidP="00C42AA3">
            <w:pPr>
              <w:rPr>
                <w:rFonts w:cstheme="minorHAnsi"/>
                <w:sz w:val="24"/>
                <w:szCs w:val="24"/>
              </w:rPr>
            </w:pPr>
            <w:r w:rsidRPr="00A621C5">
              <w:rPr>
                <w:rFonts w:cstheme="minorHAnsi"/>
                <w:sz w:val="24"/>
                <w:szCs w:val="24"/>
              </w:rPr>
              <w:t>Quarterly</w:t>
            </w:r>
          </w:p>
          <w:p w14:paraId="5AE31B4E" w14:textId="77777777" w:rsidR="00A621C5" w:rsidRDefault="00A621C5" w:rsidP="00A621C5">
            <w:pPr>
              <w:spacing w:after="0" w:line="240" w:lineRule="auto"/>
              <w:rPr>
                <w:rFonts w:cstheme="minorHAnsi"/>
                <w:sz w:val="24"/>
                <w:szCs w:val="24"/>
              </w:rPr>
            </w:pPr>
          </w:p>
          <w:p w14:paraId="6F6C395D" w14:textId="77777777" w:rsidR="00A621C5" w:rsidRPr="00A621C5" w:rsidRDefault="00A621C5" w:rsidP="00A621C5">
            <w:pPr>
              <w:spacing w:after="0" w:line="240" w:lineRule="auto"/>
              <w:rPr>
                <w:rFonts w:cstheme="minorHAnsi"/>
                <w:sz w:val="24"/>
                <w:szCs w:val="24"/>
              </w:rPr>
            </w:pPr>
          </w:p>
          <w:p w14:paraId="1081B7A4" w14:textId="77777777" w:rsidR="00A621C5" w:rsidRPr="00A621C5" w:rsidRDefault="00A621C5" w:rsidP="00C42AA3">
            <w:pPr>
              <w:rPr>
                <w:rFonts w:cstheme="minorHAnsi"/>
                <w:sz w:val="24"/>
                <w:szCs w:val="24"/>
              </w:rPr>
            </w:pPr>
            <w:r w:rsidRPr="00A621C5">
              <w:rPr>
                <w:rFonts w:cstheme="minorHAnsi"/>
                <w:sz w:val="24"/>
                <w:szCs w:val="24"/>
              </w:rPr>
              <w:t>Every 5 Years (delayed)</w:t>
            </w:r>
          </w:p>
          <w:p w14:paraId="3BE35DAE" w14:textId="77777777" w:rsidR="00A621C5" w:rsidRPr="00A621C5" w:rsidRDefault="00A621C5" w:rsidP="00C42AA3">
            <w:pPr>
              <w:rPr>
                <w:rFonts w:cstheme="minorHAnsi"/>
                <w:sz w:val="24"/>
                <w:szCs w:val="24"/>
              </w:rPr>
            </w:pPr>
            <w:r w:rsidRPr="00A621C5">
              <w:rPr>
                <w:rFonts w:cstheme="minorHAnsi"/>
                <w:sz w:val="24"/>
                <w:szCs w:val="24"/>
              </w:rPr>
              <w:t>Annually</w:t>
            </w:r>
          </w:p>
          <w:p w14:paraId="02F86920" w14:textId="77777777" w:rsidR="00A621C5" w:rsidRPr="00A621C5" w:rsidRDefault="00A621C5" w:rsidP="00A621C5">
            <w:pPr>
              <w:spacing w:after="0"/>
              <w:rPr>
                <w:rFonts w:cstheme="minorHAnsi"/>
                <w:sz w:val="24"/>
                <w:szCs w:val="24"/>
              </w:rPr>
            </w:pPr>
          </w:p>
          <w:p w14:paraId="5AFC613E" w14:textId="77777777" w:rsidR="00A621C5" w:rsidRDefault="00A621C5" w:rsidP="00A621C5">
            <w:pPr>
              <w:spacing w:after="0"/>
              <w:rPr>
                <w:rFonts w:cstheme="minorHAnsi"/>
                <w:sz w:val="24"/>
                <w:szCs w:val="24"/>
              </w:rPr>
            </w:pPr>
          </w:p>
          <w:p w14:paraId="0846CD5B" w14:textId="25E19ACD" w:rsidR="00A621C5" w:rsidRPr="00A621C5" w:rsidRDefault="00A621C5" w:rsidP="00C42AA3">
            <w:pPr>
              <w:rPr>
                <w:rFonts w:cstheme="minorHAnsi"/>
                <w:sz w:val="24"/>
                <w:szCs w:val="24"/>
              </w:rPr>
            </w:pPr>
            <w:r w:rsidRPr="00A621C5">
              <w:rPr>
                <w:rFonts w:cstheme="minorHAnsi"/>
                <w:sz w:val="24"/>
                <w:szCs w:val="24"/>
              </w:rPr>
              <w:t>Annually</w:t>
            </w:r>
          </w:p>
        </w:tc>
        <w:tc>
          <w:tcPr>
            <w:tcW w:w="2591" w:type="dxa"/>
            <w:shd w:val="clear" w:color="auto" w:fill="auto"/>
          </w:tcPr>
          <w:p w14:paraId="07F4E893" w14:textId="77777777" w:rsidR="00EE2765" w:rsidRDefault="00A621C5" w:rsidP="00C42AA3">
            <w:pPr>
              <w:jc w:val="center"/>
              <w:rPr>
                <w:rFonts w:cstheme="minorHAnsi"/>
                <w:sz w:val="24"/>
                <w:szCs w:val="24"/>
              </w:rPr>
            </w:pPr>
            <w:r>
              <w:rPr>
                <w:rFonts w:cstheme="minorHAnsi"/>
                <w:sz w:val="24"/>
                <w:szCs w:val="24"/>
              </w:rPr>
              <w:t>2025</w:t>
            </w:r>
          </w:p>
          <w:p w14:paraId="45C09A7D" w14:textId="77777777" w:rsidR="00A621C5" w:rsidRDefault="00A621C5" w:rsidP="00C42AA3">
            <w:pPr>
              <w:jc w:val="center"/>
              <w:rPr>
                <w:rFonts w:cstheme="minorHAnsi"/>
                <w:sz w:val="24"/>
                <w:szCs w:val="24"/>
              </w:rPr>
            </w:pPr>
          </w:p>
          <w:p w14:paraId="4CF474B5" w14:textId="2D44BBDA" w:rsidR="00A621C5" w:rsidRDefault="00A621C5" w:rsidP="00A621C5">
            <w:pPr>
              <w:spacing w:after="0"/>
              <w:jc w:val="center"/>
              <w:rPr>
                <w:rFonts w:cstheme="minorHAnsi"/>
                <w:sz w:val="24"/>
                <w:szCs w:val="24"/>
              </w:rPr>
            </w:pPr>
            <w:r>
              <w:rPr>
                <w:rFonts w:cstheme="minorHAnsi"/>
                <w:sz w:val="24"/>
                <w:szCs w:val="24"/>
              </w:rPr>
              <w:t>201</w:t>
            </w:r>
            <w:r w:rsidR="00266302">
              <w:rPr>
                <w:rFonts w:cstheme="minorHAnsi"/>
                <w:sz w:val="24"/>
                <w:szCs w:val="24"/>
              </w:rPr>
              <w:t>5</w:t>
            </w:r>
          </w:p>
          <w:p w14:paraId="6E1C720F" w14:textId="77777777" w:rsidR="00A621C5" w:rsidRDefault="00A621C5" w:rsidP="00A621C5">
            <w:pPr>
              <w:spacing w:after="0"/>
              <w:jc w:val="center"/>
              <w:rPr>
                <w:rFonts w:cstheme="minorHAnsi"/>
                <w:sz w:val="24"/>
                <w:szCs w:val="24"/>
              </w:rPr>
            </w:pPr>
          </w:p>
          <w:p w14:paraId="1202E256" w14:textId="43A9CD20" w:rsidR="00A621C5" w:rsidRDefault="00A621C5" w:rsidP="00C42AA3">
            <w:pPr>
              <w:jc w:val="center"/>
              <w:rPr>
                <w:rFonts w:cstheme="minorHAnsi"/>
                <w:sz w:val="24"/>
                <w:szCs w:val="24"/>
              </w:rPr>
            </w:pPr>
            <w:r>
              <w:rPr>
                <w:rFonts w:cstheme="minorHAnsi"/>
                <w:sz w:val="24"/>
                <w:szCs w:val="24"/>
              </w:rPr>
              <w:t>2024</w:t>
            </w:r>
          </w:p>
          <w:p w14:paraId="263F2D34" w14:textId="77777777" w:rsidR="00A621C5" w:rsidRDefault="00A621C5" w:rsidP="00C42AA3">
            <w:pPr>
              <w:jc w:val="center"/>
              <w:rPr>
                <w:rFonts w:cstheme="minorHAnsi"/>
                <w:sz w:val="24"/>
                <w:szCs w:val="24"/>
              </w:rPr>
            </w:pPr>
          </w:p>
          <w:p w14:paraId="1F40CF50" w14:textId="652322E8" w:rsidR="00A621C5" w:rsidRPr="00A621C5" w:rsidRDefault="00A621C5" w:rsidP="00C42AA3">
            <w:pPr>
              <w:jc w:val="center"/>
              <w:rPr>
                <w:rFonts w:cstheme="minorHAnsi"/>
                <w:sz w:val="24"/>
                <w:szCs w:val="24"/>
              </w:rPr>
            </w:pPr>
            <w:r>
              <w:rPr>
                <w:rFonts w:cstheme="minorHAnsi"/>
                <w:sz w:val="24"/>
                <w:szCs w:val="24"/>
              </w:rPr>
              <w:t>2024</w:t>
            </w:r>
          </w:p>
        </w:tc>
        <w:tc>
          <w:tcPr>
            <w:tcW w:w="2591" w:type="dxa"/>
            <w:shd w:val="clear" w:color="auto" w:fill="auto"/>
          </w:tcPr>
          <w:p w14:paraId="4311AD8C" w14:textId="4591B18B" w:rsidR="00EE2765" w:rsidRDefault="00A621C5" w:rsidP="00C42AA3">
            <w:pPr>
              <w:rPr>
                <w:rFonts w:cstheme="minorHAnsi"/>
                <w:sz w:val="24"/>
                <w:szCs w:val="24"/>
              </w:rPr>
            </w:pPr>
            <w:r>
              <w:rPr>
                <w:rFonts w:cstheme="minorHAnsi"/>
                <w:sz w:val="24"/>
                <w:szCs w:val="24"/>
              </w:rPr>
              <w:t>2024 – 2027</w:t>
            </w:r>
          </w:p>
          <w:p w14:paraId="3399EB28" w14:textId="77777777" w:rsidR="00A621C5" w:rsidRDefault="00A621C5" w:rsidP="00C42AA3">
            <w:pPr>
              <w:rPr>
                <w:rFonts w:cstheme="minorHAnsi"/>
                <w:sz w:val="24"/>
                <w:szCs w:val="24"/>
              </w:rPr>
            </w:pPr>
          </w:p>
          <w:p w14:paraId="051F8E68" w14:textId="684BD59E" w:rsidR="00A621C5" w:rsidRDefault="00A621C5" w:rsidP="003B1DE4">
            <w:pPr>
              <w:spacing w:after="360"/>
              <w:rPr>
                <w:rFonts w:cstheme="minorHAnsi"/>
                <w:sz w:val="24"/>
                <w:szCs w:val="24"/>
              </w:rPr>
            </w:pPr>
            <w:r>
              <w:rPr>
                <w:rFonts w:cstheme="minorHAnsi"/>
                <w:sz w:val="24"/>
                <w:szCs w:val="24"/>
              </w:rPr>
              <w:t>2014 – 2025</w:t>
            </w:r>
          </w:p>
          <w:p w14:paraId="1742C675" w14:textId="5449436A" w:rsidR="00A621C5" w:rsidRDefault="003B1DE4" w:rsidP="00C42AA3">
            <w:pPr>
              <w:rPr>
                <w:rFonts w:cstheme="minorHAnsi"/>
                <w:sz w:val="24"/>
                <w:szCs w:val="24"/>
              </w:rPr>
            </w:pPr>
            <w:r>
              <w:rPr>
                <w:rFonts w:cstheme="minorHAnsi"/>
                <w:sz w:val="24"/>
                <w:szCs w:val="24"/>
              </w:rPr>
              <w:t>2024 – 2026</w:t>
            </w:r>
          </w:p>
          <w:p w14:paraId="173BCCDB" w14:textId="77777777" w:rsidR="003B1DE4" w:rsidRDefault="003B1DE4" w:rsidP="00C42AA3">
            <w:pPr>
              <w:rPr>
                <w:rFonts w:cstheme="minorHAnsi"/>
                <w:sz w:val="24"/>
                <w:szCs w:val="24"/>
              </w:rPr>
            </w:pPr>
          </w:p>
          <w:p w14:paraId="5B8AAB56" w14:textId="48CBB1CF" w:rsidR="003B1DE4" w:rsidRDefault="003B1DE4" w:rsidP="00C42AA3">
            <w:pPr>
              <w:rPr>
                <w:rFonts w:cstheme="minorHAnsi"/>
                <w:sz w:val="24"/>
                <w:szCs w:val="24"/>
              </w:rPr>
            </w:pPr>
            <w:r>
              <w:rPr>
                <w:rFonts w:cstheme="minorHAnsi"/>
                <w:sz w:val="24"/>
                <w:szCs w:val="24"/>
              </w:rPr>
              <w:t>2024 – 2026</w:t>
            </w:r>
          </w:p>
          <w:p w14:paraId="37A23942" w14:textId="77777777" w:rsidR="003B1DE4" w:rsidRDefault="003B1DE4" w:rsidP="00C42AA3">
            <w:pPr>
              <w:rPr>
                <w:rFonts w:cstheme="minorHAnsi"/>
                <w:sz w:val="24"/>
                <w:szCs w:val="24"/>
              </w:rPr>
            </w:pPr>
          </w:p>
          <w:p w14:paraId="145DECD5" w14:textId="77C42FF9" w:rsidR="003B1DE4" w:rsidRPr="00A621C5" w:rsidRDefault="003B1DE4" w:rsidP="00C42AA3">
            <w:pPr>
              <w:rPr>
                <w:rFonts w:cstheme="minorHAnsi"/>
                <w:sz w:val="24"/>
                <w:szCs w:val="24"/>
              </w:rPr>
            </w:pPr>
            <w:r>
              <w:rPr>
                <w:rFonts w:cstheme="minorHAnsi"/>
                <w:sz w:val="24"/>
                <w:szCs w:val="24"/>
              </w:rPr>
              <w:t xml:space="preserve"> </w:t>
            </w:r>
          </w:p>
        </w:tc>
      </w:tr>
      <w:tr w:rsidR="00EE2765" w:rsidRPr="008473F7" w14:paraId="3E0B7B57" w14:textId="77777777" w:rsidTr="00C42AA3">
        <w:tc>
          <w:tcPr>
            <w:tcW w:w="2591" w:type="dxa"/>
          </w:tcPr>
          <w:p w14:paraId="52B8DAB0" w14:textId="18F17920" w:rsidR="00EE2765" w:rsidRPr="00EE2765" w:rsidRDefault="00EE2765" w:rsidP="00EE2765">
            <w:pPr>
              <w:rPr>
                <w:rFonts w:cstheme="minorHAnsi"/>
                <w:sz w:val="24"/>
                <w:szCs w:val="24"/>
              </w:rPr>
            </w:pPr>
            <w:r w:rsidRPr="00EE2765">
              <w:rPr>
                <w:rFonts w:cstheme="minorHAnsi"/>
                <w:sz w:val="24"/>
                <w:szCs w:val="24"/>
              </w:rPr>
              <w:t xml:space="preserve">Number of publicly disseminated products that summarize analyses of secondary surveillance data </w:t>
            </w:r>
            <w:r>
              <w:rPr>
                <w:rFonts w:cstheme="minorHAnsi"/>
                <w:sz w:val="24"/>
                <w:szCs w:val="24"/>
              </w:rPr>
              <w:t xml:space="preserve">related to </w:t>
            </w:r>
            <w:r w:rsidR="00856489">
              <w:rPr>
                <w:rFonts w:cstheme="minorHAnsi"/>
                <w:sz w:val="24"/>
                <w:szCs w:val="24"/>
              </w:rPr>
              <w:t>E</w:t>
            </w:r>
            <w:r w:rsidR="0028130E">
              <w:rPr>
                <w:rFonts w:cstheme="minorHAnsi"/>
                <w:sz w:val="24"/>
                <w:szCs w:val="24"/>
              </w:rPr>
              <w:t>BPDS</w:t>
            </w:r>
          </w:p>
          <w:p w14:paraId="30A24809" w14:textId="77777777" w:rsidR="00EE2765" w:rsidRDefault="00EE2765" w:rsidP="00C42AA3">
            <w:pPr>
              <w:rPr>
                <w:rFonts w:cstheme="minorHAnsi"/>
                <w:sz w:val="24"/>
                <w:szCs w:val="24"/>
                <w:highlight w:val="red"/>
              </w:rPr>
            </w:pPr>
          </w:p>
          <w:p w14:paraId="07EA5A62" w14:textId="77777777" w:rsidR="0028130E" w:rsidRPr="008473F7" w:rsidRDefault="0028130E" w:rsidP="00C42AA3">
            <w:pPr>
              <w:rPr>
                <w:rFonts w:cstheme="minorHAnsi"/>
                <w:sz w:val="24"/>
                <w:szCs w:val="24"/>
                <w:highlight w:val="red"/>
              </w:rPr>
            </w:pPr>
          </w:p>
        </w:tc>
        <w:tc>
          <w:tcPr>
            <w:tcW w:w="2591" w:type="dxa"/>
          </w:tcPr>
          <w:p w14:paraId="449A0E09" w14:textId="1367E231" w:rsidR="00EE2765" w:rsidRPr="00EE2765" w:rsidRDefault="00EE2765" w:rsidP="00C42AA3">
            <w:pPr>
              <w:rPr>
                <w:rFonts w:cstheme="minorHAnsi"/>
                <w:sz w:val="24"/>
                <w:szCs w:val="24"/>
              </w:rPr>
            </w:pPr>
            <w:r w:rsidRPr="00EE2765">
              <w:rPr>
                <w:rFonts w:cstheme="minorHAnsi"/>
                <w:sz w:val="24"/>
                <w:szCs w:val="24"/>
              </w:rPr>
              <w:t>SOHP Program Data</w:t>
            </w:r>
          </w:p>
        </w:tc>
        <w:tc>
          <w:tcPr>
            <w:tcW w:w="2591" w:type="dxa"/>
          </w:tcPr>
          <w:p w14:paraId="65193E18" w14:textId="049BCF9F" w:rsidR="00EE2765" w:rsidRPr="00A621C5" w:rsidRDefault="00A621C5" w:rsidP="00C42AA3">
            <w:pPr>
              <w:rPr>
                <w:rFonts w:cstheme="minorHAnsi"/>
                <w:sz w:val="24"/>
                <w:szCs w:val="24"/>
              </w:rPr>
            </w:pPr>
            <w:r>
              <w:rPr>
                <w:rFonts w:cstheme="minorHAnsi"/>
                <w:sz w:val="24"/>
                <w:szCs w:val="24"/>
              </w:rPr>
              <w:t>Quarterly</w:t>
            </w:r>
          </w:p>
        </w:tc>
        <w:tc>
          <w:tcPr>
            <w:tcW w:w="2591" w:type="dxa"/>
            <w:shd w:val="clear" w:color="auto" w:fill="auto"/>
          </w:tcPr>
          <w:p w14:paraId="146FFBDC" w14:textId="642B8EB0" w:rsidR="00EE2765" w:rsidRPr="00A621C5" w:rsidRDefault="003B1DE4" w:rsidP="00C42AA3">
            <w:pPr>
              <w:jc w:val="center"/>
              <w:rPr>
                <w:rFonts w:cstheme="minorHAnsi"/>
                <w:sz w:val="24"/>
                <w:szCs w:val="24"/>
              </w:rPr>
            </w:pPr>
            <w:r>
              <w:rPr>
                <w:rFonts w:cstheme="minorHAnsi"/>
                <w:sz w:val="24"/>
                <w:szCs w:val="24"/>
              </w:rPr>
              <w:t>2025</w:t>
            </w:r>
          </w:p>
        </w:tc>
        <w:tc>
          <w:tcPr>
            <w:tcW w:w="2591" w:type="dxa"/>
            <w:shd w:val="clear" w:color="auto" w:fill="auto"/>
          </w:tcPr>
          <w:p w14:paraId="75FF5F28" w14:textId="5196048F" w:rsidR="00EE2765" w:rsidRDefault="003B1DE4" w:rsidP="00C42AA3">
            <w:pPr>
              <w:rPr>
                <w:rFonts w:cstheme="minorHAnsi"/>
                <w:sz w:val="24"/>
                <w:szCs w:val="24"/>
              </w:rPr>
            </w:pPr>
            <w:r>
              <w:rPr>
                <w:rFonts w:cstheme="minorHAnsi"/>
                <w:sz w:val="24"/>
                <w:szCs w:val="24"/>
              </w:rPr>
              <w:t>2024 – 2027</w:t>
            </w:r>
          </w:p>
          <w:p w14:paraId="271DD1EF" w14:textId="18660061" w:rsidR="003B1DE4" w:rsidRPr="00A621C5" w:rsidRDefault="003B1DE4" w:rsidP="00C42AA3">
            <w:pPr>
              <w:rPr>
                <w:rFonts w:cstheme="minorHAnsi"/>
                <w:sz w:val="24"/>
                <w:szCs w:val="24"/>
              </w:rPr>
            </w:pPr>
          </w:p>
        </w:tc>
      </w:tr>
      <w:tr w:rsidR="000931A6" w:rsidRPr="008473F7" w14:paraId="7A269147" w14:textId="77777777" w:rsidTr="000B2BE8">
        <w:tc>
          <w:tcPr>
            <w:tcW w:w="12955" w:type="dxa"/>
            <w:gridSpan w:val="5"/>
            <w:shd w:val="clear" w:color="auto" w:fill="D9D9D9" w:themeFill="background1" w:themeFillShade="D9"/>
          </w:tcPr>
          <w:p w14:paraId="49E53B73" w14:textId="3DB3AFE5" w:rsidR="000931A6" w:rsidRPr="008473F7" w:rsidRDefault="000931A6" w:rsidP="000B2BE8">
            <w:pPr>
              <w:rPr>
                <w:rFonts w:cstheme="minorHAnsi"/>
                <w:b/>
                <w:sz w:val="24"/>
                <w:szCs w:val="24"/>
                <w:highlight w:val="red"/>
              </w:rPr>
            </w:pPr>
            <w:bookmarkStart w:id="19" w:name="_Hlk197330839"/>
            <w:r w:rsidRPr="000D7464">
              <w:rPr>
                <w:rFonts w:cstheme="minorHAnsi"/>
                <w:b/>
                <w:sz w:val="24"/>
                <w:szCs w:val="24"/>
              </w:rPr>
              <w:lastRenderedPageBreak/>
              <w:t>Core Indicators</w:t>
            </w:r>
            <w:r>
              <w:rPr>
                <w:rFonts w:cstheme="minorHAnsi"/>
                <w:b/>
                <w:sz w:val="24"/>
                <w:szCs w:val="24"/>
              </w:rPr>
              <w:t xml:space="preserve"> – Evidence-Based preventive Dental Services</w:t>
            </w:r>
          </w:p>
        </w:tc>
      </w:tr>
      <w:bookmarkEnd w:id="19"/>
      <w:tr w:rsidR="000931A6" w:rsidRPr="008473F7" w14:paraId="611247AD" w14:textId="77777777" w:rsidTr="00C42AA3">
        <w:tc>
          <w:tcPr>
            <w:tcW w:w="2591" w:type="dxa"/>
          </w:tcPr>
          <w:p w14:paraId="08D2E8FA" w14:textId="2EA889A7" w:rsidR="000931A6" w:rsidRPr="008473F7" w:rsidRDefault="000931A6" w:rsidP="00C42AA3">
            <w:pPr>
              <w:rPr>
                <w:rFonts w:cstheme="minorHAnsi"/>
                <w:sz w:val="24"/>
                <w:szCs w:val="24"/>
                <w:highlight w:val="red"/>
              </w:rPr>
            </w:pPr>
            <w:r w:rsidRPr="000931A6">
              <w:rPr>
                <w:rFonts w:cstheme="minorHAnsi"/>
                <w:sz w:val="24"/>
                <w:szCs w:val="24"/>
              </w:rPr>
              <w:t xml:space="preserve">Number of eligible students in schools served who received sealants </w:t>
            </w:r>
          </w:p>
        </w:tc>
        <w:tc>
          <w:tcPr>
            <w:tcW w:w="2591" w:type="dxa"/>
          </w:tcPr>
          <w:p w14:paraId="182FB21D" w14:textId="77777777" w:rsidR="000931A6" w:rsidRDefault="000931A6" w:rsidP="00C42AA3">
            <w:pPr>
              <w:rPr>
                <w:rFonts w:cstheme="minorHAnsi"/>
                <w:sz w:val="24"/>
                <w:szCs w:val="24"/>
              </w:rPr>
            </w:pPr>
            <w:r w:rsidRPr="000931A6">
              <w:rPr>
                <w:rFonts w:cstheme="minorHAnsi"/>
                <w:sz w:val="24"/>
                <w:szCs w:val="24"/>
              </w:rPr>
              <w:t>SOHP Program Data from Modified SEALs Database</w:t>
            </w:r>
          </w:p>
          <w:p w14:paraId="1E407E10" w14:textId="0934DADA" w:rsidR="000931A6" w:rsidRPr="008473F7" w:rsidRDefault="000931A6" w:rsidP="00C42AA3">
            <w:pPr>
              <w:rPr>
                <w:rFonts w:cstheme="minorHAnsi"/>
                <w:sz w:val="24"/>
                <w:szCs w:val="24"/>
                <w:highlight w:val="red"/>
              </w:rPr>
            </w:pPr>
            <w:r w:rsidRPr="000931A6">
              <w:rPr>
                <w:rFonts w:cstheme="minorHAnsi"/>
                <w:sz w:val="24"/>
                <w:szCs w:val="24"/>
              </w:rPr>
              <w:t>Partner EBPDS Data from REDCap School-Based Oral Health Program Database</w:t>
            </w:r>
          </w:p>
        </w:tc>
        <w:tc>
          <w:tcPr>
            <w:tcW w:w="2591" w:type="dxa"/>
          </w:tcPr>
          <w:p w14:paraId="1795F7D6" w14:textId="77777777" w:rsidR="000931A6" w:rsidRPr="0056175D" w:rsidRDefault="003B1DE4" w:rsidP="0056175D">
            <w:pPr>
              <w:spacing w:after="0" w:line="360" w:lineRule="auto"/>
              <w:rPr>
                <w:rFonts w:cstheme="minorHAnsi"/>
                <w:sz w:val="24"/>
                <w:szCs w:val="24"/>
              </w:rPr>
            </w:pPr>
            <w:r w:rsidRPr="0056175D">
              <w:rPr>
                <w:rFonts w:cstheme="minorHAnsi"/>
                <w:sz w:val="24"/>
                <w:szCs w:val="24"/>
              </w:rPr>
              <w:t>Quarterly</w:t>
            </w:r>
          </w:p>
          <w:p w14:paraId="3594E579" w14:textId="77777777" w:rsidR="0056175D" w:rsidRDefault="0056175D" w:rsidP="0056175D">
            <w:pPr>
              <w:spacing w:after="0" w:line="360" w:lineRule="auto"/>
              <w:rPr>
                <w:rFonts w:cstheme="minorHAnsi"/>
                <w:sz w:val="16"/>
                <w:szCs w:val="16"/>
              </w:rPr>
            </w:pPr>
          </w:p>
          <w:p w14:paraId="66209CE1" w14:textId="77777777" w:rsidR="0056175D" w:rsidRPr="0056175D" w:rsidRDefault="0056175D" w:rsidP="0056175D">
            <w:pPr>
              <w:spacing w:after="0" w:line="360" w:lineRule="auto"/>
              <w:rPr>
                <w:rFonts w:cstheme="minorHAnsi"/>
                <w:sz w:val="16"/>
                <w:szCs w:val="16"/>
              </w:rPr>
            </w:pPr>
          </w:p>
          <w:p w14:paraId="2B30EAFB" w14:textId="42BF4D0D" w:rsidR="0056175D" w:rsidRPr="0056175D" w:rsidRDefault="0056175D" w:rsidP="0056175D">
            <w:pPr>
              <w:spacing w:after="0" w:line="360" w:lineRule="auto"/>
              <w:rPr>
                <w:rFonts w:cstheme="minorHAnsi"/>
                <w:sz w:val="24"/>
                <w:szCs w:val="24"/>
              </w:rPr>
            </w:pPr>
            <w:r w:rsidRPr="0056175D">
              <w:rPr>
                <w:rFonts w:cstheme="minorHAnsi"/>
                <w:sz w:val="24"/>
                <w:szCs w:val="24"/>
              </w:rPr>
              <w:t>Quarterly</w:t>
            </w:r>
          </w:p>
        </w:tc>
        <w:tc>
          <w:tcPr>
            <w:tcW w:w="2591" w:type="dxa"/>
            <w:shd w:val="clear" w:color="auto" w:fill="auto"/>
          </w:tcPr>
          <w:p w14:paraId="35E5D8DE" w14:textId="77777777" w:rsidR="000931A6" w:rsidRPr="0056175D" w:rsidRDefault="003B1DE4" w:rsidP="0056175D">
            <w:pPr>
              <w:spacing w:after="0" w:line="360" w:lineRule="auto"/>
              <w:jc w:val="center"/>
              <w:rPr>
                <w:rFonts w:cstheme="minorHAnsi"/>
                <w:sz w:val="24"/>
                <w:szCs w:val="24"/>
              </w:rPr>
            </w:pPr>
            <w:r w:rsidRPr="0056175D">
              <w:rPr>
                <w:rFonts w:cstheme="minorHAnsi"/>
                <w:sz w:val="24"/>
                <w:szCs w:val="24"/>
              </w:rPr>
              <w:t>2025</w:t>
            </w:r>
          </w:p>
          <w:p w14:paraId="78701169" w14:textId="77777777" w:rsidR="0056175D" w:rsidRDefault="0056175D" w:rsidP="0056175D">
            <w:pPr>
              <w:spacing w:after="0" w:line="360" w:lineRule="auto"/>
              <w:jc w:val="center"/>
              <w:rPr>
                <w:rFonts w:cstheme="minorHAnsi"/>
                <w:sz w:val="24"/>
                <w:szCs w:val="24"/>
              </w:rPr>
            </w:pPr>
          </w:p>
          <w:p w14:paraId="0EB35762" w14:textId="4FCFF829" w:rsidR="0056175D" w:rsidRPr="0056175D" w:rsidRDefault="0056175D" w:rsidP="0056175D">
            <w:pPr>
              <w:spacing w:after="0" w:line="360" w:lineRule="auto"/>
              <w:jc w:val="center"/>
              <w:rPr>
                <w:rFonts w:cstheme="minorHAnsi"/>
                <w:sz w:val="24"/>
                <w:szCs w:val="24"/>
              </w:rPr>
            </w:pPr>
            <w:r w:rsidRPr="0056175D">
              <w:rPr>
                <w:rFonts w:cstheme="minorHAnsi"/>
                <w:sz w:val="24"/>
                <w:szCs w:val="24"/>
              </w:rPr>
              <w:t>2025</w:t>
            </w:r>
          </w:p>
        </w:tc>
        <w:tc>
          <w:tcPr>
            <w:tcW w:w="2591" w:type="dxa"/>
            <w:shd w:val="clear" w:color="auto" w:fill="auto"/>
          </w:tcPr>
          <w:p w14:paraId="6C1BE7AA" w14:textId="00F435F2" w:rsidR="000931A6" w:rsidRPr="0056175D" w:rsidRDefault="003B1DE4" w:rsidP="0056175D">
            <w:pPr>
              <w:spacing w:after="0" w:line="360" w:lineRule="auto"/>
              <w:rPr>
                <w:rFonts w:cstheme="minorHAnsi"/>
                <w:sz w:val="24"/>
                <w:szCs w:val="24"/>
              </w:rPr>
            </w:pPr>
            <w:r w:rsidRPr="0056175D">
              <w:rPr>
                <w:rFonts w:cstheme="minorHAnsi"/>
                <w:sz w:val="24"/>
                <w:szCs w:val="24"/>
              </w:rPr>
              <w:t>2024 – 2027</w:t>
            </w:r>
          </w:p>
          <w:p w14:paraId="7638DECC" w14:textId="77777777" w:rsidR="0056175D" w:rsidRPr="0056175D" w:rsidRDefault="0056175D" w:rsidP="0056175D">
            <w:pPr>
              <w:spacing w:after="0" w:line="360" w:lineRule="auto"/>
              <w:rPr>
                <w:rFonts w:cstheme="minorHAnsi"/>
                <w:sz w:val="24"/>
                <w:szCs w:val="24"/>
              </w:rPr>
            </w:pPr>
          </w:p>
          <w:p w14:paraId="60A11831" w14:textId="0C2F43A6" w:rsidR="0056175D" w:rsidRPr="0056175D" w:rsidRDefault="0056175D" w:rsidP="0056175D">
            <w:pPr>
              <w:spacing w:after="0" w:line="360" w:lineRule="auto"/>
              <w:rPr>
                <w:rFonts w:cstheme="minorHAnsi"/>
                <w:sz w:val="24"/>
                <w:szCs w:val="24"/>
              </w:rPr>
            </w:pPr>
            <w:r w:rsidRPr="0056175D">
              <w:rPr>
                <w:rFonts w:cstheme="minorHAnsi"/>
                <w:sz w:val="24"/>
                <w:szCs w:val="24"/>
              </w:rPr>
              <w:t>2024 - 2027</w:t>
            </w:r>
          </w:p>
          <w:p w14:paraId="112C06EC" w14:textId="48EE9491" w:rsidR="003B1DE4" w:rsidRPr="0056175D" w:rsidRDefault="003B1DE4" w:rsidP="0056175D">
            <w:pPr>
              <w:spacing w:after="0" w:line="360" w:lineRule="auto"/>
              <w:rPr>
                <w:rFonts w:cstheme="minorHAnsi"/>
                <w:sz w:val="24"/>
                <w:szCs w:val="24"/>
              </w:rPr>
            </w:pPr>
          </w:p>
        </w:tc>
      </w:tr>
      <w:tr w:rsidR="000931A6" w:rsidRPr="008473F7" w14:paraId="4124C0A3" w14:textId="77777777" w:rsidTr="00C42AA3">
        <w:tc>
          <w:tcPr>
            <w:tcW w:w="2591" w:type="dxa"/>
          </w:tcPr>
          <w:p w14:paraId="129C6045" w14:textId="495C740C" w:rsidR="000931A6" w:rsidRPr="008473F7" w:rsidRDefault="000931A6" w:rsidP="00C42AA3">
            <w:pPr>
              <w:rPr>
                <w:rFonts w:cstheme="minorHAnsi"/>
                <w:sz w:val="24"/>
                <w:szCs w:val="24"/>
                <w:highlight w:val="red"/>
              </w:rPr>
            </w:pPr>
            <w:r w:rsidRPr="000931A6">
              <w:rPr>
                <w:rFonts w:cstheme="minorHAnsi"/>
                <w:sz w:val="24"/>
                <w:szCs w:val="24"/>
              </w:rPr>
              <w:t xml:space="preserve">Number of eligible students in schools served who received </w:t>
            </w:r>
            <w:r>
              <w:rPr>
                <w:rFonts w:cstheme="minorHAnsi"/>
                <w:sz w:val="24"/>
                <w:szCs w:val="24"/>
              </w:rPr>
              <w:t>fluoride varnish</w:t>
            </w:r>
          </w:p>
        </w:tc>
        <w:tc>
          <w:tcPr>
            <w:tcW w:w="2591" w:type="dxa"/>
          </w:tcPr>
          <w:p w14:paraId="4DFD7A68" w14:textId="77777777" w:rsidR="000931A6" w:rsidRPr="000931A6" w:rsidRDefault="000931A6" w:rsidP="000931A6">
            <w:pPr>
              <w:rPr>
                <w:rFonts w:cstheme="minorHAnsi"/>
                <w:sz w:val="24"/>
                <w:szCs w:val="24"/>
              </w:rPr>
            </w:pPr>
            <w:r w:rsidRPr="000931A6">
              <w:rPr>
                <w:rFonts w:cstheme="minorHAnsi"/>
                <w:sz w:val="24"/>
                <w:szCs w:val="24"/>
              </w:rPr>
              <w:t>SOHP Program Data from Modified SEALs Database</w:t>
            </w:r>
          </w:p>
          <w:p w14:paraId="14260405" w14:textId="104DCB84" w:rsidR="000931A6" w:rsidRPr="008473F7" w:rsidRDefault="000931A6" w:rsidP="000931A6">
            <w:pPr>
              <w:rPr>
                <w:rFonts w:cstheme="minorHAnsi"/>
                <w:sz w:val="24"/>
                <w:szCs w:val="24"/>
                <w:highlight w:val="red"/>
              </w:rPr>
            </w:pPr>
            <w:r w:rsidRPr="000931A6">
              <w:rPr>
                <w:rFonts w:cstheme="minorHAnsi"/>
                <w:sz w:val="24"/>
                <w:szCs w:val="24"/>
              </w:rPr>
              <w:t>Partner EBPDS Data from REDCap School-Based Oral Health Program Database</w:t>
            </w:r>
          </w:p>
        </w:tc>
        <w:tc>
          <w:tcPr>
            <w:tcW w:w="2591" w:type="dxa"/>
          </w:tcPr>
          <w:p w14:paraId="6BDCF2D8" w14:textId="77777777" w:rsidR="000931A6" w:rsidRPr="0056175D" w:rsidRDefault="0056175D" w:rsidP="00C42AA3">
            <w:pPr>
              <w:rPr>
                <w:rFonts w:cstheme="minorHAnsi"/>
                <w:sz w:val="24"/>
                <w:szCs w:val="24"/>
              </w:rPr>
            </w:pPr>
            <w:r w:rsidRPr="0056175D">
              <w:rPr>
                <w:rFonts w:cstheme="minorHAnsi"/>
                <w:sz w:val="24"/>
                <w:szCs w:val="24"/>
              </w:rPr>
              <w:t>Quarterly</w:t>
            </w:r>
          </w:p>
          <w:p w14:paraId="0E953B77" w14:textId="77777777" w:rsidR="0056175D" w:rsidRPr="0056175D" w:rsidRDefault="0056175D" w:rsidP="00C42AA3">
            <w:pPr>
              <w:rPr>
                <w:rFonts w:cstheme="minorHAnsi"/>
                <w:sz w:val="24"/>
                <w:szCs w:val="24"/>
              </w:rPr>
            </w:pPr>
          </w:p>
          <w:p w14:paraId="1174FC33" w14:textId="5A483573" w:rsidR="0056175D" w:rsidRPr="0056175D" w:rsidRDefault="0056175D" w:rsidP="00C42AA3">
            <w:pPr>
              <w:rPr>
                <w:rFonts w:cstheme="minorHAnsi"/>
                <w:sz w:val="24"/>
                <w:szCs w:val="24"/>
              </w:rPr>
            </w:pPr>
            <w:r w:rsidRPr="0056175D">
              <w:rPr>
                <w:rFonts w:cstheme="minorHAnsi"/>
                <w:sz w:val="24"/>
                <w:szCs w:val="24"/>
              </w:rPr>
              <w:t>Quarterly</w:t>
            </w:r>
          </w:p>
        </w:tc>
        <w:tc>
          <w:tcPr>
            <w:tcW w:w="2591" w:type="dxa"/>
            <w:shd w:val="clear" w:color="auto" w:fill="auto"/>
          </w:tcPr>
          <w:p w14:paraId="2847E57A" w14:textId="77777777" w:rsidR="000931A6" w:rsidRPr="0056175D" w:rsidRDefault="0056175D" w:rsidP="00C42AA3">
            <w:pPr>
              <w:jc w:val="center"/>
              <w:rPr>
                <w:rFonts w:cstheme="minorHAnsi"/>
                <w:sz w:val="24"/>
                <w:szCs w:val="24"/>
              </w:rPr>
            </w:pPr>
            <w:r w:rsidRPr="0056175D">
              <w:rPr>
                <w:rFonts w:cstheme="minorHAnsi"/>
                <w:sz w:val="24"/>
                <w:szCs w:val="24"/>
              </w:rPr>
              <w:t>2025</w:t>
            </w:r>
          </w:p>
          <w:p w14:paraId="02A0305D" w14:textId="77777777" w:rsidR="0056175D" w:rsidRPr="0056175D" w:rsidRDefault="0056175D" w:rsidP="00C42AA3">
            <w:pPr>
              <w:jc w:val="center"/>
              <w:rPr>
                <w:rFonts w:cstheme="minorHAnsi"/>
                <w:sz w:val="24"/>
                <w:szCs w:val="24"/>
              </w:rPr>
            </w:pPr>
          </w:p>
          <w:p w14:paraId="4FFBF5D6" w14:textId="0D7EFD39" w:rsidR="0056175D" w:rsidRPr="0056175D" w:rsidRDefault="0056175D" w:rsidP="00C42AA3">
            <w:pPr>
              <w:jc w:val="center"/>
              <w:rPr>
                <w:rFonts w:cstheme="minorHAnsi"/>
                <w:sz w:val="24"/>
                <w:szCs w:val="24"/>
              </w:rPr>
            </w:pPr>
            <w:r w:rsidRPr="0056175D">
              <w:rPr>
                <w:rFonts w:cstheme="minorHAnsi"/>
                <w:sz w:val="24"/>
                <w:szCs w:val="24"/>
              </w:rPr>
              <w:t>2025</w:t>
            </w:r>
          </w:p>
        </w:tc>
        <w:tc>
          <w:tcPr>
            <w:tcW w:w="2591" w:type="dxa"/>
            <w:shd w:val="clear" w:color="auto" w:fill="auto"/>
          </w:tcPr>
          <w:p w14:paraId="67583DBB" w14:textId="5C002574" w:rsidR="000931A6" w:rsidRPr="0056175D" w:rsidRDefault="0056175D" w:rsidP="00C42AA3">
            <w:pPr>
              <w:rPr>
                <w:rFonts w:cstheme="minorHAnsi"/>
                <w:sz w:val="24"/>
                <w:szCs w:val="24"/>
              </w:rPr>
            </w:pPr>
            <w:r w:rsidRPr="0056175D">
              <w:rPr>
                <w:rFonts w:cstheme="minorHAnsi"/>
                <w:sz w:val="24"/>
                <w:szCs w:val="24"/>
              </w:rPr>
              <w:t>2024 – 2027</w:t>
            </w:r>
          </w:p>
          <w:p w14:paraId="71300BCB" w14:textId="77777777" w:rsidR="0056175D" w:rsidRPr="0056175D" w:rsidRDefault="0056175D" w:rsidP="00C42AA3">
            <w:pPr>
              <w:rPr>
                <w:rFonts w:cstheme="minorHAnsi"/>
                <w:sz w:val="24"/>
                <w:szCs w:val="24"/>
              </w:rPr>
            </w:pPr>
          </w:p>
          <w:p w14:paraId="748BE23C" w14:textId="1C1EE080" w:rsidR="0056175D" w:rsidRPr="0056175D" w:rsidRDefault="0056175D" w:rsidP="00C42AA3">
            <w:pPr>
              <w:rPr>
                <w:rFonts w:cstheme="minorHAnsi"/>
                <w:sz w:val="24"/>
                <w:szCs w:val="24"/>
              </w:rPr>
            </w:pPr>
            <w:r w:rsidRPr="0056175D">
              <w:rPr>
                <w:rFonts w:cstheme="minorHAnsi"/>
                <w:sz w:val="24"/>
                <w:szCs w:val="24"/>
              </w:rPr>
              <w:t>2024 - 2027</w:t>
            </w:r>
          </w:p>
          <w:p w14:paraId="1012ED42" w14:textId="66AF372E" w:rsidR="0056175D" w:rsidRPr="0056175D" w:rsidRDefault="0056175D" w:rsidP="00C42AA3">
            <w:pPr>
              <w:rPr>
                <w:rFonts w:cstheme="minorHAnsi"/>
                <w:sz w:val="24"/>
                <w:szCs w:val="24"/>
              </w:rPr>
            </w:pPr>
          </w:p>
        </w:tc>
      </w:tr>
      <w:tr w:rsidR="0056175D" w:rsidRPr="008473F7" w14:paraId="116770FE" w14:textId="77777777" w:rsidTr="00C42AA3">
        <w:tc>
          <w:tcPr>
            <w:tcW w:w="2591" w:type="dxa"/>
          </w:tcPr>
          <w:p w14:paraId="58925F30" w14:textId="02F2580C" w:rsidR="0056175D" w:rsidRPr="008473F7" w:rsidRDefault="0056175D" w:rsidP="0056175D">
            <w:pPr>
              <w:rPr>
                <w:rFonts w:cstheme="minorHAnsi"/>
                <w:sz w:val="24"/>
                <w:szCs w:val="24"/>
                <w:highlight w:val="red"/>
              </w:rPr>
            </w:pPr>
            <w:r w:rsidRPr="000931A6">
              <w:rPr>
                <w:rFonts w:cstheme="minorHAnsi"/>
                <w:sz w:val="24"/>
                <w:szCs w:val="24"/>
              </w:rPr>
              <w:t>Number of eligible schools with EBPDS programs</w:t>
            </w:r>
          </w:p>
        </w:tc>
        <w:tc>
          <w:tcPr>
            <w:tcW w:w="2591" w:type="dxa"/>
          </w:tcPr>
          <w:p w14:paraId="27654C25" w14:textId="77777777" w:rsidR="0056175D" w:rsidRPr="000931A6" w:rsidRDefault="0056175D" w:rsidP="0056175D">
            <w:pPr>
              <w:rPr>
                <w:rFonts w:cstheme="minorHAnsi"/>
                <w:sz w:val="24"/>
                <w:szCs w:val="24"/>
              </w:rPr>
            </w:pPr>
            <w:r w:rsidRPr="000931A6">
              <w:rPr>
                <w:rFonts w:cstheme="minorHAnsi"/>
                <w:sz w:val="24"/>
                <w:szCs w:val="24"/>
              </w:rPr>
              <w:t>SOHP Program Data from Modified SEALs Database</w:t>
            </w:r>
          </w:p>
          <w:p w14:paraId="025AA6DB" w14:textId="7426EA0D" w:rsidR="0056175D" w:rsidRPr="008473F7" w:rsidRDefault="0056175D" w:rsidP="0056175D">
            <w:pPr>
              <w:rPr>
                <w:rFonts w:cstheme="minorHAnsi"/>
                <w:sz w:val="24"/>
                <w:szCs w:val="24"/>
                <w:highlight w:val="red"/>
              </w:rPr>
            </w:pPr>
            <w:r w:rsidRPr="000931A6">
              <w:rPr>
                <w:rFonts w:cstheme="minorHAnsi"/>
                <w:sz w:val="24"/>
                <w:szCs w:val="24"/>
              </w:rPr>
              <w:t>Partner EBPDS Data from REDCap School-Based Oral Health Program Database</w:t>
            </w:r>
          </w:p>
        </w:tc>
        <w:tc>
          <w:tcPr>
            <w:tcW w:w="2591" w:type="dxa"/>
          </w:tcPr>
          <w:p w14:paraId="24CAD37D" w14:textId="77777777" w:rsidR="0056175D" w:rsidRPr="0056175D" w:rsidRDefault="0056175D" w:rsidP="0056175D">
            <w:pPr>
              <w:rPr>
                <w:rFonts w:cstheme="minorHAnsi"/>
                <w:sz w:val="24"/>
                <w:szCs w:val="24"/>
              </w:rPr>
            </w:pPr>
            <w:r w:rsidRPr="0056175D">
              <w:rPr>
                <w:rFonts w:cstheme="minorHAnsi"/>
                <w:sz w:val="24"/>
                <w:szCs w:val="24"/>
              </w:rPr>
              <w:t>Quarterly</w:t>
            </w:r>
          </w:p>
          <w:p w14:paraId="14202553" w14:textId="77777777" w:rsidR="0056175D" w:rsidRPr="0056175D" w:rsidRDefault="0056175D" w:rsidP="0056175D">
            <w:pPr>
              <w:rPr>
                <w:rFonts w:cstheme="minorHAnsi"/>
                <w:sz w:val="24"/>
                <w:szCs w:val="24"/>
              </w:rPr>
            </w:pPr>
          </w:p>
          <w:p w14:paraId="6ABFE10B" w14:textId="3044A800" w:rsidR="0056175D" w:rsidRPr="0056175D" w:rsidRDefault="0056175D" w:rsidP="0056175D">
            <w:pPr>
              <w:rPr>
                <w:rFonts w:cstheme="minorHAnsi"/>
                <w:sz w:val="24"/>
                <w:szCs w:val="24"/>
              </w:rPr>
            </w:pPr>
            <w:r w:rsidRPr="0056175D">
              <w:rPr>
                <w:rFonts w:cstheme="minorHAnsi"/>
                <w:sz w:val="24"/>
                <w:szCs w:val="24"/>
              </w:rPr>
              <w:t>Quarterly</w:t>
            </w:r>
          </w:p>
        </w:tc>
        <w:tc>
          <w:tcPr>
            <w:tcW w:w="2591" w:type="dxa"/>
            <w:shd w:val="clear" w:color="auto" w:fill="auto"/>
          </w:tcPr>
          <w:p w14:paraId="54EDC4BA" w14:textId="77777777" w:rsidR="0056175D" w:rsidRPr="0056175D" w:rsidRDefault="0056175D" w:rsidP="0056175D">
            <w:pPr>
              <w:jc w:val="center"/>
              <w:rPr>
                <w:rFonts w:cstheme="minorHAnsi"/>
                <w:sz w:val="24"/>
                <w:szCs w:val="24"/>
              </w:rPr>
            </w:pPr>
            <w:r w:rsidRPr="0056175D">
              <w:rPr>
                <w:rFonts w:cstheme="minorHAnsi"/>
                <w:sz w:val="24"/>
                <w:szCs w:val="24"/>
              </w:rPr>
              <w:t>2025</w:t>
            </w:r>
          </w:p>
          <w:p w14:paraId="40A10905" w14:textId="77777777" w:rsidR="0056175D" w:rsidRPr="0056175D" w:rsidRDefault="0056175D" w:rsidP="0056175D">
            <w:pPr>
              <w:jc w:val="center"/>
              <w:rPr>
                <w:rFonts w:cstheme="minorHAnsi"/>
                <w:sz w:val="24"/>
                <w:szCs w:val="24"/>
              </w:rPr>
            </w:pPr>
          </w:p>
          <w:p w14:paraId="5E2959C2" w14:textId="7CE3E71E" w:rsidR="0056175D" w:rsidRPr="0056175D" w:rsidRDefault="0056175D" w:rsidP="0056175D">
            <w:pPr>
              <w:jc w:val="center"/>
              <w:rPr>
                <w:rFonts w:cstheme="minorHAnsi"/>
                <w:sz w:val="24"/>
                <w:szCs w:val="24"/>
              </w:rPr>
            </w:pPr>
            <w:r w:rsidRPr="0056175D">
              <w:rPr>
                <w:rFonts w:cstheme="minorHAnsi"/>
                <w:sz w:val="24"/>
                <w:szCs w:val="24"/>
              </w:rPr>
              <w:t>2025</w:t>
            </w:r>
          </w:p>
        </w:tc>
        <w:tc>
          <w:tcPr>
            <w:tcW w:w="2591" w:type="dxa"/>
            <w:shd w:val="clear" w:color="auto" w:fill="auto"/>
          </w:tcPr>
          <w:p w14:paraId="4E267617" w14:textId="77777777" w:rsidR="0056175D" w:rsidRPr="0056175D" w:rsidRDefault="0056175D" w:rsidP="0056175D">
            <w:pPr>
              <w:rPr>
                <w:rFonts w:cstheme="minorHAnsi"/>
                <w:sz w:val="24"/>
                <w:szCs w:val="24"/>
              </w:rPr>
            </w:pPr>
            <w:r w:rsidRPr="0056175D">
              <w:rPr>
                <w:rFonts w:cstheme="minorHAnsi"/>
                <w:sz w:val="24"/>
                <w:szCs w:val="24"/>
              </w:rPr>
              <w:t>2024 – 2027</w:t>
            </w:r>
          </w:p>
          <w:p w14:paraId="348D2480" w14:textId="77777777" w:rsidR="0056175D" w:rsidRPr="0056175D" w:rsidRDefault="0056175D" w:rsidP="0056175D">
            <w:pPr>
              <w:rPr>
                <w:rFonts w:cstheme="minorHAnsi"/>
                <w:sz w:val="24"/>
                <w:szCs w:val="24"/>
              </w:rPr>
            </w:pPr>
          </w:p>
          <w:p w14:paraId="25BE1BAB" w14:textId="77777777" w:rsidR="0056175D" w:rsidRPr="0056175D" w:rsidRDefault="0056175D" w:rsidP="0056175D">
            <w:pPr>
              <w:rPr>
                <w:rFonts w:cstheme="minorHAnsi"/>
                <w:sz w:val="24"/>
                <w:szCs w:val="24"/>
              </w:rPr>
            </w:pPr>
            <w:r w:rsidRPr="0056175D">
              <w:rPr>
                <w:rFonts w:cstheme="minorHAnsi"/>
                <w:sz w:val="24"/>
                <w:szCs w:val="24"/>
              </w:rPr>
              <w:t>2024 - 2027</w:t>
            </w:r>
          </w:p>
          <w:p w14:paraId="7365547F" w14:textId="77777777" w:rsidR="0056175D" w:rsidRPr="0056175D" w:rsidRDefault="0056175D" w:rsidP="0056175D">
            <w:pPr>
              <w:rPr>
                <w:rFonts w:cstheme="minorHAnsi"/>
                <w:sz w:val="24"/>
                <w:szCs w:val="24"/>
              </w:rPr>
            </w:pPr>
          </w:p>
        </w:tc>
      </w:tr>
      <w:tr w:rsidR="0056175D" w:rsidRPr="008473F7" w14:paraId="580E9497" w14:textId="77777777" w:rsidTr="000B2BE8">
        <w:tc>
          <w:tcPr>
            <w:tcW w:w="12955" w:type="dxa"/>
            <w:gridSpan w:val="5"/>
            <w:shd w:val="clear" w:color="auto" w:fill="D9D9D9" w:themeFill="background1" w:themeFillShade="D9"/>
          </w:tcPr>
          <w:p w14:paraId="1ED4780F" w14:textId="11D56696" w:rsidR="0056175D" w:rsidRPr="008473F7" w:rsidRDefault="0056175D" w:rsidP="0056175D">
            <w:pPr>
              <w:rPr>
                <w:rFonts w:cstheme="minorHAnsi"/>
                <w:b/>
                <w:sz w:val="24"/>
                <w:szCs w:val="24"/>
                <w:highlight w:val="red"/>
              </w:rPr>
            </w:pPr>
            <w:bookmarkStart w:id="20" w:name="_Hlk197333497"/>
            <w:r w:rsidRPr="000D7464">
              <w:rPr>
                <w:rFonts w:cstheme="minorHAnsi"/>
                <w:b/>
                <w:sz w:val="24"/>
                <w:szCs w:val="24"/>
              </w:rPr>
              <w:lastRenderedPageBreak/>
              <w:t>Core Indicators</w:t>
            </w:r>
            <w:r>
              <w:rPr>
                <w:rFonts w:cstheme="minorHAnsi"/>
                <w:b/>
                <w:sz w:val="24"/>
                <w:szCs w:val="24"/>
              </w:rPr>
              <w:t xml:space="preserve"> – Infection Prevention and Control</w:t>
            </w:r>
          </w:p>
        </w:tc>
      </w:tr>
      <w:bookmarkEnd w:id="20"/>
      <w:tr w:rsidR="0056175D" w:rsidRPr="008473F7" w14:paraId="5BFCD512" w14:textId="77777777" w:rsidTr="00C42AA3">
        <w:tc>
          <w:tcPr>
            <w:tcW w:w="2591" w:type="dxa"/>
          </w:tcPr>
          <w:p w14:paraId="4096248A" w14:textId="77777777" w:rsidR="0056175D" w:rsidRDefault="0056175D" w:rsidP="0056175D">
            <w:pPr>
              <w:rPr>
                <w:rFonts w:cstheme="minorHAnsi"/>
                <w:sz w:val="24"/>
                <w:szCs w:val="24"/>
              </w:rPr>
            </w:pPr>
            <w:r w:rsidRPr="000E5B4F">
              <w:rPr>
                <w:rFonts w:cstheme="minorHAnsi"/>
                <w:sz w:val="24"/>
                <w:szCs w:val="24"/>
              </w:rPr>
              <w:t>Proportion of funded recipient staff completing IPC training</w:t>
            </w:r>
          </w:p>
          <w:p w14:paraId="3BB3601C" w14:textId="540655EF" w:rsidR="00266302" w:rsidRPr="008473F7" w:rsidRDefault="00266302" w:rsidP="0056175D">
            <w:pPr>
              <w:rPr>
                <w:rFonts w:cstheme="minorHAnsi"/>
                <w:sz w:val="24"/>
                <w:szCs w:val="24"/>
                <w:highlight w:val="red"/>
              </w:rPr>
            </w:pPr>
          </w:p>
        </w:tc>
        <w:tc>
          <w:tcPr>
            <w:tcW w:w="2591" w:type="dxa"/>
          </w:tcPr>
          <w:p w14:paraId="6B7AEA36" w14:textId="045C155A" w:rsidR="0056175D" w:rsidRPr="008473F7" w:rsidRDefault="0056175D" w:rsidP="0056175D">
            <w:pPr>
              <w:rPr>
                <w:rFonts w:cstheme="minorHAnsi"/>
                <w:sz w:val="24"/>
                <w:szCs w:val="24"/>
                <w:highlight w:val="red"/>
              </w:rPr>
            </w:pPr>
            <w:r w:rsidRPr="000E5B4F">
              <w:rPr>
                <w:rFonts w:cstheme="minorHAnsi"/>
                <w:sz w:val="24"/>
                <w:szCs w:val="24"/>
              </w:rPr>
              <w:t>SOHP Program Data from Training Records</w:t>
            </w:r>
          </w:p>
        </w:tc>
        <w:tc>
          <w:tcPr>
            <w:tcW w:w="2591" w:type="dxa"/>
          </w:tcPr>
          <w:p w14:paraId="657803DD" w14:textId="13FD45A9" w:rsidR="0056175D" w:rsidRPr="00266302" w:rsidRDefault="00266302" w:rsidP="0056175D">
            <w:pPr>
              <w:rPr>
                <w:rFonts w:cstheme="minorHAnsi"/>
                <w:sz w:val="24"/>
                <w:szCs w:val="24"/>
              </w:rPr>
            </w:pPr>
            <w:r w:rsidRPr="00266302">
              <w:rPr>
                <w:rFonts w:cstheme="minorHAnsi"/>
                <w:sz w:val="24"/>
                <w:szCs w:val="24"/>
              </w:rPr>
              <w:t>Quarterly</w:t>
            </w:r>
          </w:p>
        </w:tc>
        <w:tc>
          <w:tcPr>
            <w:tcW w:w="2591" w:type="dxa"/>
            <w:shd w:val="clear" w:color="auto" w:fill="auto"/>
          </w:tcPr>
          <w:p w14:paraId="48392501" w14:textId="1913E3D3" w:rsidR="0056175D" w:rsidRPr="00266302" w:rsidRDefault="00266302" w:rsidP="0056175D">
            <w:pPr>
              <w:jc w:val="center"/>
              <w:rPr>
                <w:rFonts w:cstheme="minorHAnsi"/>
                <w:sz w:val="24"/>
                <w:szCs w:val="24"/>
              </w:rPr>
            </w:pPr>
            <w:r w:rsidRPr="00266302">
              <w:rPr>
                <w:rFonts w:cstheme="minorHAnsi"/>
                <w:sz w:val="24"/>
                <w:szCs w:val="24"/>
              </w:rPr>
              <w:t>2025</w:t>
            </w:r>
          </w:p>
        </w:tc>
        <w:tc>
          <w:tcPr>
            <w:tcW w:w="2591" w:type="dxa"/>
            <w:shd w:val="clear" w:color="auto" w:fill="auto"/>
          </w:tcPr>
          <w:p w14:paraId="534D6A88" w14:textId="625FFD20" w:rsidR="0056175D" w:rsidRPr="00266302" w:rsidRDefault="00266302" w:rsidP="0056175D">
            <w:pPr>
              <w:rPr>
                <w:rFonts w:cstheme="minorHAnsi"/>
                <w:sz w:val="24"/>
                <w:szCs w:val="24"/>
              </w:rPr>
            </w:pPr>
            <w:r w:rsidRPr="00266302">
              <w:rPr>
                <w:rFonts w:cstheme="minorHAnsi"/>
                <w:sz w:val="24"/>
                <w:szCs w:val="24"/>
              </w:rPr>
              <w:t xml:space="preserve">2024 – 2027 </w:t>
            </w:r>
          </w:p>
        </w:tc>
      </w:tr>
      <w:tr w:rsidR="00266302" w:rsidRPr="008473F7" w14:paraId="3DBFF10F" w14:textId="77777777" w:rsidTr="00C42AA3">
        <w:tc>
          <w:tcPr>
            <w:tcW w:w="2591" w:type="dxa"/>
          </w:tcPr>
          <w:p w14:paraId="5A95B47D" w14:textId="77777777" w:rsidR="00266302" w:rsidRDefault="00266302" w:rsidP="00266302">
            <w:pPr>
              <w:rPr>
                <w:rFonts w:cstheme="minorHAnsi"/>
                <w:sz w:val="24"/>
                <w:szCs w:val="24"/>
              </w:rPr>
            </w:pPr>
            <w:r w:rsidRPr="000E5B4F">
              <w:rPr>
                <w:rFonts w:cstheme="minorHAnsi"/>
                <w:sz w:val="24"/>
                <w:szCs w:val="24"/>
              </w:rPr>
              <w:t>Number of programs operating in dental programs or facilities serving communities that receive IPC resources or training promotion activities</w:t>
            </w:r>
          </w:p>
          <w:p w14:paraId="6E0CB00E" w14:textId="5BABDECE" w:rsidR="00266302" w:rsidRPr="000E5B4F" w:rsidRDefault="00266302" w:rsidP="00266302">
            <w:pPr>
              <w:rPr>
                <w:rFonts w:cstheme="minorHAnsi"/>
                <w:sz w:val="24"/>
                <w:szCs w:val="24"/>
              </w:rPr>
            </w:pPr>
          </w:p>
        </w:tc>
        <w:tc>
          <w:tcPr>
            <w:tcW w:w="2591" w:type="dxa"/>
          </w:tcPr>
          <w:p w14:paraId="7B0C8C85" w14:textId="77777777" w:rsidR="00266302" w:rsidRDefault="00266302" w:rsidP="00266302">
            <w:pPr>
              <w:rPr>
                <w:rFonts w:cstheme="minorHAnsi"/>
                <w:sz w:val="24"/>
                <w:szCs w:val="24"/>
              </w:rPr>
            </w:pPr>
            <w:r w:rsidRPr="000E5B4F">
              <w:rPr>
                <w:rFonts w:cstheme="minorHAnsi"/>
                <w:sz w:val="24"/>
                <w:szCs w:val="24"/>
              </w:rPr>
              <w:t>SOHP Program Data</w:t>
            </w:r>
          </w:p>
          <w:p w14:paraId="77CAEF0F" w14:textId="1C819BCA" w:rsidR="00266302" w:rsidRPr="008473F7" w:rsidRDefault="0027752A" w:rsidP="00266302">
            <w:pPr>
              <w:rPr>
                <w:rFonts w:cstheme="minorHAnsi"/>
                <w:sz w:val="24"/>
                <w:szCs w:val="24"/>
                <w:highlight w:val="red"/>
              </w:rPr>
            </w:pPr>
            <w:r>
              <w:rPr>
                <w:rFonts w:cstheme="minorHAnsi"/>
                <w:sz w:val="24"/>
                <w:szCs w:val="24"/>
              </w:rPr>
              <w:t>HAI</w:t>
            </w:r>
            <w:r w:rsidR="00266302">
              <w:rPr>
                <w:rFonts w:cstheme="minorHAnsi"/>
                <w:sz w:val="24"/>
                <w:szCs w:val="24"/>
              </w:rPr>
              <w:t xml:space="preserve"> Program data</w:t>
            </w:r>
          </w:p>
        </w:tc>
        <w:tc>
          <w:tcPr>
            <w:tcW w:w="2591" w:type="dxa"/>
          </w:tcPr>
          <w:p w14:paraId="4B566A44" w14:textId="77777777" w:rsidR="00266302" w:rsidRPr="00266302" w:rsidRDefault="00266302" w:rsidP="00266302">
            <w:pPr>
              <w:rPr>
                <w:rFonts w:cstheme="minorHAnsi"/>
                <w:sz w:val="24"/>
                <w:szCs w:val="24"/>
              </w:rPr>
            </w:pPr>
            <w:r w:rsidRPr="00266302">
              <w:rPr>
                <w:rFonts w:cstheme="minorHAnsi"/>
                <w:sz w:val="24"/>
                <w:szCs w:val="24"/>
              </w:rPr>
              <w:t>Quarterly</w:t>
            </w:r>
          </w:p>
          <w:p w14:paraId="3F421AE5" w14:textId="08A00C54" w:rsidR="00266302" w:rsidRPr="00266302" w:rsidRDefault="00266302" w:rsidP="00266302">
            <w:pPr>
              <w:rPr>
                <w:rFonts w:cstheme="minorHAnsi"/>
                <w:sz w:val="24"/>
                <w:szCs w:val="24"/>
              </w:rPr>
            </w:pPr>
            <w:r w:rsidRPr="00266302">
              <w:rPr>
                <w:rFonts w:cstheme="minorHAnsi"/>
                <w:sz w:val="24"/>
                <w:szCs w:val="24"/>
              </w:rPr>
              <w:t>Quarterly</w:t>
            </w:r>
          </w:p>
        </w:tc>
        <w:tc>
          <w:tcPr>
            <w:tcW w:w="2591" w:type="dxa"/>
            <w:shd w:val="clear" w:color="auto" w:fill="auto"/>
          </w:tcPr>
          <w:p w14:paraId="0BB9E626" w14:textId="77777777" w:rsidR="00266302" w:rsidRPr="00266302" w:rsidRDefault="00266302" w:rsidP="00266302">
            <w:pPr>
              <w:jc w:val="center"/>
              <w:rPr>
                <w:rFonts w:cstheme="minorHAnsi"/>
                <w:sz w:val="24"/>
                <w:szCs w:val="24"/>
              </w:rPr>
            </w:pPr>
            <w:r w:rsidRPr="00266302">
              <w:rPr>
                <w:rFonts w:cstheme="minorHAnsi"/>
                <w:sz w:val="24"/>
                <w:szCs w:val="24"/>
              </w:rPr>
              <w:t>2025</w:t>
            </w:r>
          </w:p>
          <w:p w14:paraId="660E9430" w14:textId="7B07CF81" w:rsidR="00266302" w:rsidRPr="00266302" w:rsidRDefault="00266302" w:rsidP="00266302">
            <w:pPr>
              <w:jc w:val="center"/>
              <w:rPr>
                <w:rFonts w:cstheme="minorHAnsi"/>
                <w:sz w:val="24"/>
                <w:szCs w:val="24"/>
              </w:rPr>
            </w:pPr>
            <w:r w:rsidRPr="00266302">
              <w:rPr>
                <w:rFonts w:cstheme="minorHAnsi"/>
                <w:sz w:val="24"/>
                <w:szCs w:val="24"/>
              </w:rPr>
              <w:t>2025</w:t>
            </w:r>
          </w:p>
        </w:tc>
        <w:tc>
          <w:tcPr>
            <w:tcW w:w="2591" w:type="dxa"/>
            <w:shd w:val="clear" w:color="auto" w:fill="auto"/>
          </w:tcPr>
          <w:p w14:paraId="123270FA" w14:textId="77777777" w:rsidR="00266302" w:rsidRPr="00266302" w:rsidRDefault="00266302" w:rsidP="00266302">
            <w:pPr>
              <w:rPr>
                <w:rFonts w:cstheme="minorHAnsi"/>
                <w:sz w:val="24"/>
                <w:szCs w:val="24"/>
              </w:rPr>
            </w:pPr>
            <w:r w:rsidRPr="00266302">
              <w:rPr>
                <w:rFonts w:cstheme="minorHAnsi"/>
                <w:sz w:val="24"/>
                <w:szCs w:val="24"/>
              </w:rPr>
              <w:t xml:space="preserve">2024 – 2027 </w:t>
            </w:r>
          </w:p>
          <w:p w14:paraId="3D987CDE" w14:textId="44BFAFEE" w:rsidR="00266302" w:rsidRPr="00266302" w:rsidRDefault="00266302" w:rsidP="00266302">
            <w:pPr>
              <w:rPr>
                <w:rFonts w:cstheme="minorHAnsi"/>
                <w:sz w:val="24"/>
                <w:szCs w:val="24"/>
              </w:rPr>
            </w:pPr>
            <w:r w:rsidRPr="00266302">
              <w:rPr>
                <w:rFonts w:cstheme="minorHAnsi"/>
                <w:sz w:val="24"/>
                <w:szCs w:val="24"/>
              </w:rPr>
              <w:t>2024 – 2027</w:t>
            </w:r>
          </w:p>
          <w:p w14:paraId="5857DCD6" w14:textId="1026E255" w:rsidR="00266302" w:rsidRPr="00266302" w:rsidRDefault="00266302" w:rsidP="00266302">
            <w:pPr>
              <w:rPr>
                <w:rFonts w:cstheme="minorHAnsi"/>
                <w:sz w:val="24"/>
                <w:szCs w:val="24"/>
              </w:rPr>
            </w:pPr>
          </w:p>
        </w:tc>
      </w:tr>
      <w:tr w:rsidR="00266302" w:rsidRPr="008473F7" w14:paraId="4160B8C6" w14:textId="77777777" w:rsidTr="00C42AA3">
        <w:tc>
          <w:tcPr>
            <w:tcW w:w="2591" w:type="dxa"/>
          </w:tcPr>
          <w:p w14:paraId="1B99AA32" w14:textId="77777777" w:rsidR="00266302" w:rsidRDefault="00266302" w:rsidP="00266302">
            <w:pPr>
              <w:rPr>
                <w:rFonts w:cstheme="minorHAnsi"/>
                <w:sz w:val="24"/>
                <w:szCs w:val="24"/>
              </w:rPr>
            </w:pPr>
            <w:r w:rsidRPr="000E5B4F">
              <w:rPr>
                <w:rFonts w:cstheme="minorHAnsi"/>
                <w:sz w:val="24"/>
                <w:szCs w:val="24"/>
              </w:rPr>
              <w:t xml:space="preserve">Proportion of sealant program staff serving EBPDS priority schools who have completed </w:t>
            </w:r>
            <w:r w:rsidRPr="0027752A">
              <w:rPr>
                <w:rFonts w:cstheme="minorHAnsi"/>
                <w:i/>
                <w:iCs/>
                <w:sz w:val="24"/>
                <w:szCs w:val="24"/>
              </w:rPr>
              <w:t>Foundations</w:t>
            </w:r>
            <w:r w:rsidRPr="000E5B4F">
              <w:rPr>
                <w:rFonts w:cstheme="minorHAnsi"/>
                <w:sz w:val="24"/>
                <w:szCs w:val="24"/>
              </w:rPr>
              <w:t xml:space="preserve"> training annually</w:t>
            </w:r>
          </w:p>
          <w:p w14:paraId="65066AF4" w14:textId="77777777" w:rsidR="00266302" w:rsidRDefault="00266302" w:rsidP="00266302">
            <w:pPr>
              <w:rPr>
                <w:rFonts w:cstheme="minorHAnsi"/>
                <w:sz w:val="24"/>
                <w:szCs w:val="24"/>
              </w:rPr>
            </w:pPr>
          </w:p>
          <w:p w14:paraId="45EF98D6" w14:textId="41C9232E" w:rsidR="00266302" w:rsidRPr="000E5B4F" w:rsidRDefault="00266302" w:rsidP="00266302">
            <w:pPr>
              <w:rPr>
                <w:rFonts w:cstheme="minorHAnsi"/>
                <w:sz w:val="24"/>
                <w:szCs w:val="24"/>
              </w:rPr>
            </w:pPr>
          </w:p>
        </w:tc>
        <w:tc>
          <w:tcPr>
            <w:tcW w:w="2591" w:type="dxa"/>
          </w:tcPr>
          <w:p w14:paraId="13C7327F" w14:textId="4A570993" w:rsidR="00266302" w:rsidRPr="008473F7" w:rsidRDefault="00266302" w:rsidP="00266302">
            <w:pPr>
              <w:rPr>
                <w:rFonts w:cstheme="minorHAnsi"/>
                <w:sz w:val="24"/>
                <w:szCs w:val="24"/>
                <w:highlight w:val="red"/>
              </w:rPr>
            </w:pPr>
            <w:r w:rsidRPr="000E5B4F">
              <w:rPr>
                <w:rFonts w:cstheme="minorHAnsi"/>
                <w:sz w:val="24"/>
                <w:szCs w:val="24"/>
              </w:rPr>
              <w:t>SOHP Program Data</w:t>
            </w:r>
            <w:r>
              <w:rPr>
                <w:rFonts w:cstheme="minorHAnsi"/>
                <w:sz w:val="24"/>
                <w:szCs w:val="24"/>
              </w:rPr>
              <w:t xml:space="preserve"> from Training Records</w:t>
            </w:r>
          </w:p>
        </w:tc>
        <w:tc>
          <w:tcPr>
            <w:tcW w:w="2591" w:type="dxa"/>
          </w:tcPr>
          <w:p w14:paraId="5BE8E310" w14:textId="669AC2A2" w:rsidR="00266302" w:rsidRPr="00266302" w:rsidRDefault="00266302" w:rsidP="00266302">
            <w:pPr>
              <w:rPr>
                <w:rFonts w:cstheme="minorHAnsi"/>
                <w:sz w:val="24"/>
                <w:szCs w:val="24"/>
              </w:rPr>
            </w:pPr>
            <w:r w:rsidRPr="00266302">
              <w:rPr>
                <w:rFonts w:cstheme="minorHAnsi"/>
                <w:sz w:val="24"/>
                <w:szCs w:val="24"/>
              </w:rPr>
              <w:t>Quarterly</w:t>
            </w:r>
          </w:p>
        </w:tc>
        <w:tc>
          <w:tcPr>
            <w:tcW w:w="2591" w:type="dxa"/>
            <w:shd w:val="clear" w:color="auto" w:fill="auto"/>
          </w:tcPr>
          <w:p w14:paraId="105BCE1B" w14:textId="60B08690" w:rsidR="00266302" w:rsidRPr="00266302" w:rsidRDefault="00266302" w:rsidP="00266302">
            <w:pPr>
              <w:jc w:val="center"/>
              <w:rPr>
                <w:rFonts w:cstheme="minorHAnsi"/>
                <w:sz w:val="24"/>
                <w:szCs w:val="24"/>
              </w:rPr>
            </w:pPr>
            <w:r w:rsidRPr="00266302">
              <w:rPr>
                <w:rFonts w:cstheme="minorHAnsi"/>
                <w:sz w:val="24"/>
                <w:szCs w:val="24"/>
              </w:rPr>
              <w:t>2025</w:t>
            </w:r>
          </w:p>
        </w:tc>
        <w:tc>
          <w:tcPr>
            <w:tcW w:w="2591" w:type="dxa"/>
            <w:shd w:val="clear" w:color="auto" w:fill="auto"/>
          </w:tcPr>
          <w:p w14:paraId="2CFEADDD" w14:textId="6F2721D8" w:rsidR="00266302" w:rsidRPr="00266302" w:rsidRDefault="00266302" w:rsidP="00266302">
            <w:pPr>
              <w:rPr>
                <w:rFonts w:cstheme="minorHAnsi"/>
                <w:sz w:val="24"/>
                <w:szCs w:val="24"/>
              </w:rPr>
            </w:pPr>
            <w:r w:rsidRPr="00266302">
              <w:rPr>
                <w:rFonts w:cstheme="minorHAnsi"/>
                <w:sz w:val="24"/>
                <w:szCs w:val="24"/>
              </w:rPr>
              <w:t xml:space="preserve">2024 – 2027 </w:t>
            </w:r>
          </w:p>
        </w:tc>
      </w:tr>
      <w:tr w:rsidR="00266302" w:rsidRPr="008473F7" w14:paraId="3D8E132F" w14:textId="77777777" w:rsidTr="000B2BE8">
        <w:tc>
          <w:tcPr>
            <w:tcW w:w="12955" w:type="dxa"/>
            <w:gridSpan w:val="5"/>
            <w:shd w:val="clear" w:color="auto" w:fill="D9D9D9" w:themeFill="background1" w:themeFillShade="D9"/>
          </w:tcPr>
          <w:p w14:paraId="55807ED2" w14:textId="5D8F9434" w:rsidR="00266302" w:rsidRPr="008473F7" w:rsidRDefault="00266302" w:rsidP="000B2BE8">
            <w:pPr>
              <w:rPr>
                <w:rFonts w:cstheme="minorHAnsi"/>
                <w:b/>
                <w:sz w:val="24"/>
                <w:szCs w:val="24"/>
                <w:highlight w:val="red"/>
              </w:rPr>
            </w:pPr>
            <w:r w:rsidRPr="000D7464">
              <w:rPr>
                <w:rFonts w:cstheme="minorHAnsi"/>
                <w:b/>
                <w:sz w:val="24"/>
                <w:szCs w:val="24"/>
              </w:rPr>
              <w:lastRenderedPageBreak/>
              <w:t>Core Indicators</w:t>
            </w:r>
            <w:r>
              <w:rPr>
                <w:rFonts w:cstheme="minorHAnsi"/>
                <w:b/>
                <w:sz w:val="24"/>
                <w:szCs w:val="24"/>
              </w:rPr>
              <w:t xml:space="preserve"> – SOHP Overarching Program Surveillance</w:t>
            </w:r>
          </w:p>
        </w:tc>
      </w:tr>
      <w:tr w:rsidR="00266302" w:rsidRPr="008473F7" w14:paraId="79730298" w14:textId="77777777" w:rsidTr="00C42AA3">
        <w:tc>
          <w:tcPr>
            <w:tcW w:w="2591" w:type="dxa"/>
          </w:tcPr>
          <w:p w14:paraId="6B00B2B0" w14:textId="77777777" w:rsidR="00266302" w:rsidRPr="00266302" w:rsidRDefault="00266302" w:rsidP="00266302">
            <w:pPr>
              <w:rPr>
                <w:rFonts w:cstheme="minorHAnsi"/>
                <w:sz w:val="24"/>
                <w:szCs w:val="24"/>
              </w:rPr>
            </w:pPr>
            <w:r w:rsidRPr="00266302">
              <w:rPr>
                <w:rFonts w:cstheme="minorHAnsi"/>
                <w:sz w:val="24"/>
                <w:szCs w:val="24"/>
              </w:rPr>
              <w:t>Prevalence of caries experience, untreated tooth decay, and dental sealants among 3</w:t>
            </w:r>
            <w:r w:rsidRPr="00266302">
              <w:rPr>
                <w:rFonts w:cstheme="minorHAnsi"/>
                <w:sz w:val="24"/>
                <w:szCs w:val="24"/>
                <w:vertAlign w:val="superscript"/>
              </w:rPr>
              <w:t>rd</w:t>
            </w:r>
            <w:r w:rsidRPr="00266302">
              <w:rPr>
                <w:rFonts w:cstheme="minorHAnsi"/>
                <w:sz w:val="24"/>
                <w:szCs w:val="24"/>
              </w:rPr>
              <w:t xml:space="preserve"> grade students </w:t>
            </w:r>
          </w:p>
        </w:tc>
        <w:tc>
          <w:tcPr>
            <w:tcW w:w="2591" w:type="dxa"/>
          </w:tcPr>
          <w:p w14:paraId="14D3F264" w14:textId="77777777" w:rsidR="00266302" w:rsidRPr="00266302" w:rsidRDefault="00266302" w:rsidP="00266302">
            <w:pPr>
              <w:rPr>
                <w:rFonts w:cstheme="minorHAnsi"/>
                <w:sz w:val="24"/>
                <w:szCs w:val="24"/>
              </w:rPr>
            </w:pPr>
            <w:r w:rsidRPr="00266302">
              <w:rPr>
                <w:rFonts w:cstheme="minorHAnsi"/>
                <w:sz w:val="24"/>
                <w:szCs w:val="24"/>
              </w:rPr>
              <w:t xml:space="preserve">Third-Grade BSS </w:t>
            </w:r>
          </w:p>
        </w:tc>
        <w:tc>
          <w:tcPr>
            <w:tcW w:w="2591" w:type="dxa"/>
          </w:tcPr>
          <w:p w14:paraId="2206A1E6" w14:textId="21CF585F" w:rsidR="00266302" w:rsidRPr="00266302" w:rsidRDefault="00266302" w:rsidP="00266302">
            <w:pPr>
              <w:rPr>
                <w:rFonts w:cstheme="minorHAnsi"/>
                <w:sz w:val="24"/>
                <w:szCs w:val="24"/>
              </w:rPr>
            </w:pPr>
            <w:r w:rsidRPr="00266302">
              <w:rPr>
                <w:rFonts w:cstheme="minorHAnsi"/>
                <w:sz w:val="24"/>
                <w:szCs w:val="24"/>
              </w:rPr>
              <w:t xml:space="preserve">Every 5 years </w:t>
            </w:r>
            <w:r>
              <w:rPr>
                <w:rFonts w:cstheme="minorHAnsi"/>
                <w:sz w:val="24"/>
                <w:szCs w:val="24"/>
              </w:rPr>
              <w:t>(Delayed)</w:t>
            </w:r>
          </w:p>
        </w:tc>
        <w:tc>
          <w:tcPr>
            <w:tcW w:w="2591" w:type="dxa"/>
            <w:shd w:val="clear" w:color="auto" w:fill="auto"/>
          </w:tcPr>
          <w:p w14:paraId="737DB78A" w14:textId="2697CD83" w:rsidR="00266302" w:rsidRPr="00266302" w:rsidRDefault="00266302" w:rsidP="00266302">
            <w:pPr>
              <w:jc w:val="center"/>
              <w:rPr>
                <w:rFonts w:cstheme="minorHAnsi"/>
                <w:sz w:val="24"/>
                <w:szCs w:val="24"/>
              </w:rPr>
            </w:pPr>
            <w:r>
              <w:rPr>
                <w:rFonts w:cstheme="minorHAnsi"/>
                <w:sz w:val="24"/>
                <w:szCs w:val="24"/>
              </w:rPr>
              <w:t>2015</w:t>
            </w:r>
          </w:p>
        </w:tc>
        <w:tc>
          <w:tcPr>
            <w:tcW w:w="2591" w:type="dxa"/>
            <w:shd w:val="clear" w:color="auto" w:fill="auto"/>
          </w:tcPr>
          <w:p w14:paraId="22A1E320" w14:textId="1BDE3649" w:rsidR="00266302" w:rsidRDefault="00266302" w:rsidP="00266302">
            <w:pPr>
              <w:rPr>
                <w:rFonts w:cstheme="minorHAnsi"/>
                <w:sz w:val="24"/>
                <w:szCs w:val="24"/>
              </w:rPr>
            </w:pPr>
            <w:r w:rsidRPr="00266302">
              <w:rPr>
                <w:rFonts w:cstheme="minorHAnsi"/>
                <w:sz w:val="24"/>
                <w:szCs w:val="24"/>
              </w:rPr>
              <w:t xml:space="preserve">2014 </w:t>
            </w:r>
            <w:r>
              <w:rPr>
                <w:rFonts w:cstheme="minorHAnsi"/>
                <w:sz w:val="24"/>
                <w:szCs w:val="24"/>
              </w:rPr>
              <w:t>–</w:t>
            </w:r>
            <w:r w:rsidRPr="00266302">
              <w:rPr>
                <w:rFonts w:cstheme="minorHAnsi"/>
                <w:sz w:val="24"/>
                <w:szCs w:val="24"/>
              </w:rPr>
              <w:t xml:space="preserve"> 202</w:t>
            </w:r>
            <w:r>
              <w:rPr>
                <w:rFonts w:cstheme="minorHAnsi"/>
                <w:sz w:val="24"/>
                <w:szCs w:val="24"/>
              </w:rPr>
              <w:t>5</w:t>
            </w:r>
          </w:p>
          <w:p w14:paraId="38F711CF" w14:textId="0BF32F44" w:rsidR="00266302" w:rsidRPr="00266302" w:rsidRDefault="00266302" w:rsidP="00266302">
            <w:pPr>
              <w:rPr>
                <w:rFonts w:cstheme="minorHAnsi"/>
                <w:sz w:val="24"/>
                <w:szCs w:val="24"/>
              </w:rPr>
            </w:pPr>
          </w:p>
        </w:tc>
      </w:tr>
      <w:tr w:rsidR="00266302" w:rsidRPr="008473F7" w14:paraId="26D2C1C3" w14:textId="77777777" w:rsidTr="00C42AA3">
        <w:tc>
          <w:tcPr>
            <w:tcW w:w="2591" w:type="dxa"/>
          </w:tcPr>
          <w:p w14:paraId="4C377D99" w14:textId="77777777" w:rsidR="00266302" w:rsidRPr="00266302" w:rsidRDefault="00266302" w:rsidP="00266302">
            <w:pPr>
              <w:rPr>
                <w:rFonts w:cstheme="minorHAnsi"/>
                <w:sz w:val="24"/>
                <w:szCs w:val="24"/>
              </w:rPr>
            </w:pPr>
            <w:r w:rsidRPr="00266302">
              <w:rPr>
                <w:rFonts w:cstheme="minorHAnsi"/>
                <w:sz w:val="24"/>
                <w:szCs w:val="24"/>
              </w:rPr>
              <w:t>Permanent tooth loss among adults</w:t>
            </w:r>
          </w:p>
        </w:tc>
        <w:tc>
          <w:tcPr>
            <w:tcW w:w="2591" w:type="dxa"/>
          </w:tcPr>
          <w:p w14:paraId="07DA4481" w14:textId="77777777" w:rsidR="00266302" w:rsidRPr="00266302" w:rsidRDefault="00266302" w:rsidP="00266302">
            <w:pPr>
              <w:rPr>
                <w:rFonts w:cstheme="minorHAnsi"/>
                <w:sz w:val="24"/>
                <w:szCs w:val="24"/>
              </w:rPr>
            </w:pPr>
            <w:r w:rsidRPr="00266302">
              <w:rPr>
                <w:rFonts w:cstheme="minorHAnsi"/>
                <w:sz w:val="24"/>
                <w:szCs w:val="24"/>
              </w:rPr>
              <w:t>BRFSS</w:t>
            </w:r>
          </w:p>
        </w:tc>
        <w:tc>
          <w:tcPr>
            <w:tcW w:w="2591" w:type="dxa"/>
          </w:tcPr>
          <w:p w14:paraId="5B82CE3F" w14:textId="3DB69799" w:rsidR="00266302" w:rsidRPr="00266302" w:rsidRDefault="00266302" w:rsidP="00266302">
            <w:pPr>
              <w:rPr>
                <w:rFonts w:cstheme="minorHAnsi"/>
                <w:sz w:val="24"/>
                <w:szCs w:val="24"/>
              </w:rPr>
            </w:pPr>
            <w:r>
              <w:rPr>
                <w:rFonts w:cstheme="minorHAnsi"/>
                <w:sz w:val="24"/>
                <w:szCs w:val="24"/>
              </w:rPr>
              <w:t>Annually</w:t>
            </w:r>
          </w:p>
        </w:tc>
        <w:tc>
          <w:tcPr>
            <w:tcW w:w="2591" w:type="dxa"/>
          </w:tcPr>
          <w:p w14:paraId="442F285E" w14:textId="1F20DB7F" w:rsidR="00266302" w:rsidRPr="00266302" w:rsidRDefault="00266302" w:rsidP="00266302">
            <w:pPr>
              <w:jc w:val="center"/>
              <w:rPr>
                <w:rFonts w:cstheme="minorHAnsi"/>
                <w:sz w:val="24"/>
                <w:szCs w:val="24"/>
              </w:rPr>
            </w:pPr>
            <w:r>
              <w:rPr>
                <w:rFonts w:cstheme="minorHAnsi"/>
                <w:sz w:val="24"/>
                <w:szCs w:val="24"/>
              </w:rPr>
              <w:t>2022</w:t>
            </w:r>
          </w:p>
        </w:tc>
        <w:tc>
          <w:tcPr>
            <w:tcW w:w="2591" w:type="dxa"/>
          </w:tcPr>
          <w:p w14:paraId="032DD206" w14:textId="7668A357" w:rsidR="00266302" w:rsidRDefault="00266302" w:rsidP="00266302">
            <w:pPr>
              <w:rPr>
                <w:rFonts w:cstheme="minorHAnsi"/>
                <w:sz w:val="24"/>
                <w:szCs w:val="24"/>
              </w:rPr>
            </w:pPr>
            <w:r>
              <w:rPr>
                <w:rFonts w:cstheme="minorHAnsi"/>
                <w:sz w:val="24"/>
                <w:szCs w:val="24"/>
              </w:rPr>
              <w:t>2022 – 2025</w:t>
            </w:r>
          </w:p>
          <w:p w14:paraId="602C840D" w14:textId="4F30E8A9" w:rsidR="00266302" w:rsidRPr="00266302" w:rsidRDefault="00266302" w:rsidP="00266302">
            <w:pPr>
              <w:rPr>
                <w:rFonts w:cstheme="minorHAnsi"/>
                <w:sz w:val="24"/>
                <w:szCs w:val="24"/>
              </w:rPr>
            </w:pPr>
          </w:p>
        </w:tc>
      </w:tr>
      <w:tr w:rsidR="00266302" w:rsidRPr="008473F7" w14:paraId="603AD353" w14:textId="77777777" w:rsidTr="00C42AA3">
        <w:tc>
          <w:tcPr>
            <w:tcW w:w="2591" w:type="dxa"/>
          </w:tcPr>
          <w:p w14:paraId="7E6023E9" w14:textId="77777777" w:rsidR="00266302" w:rsidRPr="00266302" w:rsidRDefault="00266302" w:rsidP="00266302">
            <w:pPr>
              <w:rPr>
                <w:rFonts w:cstheme="minorHAnsi"/>
                <w:sz w:val="24"/>
                <w:szCs w:val="24"/>
              </w:rPr>
            </w:pPr>
            <w:r w:rsidRPr="00266302">
              <w:rPr>
                <w:rFonts w:cstheme="minorHAnsi"/>
                <w:sz w:val="24"/>
                <w:szCs w:val="24"/>
              </w:rPr>
              <w:t xml:space="preserve">Oral and pharyngeal cancer incidence mortality </w:t>
            </w:r>
          </w:p>
        </w:tc>
        <w:tc>
          <w:tcPr>
            <w:tcW w:w="2591" w:type="dxa"/>
          </w:tcPr>
          <w:p w14:paraId="494EAC30" w14:textId="70CC75D9" w:rsidR="00266302" w:rsidRPr="00266302" w:rsidRDefault="00266302" w:rsidP="00266302">
            <w:pPr>
              <w:rPr>
                <w:rFonts w:cstheme="minorHAnsi"/>
                <w:sz w:val="24"/>
                <w:szCs w:val="24"/>
              </w:rPr>
            </w:pPr>
            <w:r>
              <w:rPr>
                <w:rFonts w:cstheme="minorHAnsi"/>
                <w:sz w:val="24"/>
                <w:szCs w:val="24"/>
              </w:rPr>
              <w:t xml:space="preserve">Virginia </w:t>
            </w:r>
            <w:r w:rsidRPr="00266302">
              <w:rPr>
                <w:rFonts w:cstheme="minorHAnsi"/>
                <w:sz w:val="24"/>
                <w:szCs w:val="24"/>
              </w:rPr>
              <w:t>Cancer Registr</w:t>
            </w:r>
            <w:r>
              <w:rPr>
                <w:rFonts w:cstheme="minorHAnsi"/>
                <w:sz w:val="24"/>
                <w:szCs w:val="24"/>
              </w:rPr>
              <w:t>y</w:t>
            </w:r>
          </w:p>
          <w:p w14:paraId="7A6C92B5" w14:textId="152A1098" w:rsidR="00266302" w:rsidRPr="00266302" w:rsidRDefault="00266302" w:rsidP="00266302">
            <w:pPr>
              <w:rPr>
                <w:rFonts w:cstheme="minorHAnsi"/>
                <w:sz w:val="24"/>
                <w:szCs w:val="24"/>
              </w:rPr>
            </w:pPr>
            <w:r w:rsidRPr="00266302">
              <w:rPr>
                <w:rFonts w:cstheme="minorHAnsi"/>
                <w:sz w:val="24"/>
                <w:szCs w:val="24"/>
              </w:rPr>
              <w:t>National Cancer Institute’s (NCI) End Results (SEER)</w:t>
            </w:r>
          </w:p>
          <w:p w14:paraId="324528FC" w14:textId="77777777" w:rsidR="00266302" w:rsidRPr="00266302" w:rsidRDefault="00266302" w:rsidP="00266302">
            <w:pPr>
              <w:rPr>
                <w:rFonts w:cstheme="minorHAnsi"/>
                <w:sz w:val="24"/>
                <w:szCs w:val="24"/>
              </w:rPr>
            </w:pPr>
            <w:r w:rsidRPr="00266302">
              <w:rPr>
                <w:rFonts w:cstheme="minorHAnsi"/>
                <w:sz w:val="24"/>
                <w:szCs w:val="24"/>
              </w:rPr>
              <w:t xml:space="preserve">Vital Statistics </w:t>
            </w:r>
          </w:p>
        </w:tc>
        <w:tc>
          <w:tcPr>
            <w:tcW w:w="2591" w:type="dxa"/>
          </w:tcPr>
          <w:p w14:paraId="5681C5E5" w14:textId="77777777" w:rsidR="00266302" w:rsidRDefault="00266302" w:rsidP="00266302">
            <w:pPr>
              <w:rPr>
                <w:rFonts w:cstheme="minorHAnsi"/>
                <w:sz w:val="24"/>
                <w:szCs w:val="24"/>
              </w:rPr>
            </w:pPr>
            <w:r w:rsidRPr="00266302">
              <w:rPr>
                <w:rFonts w:cstheme="minorHAnsi"/>
                <w:sz w:val="24"/>
                <w:szCs w:val="24"/>
              </w:rPr>
              <w:t>Annually</w:t>
            </w:r>
          </w:p>
          <w:p w14:paraId="0E494C71" w14:textId="77777777" w:rsidR="00266302" w:rsidRDefault="00266302" w:rsidP="00266302">
            <w:pPr>
              <w:rPr>
                <w:rFonts w:cstheme="minorHAnsi"/>
                <w:sz w:val="24"/>
                <w:szCs w:val="24"/>
              </w:rPr>
            </w:pPr>
            <w:r>
              <w:rPr>
                <w:rFonts w:cstheme="minorHAnsi"/>
                <w:sz w:val="24"/>
                <w:szCs w:val="24"/>
              </w:rPr>
              <w:t>Annually</w:t>
            </w:r>
          </w:p>
          <w:p w14:paraId="62ED1A79" w14:textId="77777777" w:rsidR="00266302" w:rsidRDefault="00266302" w:rsidP="00266302">
            <w:pPr>
              <w:rPr>
                <w:rFonts w:cstheme="minorHAnsi"/>
                <w:sz w:val="24"/>
                <w:szCs w:val="24"/>
              </w:rPr>
            </w:pPr>
          </w:p>
          <w:p w14:paraId="22420F82" w14:textId="484FF93C" w:rsidR="00266302" w:rsidRPr="00266302" w:rsidRDefault="00266302" w:rsidP="00266302">
            <w:pPr>
              <w:rPr>
                <w:rFonts w:cstheme="minorHAnsi"/>
                <w:sz w:val="24"/>
                <w:szCs w:val="24"/>
              </w:rPr>
            </w:pPr>
            <w:r>
              <w:rPr>
                <w:rFonts w:cstheme="minorHAnsi"/>
                <w:sz w:val="24"/>
                <w:szCs w:val="24"/>
              </w:rPr>
              <w:t>Annually</w:t>
            </w:r>
          </w:p>
        </w:tc>
        <w:tc>
          <w:tcPr>
            <w:tcW w:w="2591" w:type="dxa"/>
          </w:tcPr>
          <w:p w14:paraId="4813E118" w14:textId="77777777" w:rsidR="00266302" w:rsidRDefault="00266302" w:rsidP="00266302">
            <w:pPr>
              <w:jc w:val="center"/>
              <w:rPr>
                <w:rFonts w:cstheme="minorHAnsi"/>
                <w:sz w:val="24"/>
                <w:szCs w:val="24"/>
              </w:rPr>
            </w:pPr>
            <w:r>
              <w:rPr>
                <w:rFonts w:cstheme="minorHAnsi"/>
                <w:sz w:val="24"/>
                <w:szCs w:val="24"/>
              </w:rPr>
              <w:t>2022</w:t>
            </w:r>
          </w:p>
          <w:p w14:paraId="2F395778" w14:textId="6AEE6782" w:rsidR="00266302" w:rsidRDefault="00266302" w:rsidP="00266302">
            <w:pPr>
              <w:jc w:val="center"/>
              <w:rPr>
                <w:rFonts w:cstheme="minorHAnsi"/>
                <w:sz w:val="24"/>
                <w:szCs w:val="24"/>
              </w:rPr>
            </w:pPr>
            <w:r>
              <w:rPr>
                <w:rFonts w:cstheme="minorHAnsi"/>
                <w:sz w:val="24"/>
                <w:szCs w:val="24"/>
              </w:rPr>
              <w:t>2023</w:t>
            </w:r>
          </w:p>
          <w:p w14:paraId="5A043172" w14:textId="77777777" w:rsidR="00266302" w:rsidRDefault="00266302" w:rsidP="00266302">
            <w:pPr>
              <w:jc w:val="center"/>
              <w:rPr>
                <w:rFonts w:cstheme="minorHAnsi"/>
                <w:sz w:val="24"/>
                <w:szCs w:val="24"/>
              </w:rPr>
            </w:pPr>
          </w:p>
          <w:p w14:paraId="5B59BE66" w14:textId="5AD5617F" w:rsidR="00266302" w:rsidRPr="00266302" w:rsidRDefault="00266302" w:rsidP="00266302">
            <w:pPr>
              <w:jc w:val="center"/>
              <w:rPr>
                <w:rFonts w:cstheme="minorHAnsi"/>
                <w:sz w:val="24"/>
                <w:szCs w:val="24"/>
              </w:rPr>
            </w:pPr>
            <w:r>
              <w:rPr>
                <w:rFonts w:cstheme="minorHAnsi"/>
                <w:sz w:val="24"/>
                <w:szCs w:val="24"/>
              </w:rPr>
              <w:t>2023</w:t>
            </w:r>
          </w:p>
        </w:tc>
        <w:tc>
          <w:tcPr>
            <w:tcW w:w="2591" w:type="dxa"/>
          </w:tcPr>
          <w:p w14:paraId="3C01ABDC" w14:textId="32D6B7DF" w:rsidR="00266302" w:rsidRDefault="00266302" w:rsidP="00266302">
            <w:pPr>
              <w:rPr>
                <w:rFonts w:cstheme="minorHAnsi"/>
                <w:sz w:val="24"/>
                <w:szCs w:val="24"/>
              </w:rPr>
            </w:pPr>
            <w:r>
              <w:rPr>
                <w:rFonts w:cstheme="minorHAnsi"/>
                <w:sz w:val="24"/>
                <w:szCs w:val="24"/>
              </w:rPr>
              <w:t>2022 – 2025</w:t>
            </w:r>
          </w:p>
          <w:p w14:paraId="13BA1183" w14:textId="114EB803" w:rsidR="00266302" w:rsidRDefault="00266302" w:rsidP="00266302">
            <w:pPr>
              <w:rPr>
                <w:rFonts w:cstheme="minorHAnsi"/>
                <w:sz w:val="24"/>
                <w:szCs w:val="24"/>
              </w:rPr>
            </w:pPr>
            <w:r>
              <w:rPr>
                <w:rFonts w:cstheme="minorHAnsi"/>
                <w:sz w:val="24"/>
                <w:szCs w:val="24"/>
              </w:rPr>
              <w:t>2022 – 2025</w:t>
            </w:r>
          </w:p>
          <w:p w14:paraId="00AE4730" w14:textId="77777777" w:rsidR="00266302" w:rsidRDefault="00266302" w:rsidP="00266302">
            <w:pPr>
              <w:rPr>
                <w:rFonts w:cstheme="minorHAnsi"/>
                <w:sz w:val="24"/>
                <w:szCs w:val="24"/>
              </w:rPr>
            </w:pPr>
          </w:p>
          <w:p w14:paraId="2D9E7AF7" w14:textId="7A4F4069" w:rsidR="00266302" w:rsidRDefault="00266302" w:rsidP="00266302">
            <w:pPr>
              <w:rPr>
                <w:rFonts w:cstheme="minorHAnsi"/>
                <w:sz w:val="24"/>
                <w:szCs w:val="24"/>
              </w:rPr>
            </w:pPr>
            <w:r>
              <w:rPr>
                <w:rFonts w:cstheme="minorHAnsi"/>
                <w:sz w:val="24"/>
                <w:szCs w:val="24"/>
              </w:rPr>
              <w:t>2023 – 2026</w:t>
            </w:r>
          </w:p>
          <w:p w14:paraId="1CEA3688" w14:textId="117C2BDC" w:rsidR="00266302" w:rsidRPr="00266302" w:rsidRDefault="00266302" w:rsidP="00266302">
            <w:pPr>
              <w:rPr>
                <w:rFonts w:cstheme="minorHAnsi"/>
                <w:sz w:val="24"/>
                <w:szCs w:val="24"/>
              </w:rPr>
            </w:pPr>
          </w:p>
        </w:tc>
      </w:tr>
      <w:tr w:rsidR="00266302" w:rsidRPr="008473F7" w14:paraId="78692332" w14:textId="77777777" w:rsidTr="00C42AA3">
        <w:tc>
          <w:tcPr>
            <w:tcW w:w="2591" w:type="dxa"/>
          </w:tcPr>
          <w:p w14:paraId="4BCA01C6" w14:textId="63164150" w:rsidR="00266302" w:rsidRPr="00266302" w:rsidRDefault="00266302" w:rsidP="00266302">
            <w:pPr>
              <w:rPr>
                <w:rFonts w:cstheme="minorHAnsi"/>
                <w:sz w:val="24"/>
                <w:szCs w:val="24"/>
              </w:rPr>
            </w:pPr>
            <w:r w:rsidRPr="00266302">
              <w:rPr>
                <w:rFonts w:cstheme="minorHAnsi"/>
                <w:sz w:val="24"/>
                <w:szCs w:val="24"/>
              </w:rPr>
              <w:t>Percent of Medicaid and CHIP enrolled children who received dental services in the past year</w:t>
            </w:r>
          </w:p>
        </w:tc>
        <w:tc>
          <w:tcPr>
            <w:tcW w:w="2591" w:type="dxa"/>
          </w:tcPr>
          <w:p w14:paraId="1FB2F4FB" w14:textId="44D6C7BF" w:rsidR="00266302" w:rsidRPr="00266302" w:rsidRDefault="00266302" w:rsidP="00266302">
            <w:pPr>
              <w:rPr>
                <w:rFonts w:cstheme="minorHAnsi"/>
                <w:sz w:val="24"/>
                <w:szCs w:val="24"/>
              </w:rPr>
            </w:pPr>
            <w:r w:rsidRPr="00266302">
              <w:rPr>
                <w:rFonts w:cstheme="minorHAnsi"/>
                <w:sz w:val="24"/>
                <w:szCs w:val="24"/>
              </w:rPr>
              <w:t>Centers for Medicare &amp; Medicaid Services CMS-416 Form</w:t>
            </w:r>
          </w:p>
        </w:tc>
        <w:tc>
          <w:tcPr>
            <w:tcW w:w="2591" w:type="dxa"/>
          </w:tcPr>
          <w:p w14:paraId="2F6CF1D0" w14:textId="77777777" w:rsidR="00266302" w:rsidRPr="00266302" w:rsidRDefault="00266302" w:rsidP="00266302">
            <w:pPr>
              <w:rPr>
                <w:rFonts w:cstheme="minorHAnsi"/>
                <w:sz w:val="24"/>
                <w:szCs w:val="24"/>
              </w:rPr>
            </w:pPr>
            <w:r w:rsidRPr="00266302">
              <w:rPr>
                <w:rFonts w:cstheme="minorHAnsi"/>
                <w:sz w:val="24"/>
                <w:szCs w:val="24"/>
              </w:rPr>
              <w:t xml:space="preserve">Annually </w:t>
            </w:r>
          </w:p>
        </w:tc>
        <w:tc>
          <w:tcPr>
            <w:tcW w:w="2591" w:type="dxa"/>
          </w:tcPr>
          <w:p w14:paraId="01858DFC" w14:textId="57E68AF6" w:rsidR="00266302" w:rsidRPr="00266302" w:rsidRDefault="00266302" w:rsidP="00266302">
            <w:pPr>
              <w:jc w:val="center"/>
              <w:rPr>
                <w:rFonts w:cstheme="minorHAnsi"/>
                <w:sz w:val="24"/>
                <w:szCs w:val="24"/>
              </w:rPr>
            </w:pPr>
            <w:r>
              <w:rPr>
                <w:rFonts w:cstheme="minorHAnsi"/>
                <w:sz w:val="24"/>
                <w:szCs w:val="24"/>
              </w:rPr>
              <w:t>2024</w:t>
            </w:r>
          </w:p>
        </w:tc>
        <w:tc>
          <w:tcPr>
            <w:tcW w:w="2591" w:type="dxa"/>
          </w:tcPr>
          <w:p w14:paraId="7BA4B2B7" w14:textId="77777777" w:rsidR="00266302" w:rsidRPr="00266302" w:rsidRDefault="00266302" w:rsidP="00266302">
            <w:pPr>
              <w:jc w:val="center"/>
              <w:rPr>
                <w:rFonts w:cstheme="minorHAnsi"/>
                <w:sz w:val="24"/>
                <w:szCs w:val="24"/>
              </w:rPr>
            </w:pPr>
            <w:r w:rsidRPr="00266302">
              <w:rPr>
                <w:rFonts w:cstheme="minorHAnsi"/>
                <w:sz w:val="24"/>
                <w:szCs w:val="24"/>
              </w:rPr>
              <w:t>2019</w:t>
            </w:r>
          </w:p>
        </w:tc>
      </w:tr>
      <w:tr w:rsidR="00266302" w:rsidRPr="008473F7" w14:paraId="6F6A304A" w14:textId="77777777" w:rsidTr="00704351">
        <w:trPr>
          <w:trHeight w:val="1223"/>
        </w:trPr>
        <w:tc>
          <w:tcPr>
            <w:tcW w:w="2591" w:type="dxa"/>
          </w:tcPr>
          <w:p w14:paraId="74781F2F" w14:textId="5952B4B3" w:rsidR="00704351" w:rsidRPr="00704351" w:rsidRDefault="00266302" w:rsidP="00704351">
            <w:pPr>
              <w:spacing w:after="0"/>
              <w:rPr>
                <w:rFonts w:cstheme="minorHAnsi"/>
                <w:sz w:val="24"/>
                <w:szCs w:val="24"/>
              </w:rPr>
            </w:pPr>
            <w:r w:rsidRPr="00704351">
              <w:rPr>
                <w:rFonts w:cstheme="minorHAnsi"/>
                <w:sz w:val="24"/>
                <w:szCs w:val="24"/>
              </w:rPr>
              <w:lastRenderedPageBreak/>
              <w:t>Percent of children who had a dental visit or preventative dental visit in the past year</w:t>
            </w:r>
          </w:p>
        </w:tc>
        <w:tc>
          <w:tcPr>
            <w:tcW w:w="2591" w:type="dxa"/>
          </w:tcPr>
          <w:p w14:paraId="3F514F2D" w14:textId="77777777" w:rsidR="00266302" w:rsidRPr="00704351" w:rsidRDefault="00266302" w:rsidP="00704351">
            <w:pPr>
              <w:spacing w:after="0"/>
              <w:rPr>
                <w:rFonts w:cstheme="minorHAnsi"/>
                <w:sz w:val="24"/>
                <w:szCs w:val="24"/>
              </w:rPr>
            </w:pPr>
            <w:r w:rsidRPr="00704351">
              <w:rPr>
                <w:rFonts w:cstheme="minorHAnsi"/>
                <w:sz w:val="24"/>
                <w:szCs w:val="24"/>
              </w:rPr>
              <w:t>National Survey of Children’s Health (NSCH)</w:t>
            </w:r>
          </w:p>
        </w:tc>
        <w:tc>
          <w:tcPr>
            <w:tcW w:w="2591" w:type="dxa"/>
          </w:tcPr>
          <w:p w14:paraId="2D5749FD" w14:textId="77777777" w:rsidR="00266302" w:rsidRPr="00704351" w:rsidRDefault="00266302" w:rsidP="00704351">
            <w:pPr>
              <w:spacing w:after="0"/>
              <w:rPr>
                <w:rFonts w:cstheme="minorHAnsi"/>
                <w:sz w:val="24"/>
                <w:szCs w:val="24"/>
              </w:rPr>
            </w:pPr>
            <w:r w:rsidRPr="00704351">
              <w:rPr>
                <w:rFonts w:cstheme="minorHAnsi"/>
                <w:sz w:val="24"/>
                <w:szCs w:val="24"/>
              </w:rPr>
              <w:t>Every 2–4 years</w:t>
            </w:r>
          </w:p>
        </w:tc>
        <w:tc>
          <w:tcPr>
            <w:tcW w:w="2591" w:type="dxa"/>
          </w:tcPr>
          <w:p w14:paraId="08BE442F" w14:textId="2D83C88B" w:rsidR="00266302" w:rsidRPr="00704351" w:rsidRDefault="00704351" w:rsidP="00704351">
            <w:pPr>
              <w:spacing w:after="0"/>
              <w:jc w:val="center"/>
              <w:rPr>
                <w:rFonts w:cstheme="minorHAnsi"/>
                <w:sz w:val="24"/>
                <w:szCs w:val="24"/>
              </w:rPr>
            </w:pPr>
            <w:r>
              <w:rPr>
                <w:rFonts w:cstheme="minorHAnsi"/>
                <w:sz w:val="24"/>
                <w:szCs w:val="24"/>
              </w:rPr>
              <w:t>2023</w:t>
            </w:r>
          </w:p>
        </w:tc>
        <w:tc>
          <w:tcPr>
            <w:tcW w:w="2591" w:type="dxa"/>
          </w:tcPr>
          <w:p w14:paraId="4974AFF9" w14:textId="2C948F69" w:rsidR="00266302" w:rsidRDefault="00704351" w:rsidP="00704351">
            <w:pPr>
              <w:spacing w:after="0"/>
              <w:jc w:val="center"/>
              <w:rPr>
                <w:rFonts w:cstheme="minorHAnsi"/>
                <w:sz w:val="24"/>
                <w:szCs w:val="24"/>
              </w:rPr>
            </w:pPr>
            <w:r>
              <w:rPr>
                <w:rFonts w:cstheme="minorHAnsi"/>
                <w:sz w:val="24"/>
                <w:szCs w:val="24"/>
              </w:rPr>
              <w:t>2023 – 2025</w:t>
            </w:r>
          </w:p>
          <w:p w14:paraId="29497B82" w14:textId="77777777" w:rsidR="00704351" w:rsidRDefault="00704351" w:rsidP="00704351">
            <w:pPr>
              <w:spacing w:after="0"/>
              <w:jc w:val="center"/>
              <w:rPr>
                <w:rFonts w:cstheme="minorHAnsi"/>
                <w:sz w:val="24"/>
                <w:szCs w:val="24"/>
              </w:rPr>
            </w:pPr>
          </w:p>
          <w:p w14:paraId="064A6751" w14:textId="61F810DC" w:rsidR="00704351" w:rsidRPr="00704351" w:rsidRDefault="00704351" w:rsidP="00704351">
            <w:pPr>
              <w:spacing w:after="0"/>
              <w:jc w:val="center"/>
              <w:rPr>
                <w:rFonts w:cstheme="minorHAnsi"/>
                <w:sz w:val="24"/>
                <w:szCs w:val="24"/>
              </w:rPr>
            </w:pPr>
          </w:p>
        </w:tc>
      </w:tr>
      <w:tr w:rsidR="00266302" w:rsidRPr="008473F7" w14:paraId="3E569AE0" w14:textId="77777777" w:rsidTr="00C42AA3">
        <w:tc>
          <w:tcPr>
            <w:tcW w:w="2591" w:type="dxa"/>
          </w:tcPr>
          <w:p w14:paraId="57CB8AFB" w14:textId="5DD31D78" w:rsidR="00704351" w:rsidRPr="00704351" w:rsidRDefault="00266302" w:rsidP="00704351">
            <w:pPr>
              <w:spacing w:after="0"/>
              <w:rPr>
                <w:rFonts w:cstheme="minorHAnsi"/>
                <w:sz w:val="24"/>
                <w:szCs w:val="24"/>
              </w:rPr>
            </w:pPr>
            <w:bookmarkStart w:id="21" w:name="_Hlk197334822"/>
            <w:r w:rsidRPr="00704351">
              <w:rPr>
                <w:rFonts w:cstheme="minorHAnsi"/>
                <w:sz w:val="24"/>
                <w:szCs w:val="24"/>
              </w:rPr>
              <w:t>Percent of adults who had a dental visit in the past year</w:t>
            </w:r>
          </w:p>
        </w:tc>
        <w:tc>
          <w:tcPr>
            <w:tcW w:w="2591" w:type="dxa"/>
          </w:tcPr>
          <w:p w14:paraId="369FA204" w14:textId="77777777" w:rsidR="00266302" w:rsidRPr="00704351" w:rsidRDefault="00266302" w:rsidP="00704351">
            <w:pPr>
              <w:spacing w:after="0"/>
              <w:rPr>
                <w:rFonts w:cstheme="minorHAnsi"/>
                <w:sz w:val="24"/>
                <w:szCs w:val="24"/>
              </w:rPr>
            </w:pPr>
            <w:r w:rsidRPr="00704351">
              <w:rPr>
                <w:rFonts w:cstheme="minorHAnsi"/>
                <w:sz w:val="24"/>
                <w:szCs w:val="24"/>
              </w:rPr>
              <w:t>BRFSS</w:t>
            </w:r>
          </w:p>
        </w:tc>
        <w:tc>
          <w:tcPr>
            <w:tcW w:w="2591" w:type="dxa"/>
          </w:tcPr>
          <w:p w14:paraId="25173D56" w14:textId="3F69430A" w:rsidR="00266302" w:rsidRPr="00704351" w:rsidRDefault="00704351" w:rsidP="00704351">
            <w:pPr>
              <w:spacing w:after="0"/>
              <w:rPr>
                <w:rFonts w:cstheme="minorHAnsi"/>
                <w:sz w:val="24"/>
                <w:szCs w:val="24"/>
              </w:rPr>
            </w:pPr>
            <w:r>
              <w:rPr>
                <w:rFonts w:cstheme="minorHAnsi"/>
                <w:sz w:val="24"/>
                <w:szCs w:val="24"/>
              </w:rPr>
              <w:t>Annually</w:t>
            </w:r>
          </w:p>
        </w:tc>
        <w:tc>
          <w:tcPr>
            <w:tcW w:w="2591" w:type="dxa"/>
          </w:tcPr>
          <w:p w14:paraId="0798C378" w14:textId="4E8071AB" w:rsidR="00266302" w:rsidRPr="00704351" w:rsidRDefault="00704351" w:rsidP="00704351">
            <w:pPr>
              <w:spacing w:after="0"/>
              <w:jc w:val="center"/>
              <w:rPr>
                <w:rFonts w:cstheme="minorHAnsi"/>
                <w:sz w:val="24"/>
                <w:szCs w:val="24"/>
              </w:rPr>
            </w:pPr>
            <w:r>
              <w:rPr>
                <w:rFonts w:cstheme="minorHAnsi"/>
                <w:sz w:val="24"/>
                <w:szCs w:val="24"/>
              </w:rPr>
              <w:t>2022</w:t>
            </w:r>
          </w:p>
        </w:tc>
        <w:tc>
          <w:tcPr>
            <w:tcW w:w="2591" w:type="dxa"/>
          </w:tcPr>
          <w:p w14:paraId="7D4D8B92" w14:textId="7844B7E3" w:rsidR="00266302" w:rsidRDefault="00704351" w:rsidP="00704351">
            <w:pPr>
              <w:spacing w:after="0"/>
              <w:jc w:val="center"/>
              <w:rPr>
                <w:rFonts w:cstheme="minorHAnsi"/>
                <w:sz w:val="24"/>
                <w:szCs w:val="24"/>
              </w:rPr>
            </w:pPr>
            <w:r>
              <w:rPr>
                <w:rFonts w:cstheme="minorHAnsi"/>
                <w:sz w:val="24"/>
                <w:szCs w:val="24"/>
              </w:rPr>
              <w:t>2022 – 2025</w:t>
            </w:r>
          </w:p>
          <w:p w14:paraId="0A8F810E" w14:textId="2F9D59D1" w:rsidR="00704351" w:rsidRPr="00704351" w:rsidRDefault="00704351" w:rsidP="00704351">
            <w:pPr>
              <w:spacing w:after="0"/>
              <w:jc w:val="center"/>
              <w:rPr>
                <w:rFonts w:cstheme="minorHAnsi"/>
                <w:sz w:val="24"/>
                <w:szCs w:val="24"/>
              </w:rPr>
            </w:pPr>
          </w:p>
        </w:tc>
      </w:tr>
      <w:bookmarkEnd w:id="21"/>
      <w:tr w:rsidR="00704351" w:rsidRPr="008473F7" w14:paraId="4B5261D8" w14:textId="77777777" w:rsidTr="00C42AA3">
        <w:tc>
          <w:tcPr>
            <w:tcW w:w="2591" w:type="dxa"/>
          </w:tcPr>
          <w:p w14:paraId="1B806456" w14:textId="77777777" w:rsidR="00704351" w:rsidRPr="00704351" w:rsidRDefault="00704351" w:rsidP="00704351">
            <w:pPr>
              <w:rPr>
                <w:rFonts w:cstheme="minorHAnsi"/>
                <w:sz w:val="24"/>
                <w:szCs w:val="24"/>
              </w:rPr>
            </w:pPr>
            <w:r w:rsidRPr="00704351">
              <w:rPr>
                <w:rFonts w:cstheme="minorHAnsi"/>
                <w:sz w:val="24"/>
                <w:szCs w:val="24"/>
              </w:rPr>
              <w:t>Percent of adults with a selected chronic disease(s) or risk factor(s) who had a dental visit in the past year</w:t>
            </w:r>
          </w:p>
        </w:tc>
        <w:tc>
          <w:tcPr>
            <w:tcW w:w="2591" w:type="dxa"/>
          </w:tcPr>
          <w:p w14:paraId="2795EC5E" w14:textId="77777777" w:rsidR="00704351" w:rsidRPr="00704351" w:rsidRDefault="00704351" w:rsidP="00704351">
            <w:pPr>
              <w:rPr>
                <w:rFonts w:cstheme="minorHAnsi"/>
                <w:sz w:val="24"/>
                <w:szCs w:val="24"/>
              </w:rPr>
            </w:pPr>
            <w:r w:rsidRPr="00704351">
              <w:rPr>
                <w:rFonts w:cstheme="minorHAnsi"/>
                <w:sz w:val="24"/>
                <w:szCs w:val="24"/>
              </w:rPr>
              <w:t xml:space="preserve">BRFSS </w:t>
            </w:r>
          </w:p>
          <w:p w14:paraId="4A28C8F0" w14:textId="102127A4" w:rsidR="00704351" w:rsidRPr="00704351" w:rsidRDefault="00704351" w:rsidP="00704351">
            <w:pPr>
              <w:rPr>
                <w:rFonts w:cstheme="minorHAnsi"/>
                <w:sz w:val="24"/>
                <w:szCs w:val="24"/>
              </w:rPr>
            </w:pPr>
            <w:r w:rsidRPr="00704351">
              <w:rPr>
                <w:rFonts w:cstheme="minorHAnsi"/>
                <w:sz w:val="24"/>
                <w:szCs w:val="24"/>
              </w:rPr>
              <w:t xml:space="preserve">Note: Percent of adults with diabetes with a dental visit is a Chronic Disease Indicator (CDI) and posted on </w:t>
            </w:r>
            <w:r w:rsidRPr="00EB0A4C">
              <w:rPr>
                <w:rFonts w:cstheme="minorHAnsi"/>
                <w:sz w:val="24"/>
                <w:szCs w:val="24"/>
              </w:rPr>
              <w:t>CDI website</w:t>
            </w:r>
            <w:r w:rsidRPr="00704351">
              <w:rPr>
                <w:rFonts w:cstheme="minorHAnsi"/>
                <w:sz w:val="24"/>
                <w:szCs w:val="24"/>
              </w:rPr>
              <w:t xml:space="preserve"> every 2 years. </w:t>
            </w:r>
          </w:p>
          <w:p w14:paraId="47FB7909" w14:textId="3A14D18E" w:rsidR="00704351" w:rsidRPr="00704351" w:rsidRDefault="00704351" w:rsidP="00704351">
            <w:pPr>
              <w:rPr>
                <w:rFonts w:cstheme="minorHAnsi"/>
                <w:sz w:val="24"/>
                <w:szCs w:val="24"/>
              </w:rPr>
            </w:pPr>
            <w:r w:rsidRPr="00704351">
              <w:rPr>
                <w:rFonts w:cstheme="minorHAnsi"/>
                <w:sz w:val="24"/>
                <w:szCs w:val="24"/>
              </w:rPr>
              <w:t xml:space="preserve">Percent of adults with other conditions with a dental visit can be calculated by using the BRFSS dataset. </w:t>
            </w:r>
          </w:p>
        </w:tc>
        <w:tc>
          <w:tcPr>
            <w:tcW w:w="2591" w:type="dxa"/>
          </w:tcPr>
          <w:p w14:paraId="155F214B" w14:textId="028AA907" w:rsidR="00704351" w:rsidRPr="00704351" w:rsidRDefault="00704351" w:rsidP="00704351">
            <w:pPr>
              <w:rPr>
                <w:rFonts w:cstheme="minorHAnsi"/>
                <w:sz w:val="24"/>
                <w:szCs w:val="24"/>
              </w:rPr>
            </w:pPr>
            <w:r>
              <w:rPr>
                <w:rFonts w:cstheme="minorHAnsi"/>
                <w:sz w:val="24"/>
                <w:szCs w:val="24"/>
              </w:rPr>
              <w:t>Annually</w:t>
            </w:r>
          </w:p>
        </w:tc>
        <w:tc>
          <w:tcPr>
            <w:tcW w:w="2591" w:type="dxa"/>
          </w:tcPr>
          <w:p w14:paraId="7D8CF79C" w14:textId="70B9B0C2" w:rsidR="00704351" w:rsidRPr="00704351" w:rsidRDefault="00704351" w:rsidP="00704351">
            <w:pPr>
              <w:jc w:val="center"/>
              <w:rPr>
                <w:rFonts w:cstheme="minorHAnsi"/>
                <w:sz w:val="24"/>
                <w:szCs w:val="24"/>
              </w:rPr>
            </w:pPr>
            <w:r>
              <w:rPr>
                <w:rFonts w:cstheme="minorHAnsi"/>
                <w:sz w:val="24"/>
                <w:szCs w:val="24"/>
              </w:rPr>
              <w:t>2022</w:t>
            </w:r>
          </w:p>
        </w:tc>
        <w:tc>
          <w:tcPr>
            <w:tcW w:w="2591" w:type="dxa"/>
          </w:tcPr>
          <w:p w14:paraId="1DECB07C" w14:textId="77777777" w:rsidR="00704351" w:rsidRDefault="00704351" w:rsidP="00704351">
            <w:pPr>
              <w:jc w:val="center"/>
              <w:rPr>
                <w:rFonts w:cstheme="minorHAnsi"/>
                <w:sz w:val="24"/>
                <w:szCs w:val="24"/>
              </w:rPr>
            </w:pPr>
            <w:r>
              <w:rPr>
                <w:rFonts w:cstheme="minorHAnsi"/>
                <w:sz w:val="24"/>
                <w:szCs w:val="24"/>
              </w:rPr>
              <w:t>2022 – 2025</w:t>
            </w:r>
          </w:p>
          <w:p w14:paraId="240412CF" w14:textId="1EBEEF3D" w:rsidR="00704351" w:rsidRPr="00704351" w:rsidRDefault="00704351" w:rsidP="00704351">
            <w:pPr>
              <w:jc w:val="center"/>
              <w:rPr>
                <w:rFonts w:cstheme="minorHAnsi"/>
                <w:sz w:val="24"/>
                <w:szCs w:val="24"/>
              </w:rPr>
            </w:pPr>
          </w:p>
        </w:tc>
      </w:tr>
      <w:tr w:rsidR="00266302" w:rsidRPr="008473F7" w14:paraId="009F4740" w14:textId="77777777" w:rsidTr="00C42AA3">
        <w:tc>
          <w:tcPr>
            <w:tcW w:w="2591" w:type="dxa"/>
          </w:tcPr>
          <w:p w14:paraId="5D82727F" w14:textId="77777777" w:rsidR="00266302" w:rsidRPr="00704351" w:rsidRDefault="00266302" w:rsidP="00266302">
            <w:pPr>
              <w:rPr>
                <w:rFonts w:cstheme="minorHAnsi"/>
                <w:sz w:val="24"/>
                <w:szCs w:val="24"/>
              </w:rPr>
            </w:pPr>
            <w:r w:rsidRPr="00704351">
              <w:rPr>
                <w:rFonts w:cstheme="minorHAnsi"/>
                <w:sz w:val="24"/>
                <w:szCs w:val="24"/>
              </w:rPr>
              <w:t xml:space="preserve">Data on state oral health programs, workforce, and infrastructure </w:t>
            </w:r>
          </w:p>
        </w:tc>
        <w:tc>
          <w:tcPr>
            <w:tcW w:w="2591" w:type="dxa"/>
          </w:tcPr>
          <w:p w14:paraId="706F6752" w14:textId="77777777" w:rsidR="00266302" w:rsidRPr="00704351" w:rsidRDefault="00266302" w:rsidP="00266302">
            <w:pPr>
              <w:rPr>
                <w:rFonts w:cstheme="minorHAnsi"/>
                <w:sz w:val="24"/>
                <w:szCs w:val="24"/>
              </w:rPr>
            </w:pPr>
            <w:r w:rsidRPr="00704351">
              <w:rPr>
                <w:rFonts w:cstheme="minorHAnsi"/>
                <w:sz w:val="24"/>
                <w:szCs w:val="24"/>
              </w:rPr>
              <w:t>State Synopsis</w:t>
            </w:r>
          </w:p>
        </w:tc>
        <w:tc>
          <w:tcPr>
            <w:tcW w:w="2591" w:type="dxa"/>
          </w:tcPr>
          <w:p w14:paraId="7CDBB849" w14:textId="77777777" w:rsidR="00266302" w:rsidRPr="00704351" w:rsidRDefault="00266302" w:rsidP="00266302">
            <w:pPr>
              <w:rPr>
                <w:rFonts w:cstheme="minorHAnsi"/>
                <w:sz w:val="24"/>
                <w:szCs w:val="24"/>
              </w:rPr>
            </w:pPr>
            <w:r w:rsidRPr="00704351">
              <w:rPr>
                <w:rFonts w:cstheme="minorHAnsi"/>
                <w:sz w:val="24"/>
                <w:szCs w:val="24"/>
              </w:rPr>
              <w:t xml:space="preserve">Annually </w:t>
            </w:r>
          </w:p>
        </w:tc>
        <w:tc>
          <w:tcPr>
            <w:tcW w:w="2591" w:type="dxa"/>
          </w:tcPr>
          <w:p w14:paraId="1439C055" w14:textId="2FBE1D6C" w:rsidR="00266302" w:rsidRPr="00704351" w:rsidRDefault="00704351" w:rsidP="00266302">
            <w:pPr>
              <w:jc w:val="center"/>
              <w:rPr>
                <w:rFonts w:cstheme="minorHAnsi"/>
                <w:sz w:val="24"/>
                <w:szCs w:val="24"/>
              </w:rPr>
            </w:pPr>
            <w:r>
              <w:rPr>
                <w:rFonts w:cstheme="minorHAnsi"/>
                <w:sz w:val="24"/>
                <w:szCs w:val="24"/>
              </w:rPr>
              <w:t>2024</w:t>
            </w:r>
          </w:p>
        </w:tc>
        <w:tc>
          <w:tcPr>
            <w:tcW w:w="2591" w:type="dxa"/>
          </w:tcPr>
          <w:p w14:paraId="06944171" w14:textId="602DD509" w:rsidR="00266302" w:rsidRPr="00704351" w:rsidRDefault="00704351" w:rsidP="00266302">
            <w:pPr>
              <w:jc w:val="center"/>
              <w:rPr>
                <w:rFonts w:cstheme="minorHAnsi"/>
                <w:sz w:val="24"/>
                <w:szCs w:val="24"/>
              </w:rPr>
            </w:pPr>
            <w:r>
              <w:rPr>
                <w:rFonts w:cstheme="minorHAnsi"/>
                <w:sz w:val="24"/>
                <w:szCs w:val="24"/>
              </w:rPr>
              <w:t>2024 - 2026</w:t>
            </w:r>
          </w:p>
        </w:tc>
      </w:tr>
      <w:bookmarkEnd w:id="14"/>
    </w:tbl>
    <w:p w14:paraId="64BF413B" w14:textId="77777777" w:rsidR="00953D60" w:rsidRPr="008473F7" w:rsidRDefault="00953D60" w:rsidP="00953D60">
      <w:pPr>
        <w:rPr>
          <w:rFonts w:cstheme="minorHAnsi"/>
          <w:sz w:val="24"/>
          <w:szCs w:val="24"/>
          <w:highlight w:val="red"/>
        </w:rPr>
      </w:pPr>
    </w:p>
    <w:p w14:paraId="183659F7" w14:textId="77777777" w:rsidR="00953D60" w:rsidRPr="008473F7" w:rsidRDefault="00953D60" w:rsidP="00953D60">
      <w:pPr>
        <w:rPr>
          <w:rFonts w:cstheme="minorHAnsi"/>
          <w:color w:val="4BACC6" w:themeColor="accent5"/>
          <w:sz w:val="24"/>
          <w:szCs w:val="24"/>
          <w:highlight w:val="red"/>
        </w:rPr>
      </w:pPr>
    </w:p>
    <w:tbl>
      <w:tblPr>
        <w:tblStyle w:val="TableGrid"/>
        <w:tblW w:w="0" w:type="auto"/>
        <w:tblLook w:val="04A0" w:firstRow="1" w:lastRow="0" w:firstColumn="1" w:lastColumn="0" w:noHBand="0" w:noVBand="1"/>
      </w:tblPr>
      <w:tblGrid>
        <w:gridCol w:w="2158"/>
        <w:gridCol w:w="10792"/>
      </w:tblGrid>
      <w:tr w:rsidR="00953D60" w:rsidRPr="008473F7" w14:paraId="676436C7" w14:textId="77777777" w:rsidTr="00C42AA3">
        <w:trPr>
          <w:tblHeader/>
        </w:trPr>
        <w:tc>
          <w:tcPr>
            <w:tcW w:w="12950" w:type="dxa"/>
            <w:gridSpan w:val="2"/>
            <w:shd w:val="clear" w:color="auto" w:fill="808080" w:themeFill="background1" w:themeFillShade="80"/>
          </w:tcPr>
          <w:p w14:paraId="782610EC" w14:textId="7C3D3C38" w:rsidR="00953D60" w:rsidRPr="008473F7" w:rsidRDefault="00953D60" w:rsidP="00C42AA3">
            <w:pPr>
              <w:pStyle w:val="TableHeader"/>
              <w:rPr>
                <w:rFonts w:cstheme="minorHAnsi"/>
                <w:sz w:val="24"/>
                <w:szCs w:val="24"/>
                <w:highlight w:val="red"/>
              </w:rPr>
            </w:pPr>
            <w:bookmarkStart w:id="22" w:name="_Toc32496094"/>
            <w:bookmarkStart w:id="23" w:name="Table2"/>
            <w:r w:rsidRPr="007D0248">
              <w:rPr>
                <w:rFonts w:cstheme="minorHAnsi"/>
                <w:i/>
                <w:sz w:val="24"/>
                <w:szCs w:val="24"/>
              </w:rPr>
              <w:t xml:space="preserve">Table </w:t>
            </w:r>
            <w:r w:rsidR="007D0248" w:rsidRPr="007D0248">
              <w:rPr>
                <w:rFonts w:cstheme="minorHAnsi"/>
                <w:i/>
                <w:sz w:val="24"/>
                <w:szCs w:val="24"/>
              </w:rPr>
              <w:t>3</w:t>
            </w:r>
            <w:r w:rsidRPr="007D0248">
              <w:rPr>
                <w:rFonts w:cstheme="minorHAnsi"/>
                <w:i/>
                <w:sz w:val="24"/>
                <w:szCs w:val="24"/>
              </w:rPr>
              <w:t>:</w:t>
            </w:r>
            <w:r w:rsidRPr="007D0248">
              <w:rPr>
                <w:rFonts w:cstheme="minorHAnsi"/>
                <w:sz w:val="24"/>
                <w:szCs w:val="24"/>
              </w:rPr>
              <w:t xml:space="preserve"> Description of Additional Data Sources</w:t>
            </w:r>
            <w:bookmarkEnd w:id="22"/>
            <w:r w:rsidRPr="007D0248">
              <w:rPr>
                <w:rFonts w:cstheme="minorHAnsi"/>
                <w:sz w:val="24"/>
                <w:szCs w:val="24"/>
              </w:rPr>
              <w:t xml:space="preserve"> </w:t>
            </w:r>
          </w:p>
        </w:tc>
      </w:tr>
      <w:tr w:rsidR="00953D60" w:rsidRPr="008473F7" w14:paraId="2F49031B" w14:textId="77777777" w:rsidTr="00C42AA3">
        <w:trPr>
          <w:tblHeader/>
        </w:trPr>
        <w:tc>
          <w:tcPr>
            <w:tcW w:w="2158" w:type="dxa"/>
            <w:shd w:val="clear" w:color="auto" w:fill="808080" w:themeFill="background1" w:themeFillShade="80"/>
          </w:tcPr>
          <w:p w14:paraId="0A9652AD" w14:textId="77777777" w:rsidR="00953D60" w:rsidRPr="006D5105" w:rsidRDefault="00953D60" w:rsidP="00C42AA3">
            <w:pPr>
              <w:rPr>
                <w:rFonts w:cstheme="minorHAnsi"/>
                <w:b/>
                <w:color w:val="FFFFFF" w:themeColor="background1"/>
                <w:sz w:val="24"/>
                <w:szCs w:val="24"/>
              </w:rPr>
            </w:pPr>
            <w:r w:rsidRPr="006D5105">
              <w:rPr>
                <w:rFonts w:cstheme="minorHAnsi"/>
                <w:b/>
                <w:color w:val="FFFFFF" w:themeColor="background1"/>
                <w:sz w:val="24"/>
                <w:szCs w:val="24"/>
              </w:rPr>
              <w:t>Data Source</w:t>
            </w:r>
          </w:p>
        </w:tc>
        <w:tc>
          <w:tcPr>
            <w:tcW w:w="10792" w:type="dxa"/>
            <w:shd w:val="clear" w:color="auto" w:fill="808080" w:themeFill="background1" w:themeFillShade="80"/>
          </w:tcPr>
          <w:p w14:paraId="43EE7D48" w14:textId="77777777" w:rsidR="00953D60" w:rsidRPr="006D5105" w:rsidRDefault="00953D60" w:rsidP="00C42AA3">
            <w:pPr>
              <w:rPr>
                <w:rFonts w:cstheme="minorHAnsi"/>
                <w:b/>
                <w:color w:val="FFFFFF" w:themeColor="background1"/>
                <w:sz w:val="24"/>
                <w:szCs w:val="24"/>
              </w:rPr>
            </w:pPr>
            <w:r w:rsidRPr="006D5105">
              <w:rPr>
                <w:rFonts w:cstheme="minorHAnsi"/>
                <w:b/>
                <w:color w:val="FFFFFF" w:themeColor="background1"/>
                <w:sz w:val="24"/>
                <w:szCs w:val="24"/>
              </w:rPr>
              <w:t>Brief Description and Data Collection Method</w:t>
            </w:r>
          </w:p>
        </w:tc>
      </w:tr>
      <w:tr w:rsidR="00953D60" w:rsidRPr="00C6393F" w14:paraId="4B9559D1" w14:textId="77777777" w:rsidTr="00C42AA3">
        <w:tc>
          <w:tcPr>
            <w:tcW w:w="2158" w:type="dxa"/>
          </w:tcPr>
          <w:p w14:paraId="1F08F562" w14:textId="77777777" w:rsidR="00953D60" w:rsidRPr="006D5105" w:rsidRDefault="00953D60" w:rsidP="00C42AA3">
            <w:pPr>
              <w:rPr>
                <w:rFonts w:cstheme="minorHAnsi"/>
                <w:sz w:val="24"/>
                <w:szCs w:val="24"/>
              </w:rPr>
            </w:pPr>
            <w:r w:rsidRPr="006D5105">
              <w:rPr>
                <w:rFonts w:cstheme="minorHAnsi"/>
                <w:sz w:val="24"/>
                <w:szCs w:val="24"/>
              </w:rPr>
              <w:t>PRAMS</w:t>
            </w:r>
          </w:p>
        </w:tc>
        <w:tc>
          <w:tcPr>
            <w:tcW w:w="10792" w:type="dxa"/>
          </w:tcPr>
          <w:p w14:paraId="35BA6A86" w14:textId="1E7DE575" w:rsidR="00953D60" w:rsidRPr="006D5105" w:rsidRDefault="00953D60" w:rsidP="00C42AA3">
            <w:pPr>
              <w:rPr>
                <w:rFonts w:cstheme="minorHAnsi"/>
                <w:sz w:val="24"/>
                <w:szCs w:val="24"/>
              </w:rPr>
            </w:pPr>
            <w:r w:rsidRPr="006D5105">
              <w:rPr>
                <w:rFonts w:cs="Arial"/>
                <w:color w:val="404040"/>
                <w:shd w:val="clear" w:color="auto" w:fill="FFFFFF"/>
              </w:rPr>
              <w:t>VA PRAMS is the Virginia Pregnancy Risk Assessment Monitoring System, which is a survey of mothers who have recently had a baby. PRAMS provides information about a woman’s experiences before, during and just after a pregnancy that resulted in a live birth. Each year, about 1,200 mothers are randomly chosen from Virginia birth certificates to participate in VA PRAMS. Each of these moms receives a mail survey; if she doesn’t respond, she is offered the opportunity to complete the survey on the telephone.</w:t>
            </w:r>
            <w:r w:rsidR="006D5105">
              <w:rPr>
                <w:rFonts w:cs="Arial"/>
                <w:color w:val="404040"/>
                <w:shd w:val="clear" w:color="auto" w:fill="FFFFFF"/>
              </w:rPr>
              <w:t xml:space="preserve"> Data are currently available for 2022, and collection is planned throughout this grant period.</w:t>
            </w:r>
          </w:p>
        </w:tc>
      </w:tr>
      <w:bookmarkEnd w:id="23"/>
    </w:tbl>
    <w:p w14:paraId="62DDC79D" w14:textId="77777777" w:rsidR="00953D60" w:rsidRPr="00C6393F" w:rsidRDefault="00953D60" w:rsidP="00953D60">
      <w:pPr>
        <w:rPr>
          <w:rFonts w:cstheme="minorHAnsi"/>
          <w:sz w:val="24"/>
          <w:szCs w:val="24"/>
        </w:rPr>
      </w:pPr>
    </w:p>
    <w:p w14:paraId="713FC353" w14:textId="77777777" w:rsidR="00953D60" w:rsidRPr="00C6393F" w:rsidRDefault="00953D60" w:rsidP="00953D60">
      <w:pPr>
        <w:rPr>
          <w:rFonts w:cstheme="minorHAnsi"/>
          <w:sz w:val="24"/>
          <w:szCs w:val="24"/>
        </w:rPr>
        <w:sectPr w:rsidR="00953D60" w:rsidRPr="00C6393F" w:rsidSect="00953D60">
          <w:pgSz w:w="15840" w:h="12240" w:orient="landscape"/>
          <w:pgMar w:top="1440" w:right="1440" w:bottom="1440" w:left="1440" w:header="720" w:footer="720" w:gutter="0"/>
          <w:cols w:space="720"/>
          <w:docGrid w:linePitch="360"/>
        </w:sectPr>
      </w:pPr>
    </w:p>
    <w:p w14:paraId="36353992" w14:textId="22F2B363" w:rsidR="00953D60" w:rsidRPr="00C6393F" w:rsidRDefault="00953D60" w:rsidP="008473F7">
      <w:pPr>
        <w:pStyle w:val="Heading1"/>
        <w:numPr>
          <w:ilvl w:val="0"/>
          <w:numId w:val="30"/>
        </w:numPr>
        <w:rPr>
          <w:rFonts w:cstheme="minorHAnsi"/>
          <w:sz w:val="24"/>
          <w:szCs w:val="24"/>
        </w:rPr>
      </w:pPr>
      <w:bookmarkStart w:id="24" w:name="_Toc32496107"/>
      <w:bookmarkEnd w:id="15"/>
      <w:r w:rsidRPr="00C6393F">
        <w:rPr>
          <w:rFonts w:cstheme="minorHAnsi"/>
          <w:sz w:val="24"/>
          <w:szCs w:val="24"/>
        </w:rPr>
        <w:lastRenderedPageBreak/>
        <w:t>Data Dissemination and Use</w:t>
      </w:r>
      <w:bookmarkEnd w:id="24"/>
    </w:p>
    <w:p w14:paraId="32EE579A" w14:textId="77777777" w:rsidR="00953D60" w:rsidRDefault="00953D60" w:rsidP="00953D60">
      <w:pPr>
        <w:rPr>
          <w:rFonts w:cstheme="minorHAnsi"/>
          <w:b/>
          <w:sz w:val="24"/>
          <w:szCs w:val="24"/>
        </w:rPr>
      </w:pPr>
    </w:p>
    <w:p w14:paraId="7CA3864F" w14:textId="77777777" w:rsidR="00953D60" w:rsidRPr="00C6393F" w:rsidRDefault="00953D60" w:rsidP="00953D60">
      <w:pPr>
        <w:rPr>
          <w:rFonts w:cstheme="minorHAnsi"/>
          <w:b/>
          <w:sz w:val="24"/>
          <w:szCs w:val="24"/>
        </w:rPr>
      </w:pPr>
      <w:r w:rsidRPr="00C6393F">
        <w:rPr>
          <w:rFonts w:cstheme="minorHAnsi"/>
          <w:b/>
          <w:sz w:val="24"/>
          <w:szCs w:val="24"/>
        </w:rPr>
        <w:t>Data dissemination methods</w:t>
      </w:r>
    </w:p>
    <w:p w14:paraId="0B1F4186" w14:textId="5A7BDC45" w:rsidR="00005F9E" w:rsidRPr="00005F9E" w:rsidRDefault="008473F7" w:rsidP="00005F9E">
      <w:pPr>
        <w:spacing w:line="360" w:lineRule="auto"/>
        <w:rPr>
          <w:rFonts w:cstheme="minorHAnsi"/>
          <w:sz w:val="24"/>
          <w:szCs w:val="24"/>
        </w:rPr>
      </w:pPr>
      <w:r w:rsidRPr="00005F9E">
        <w:rPr>
          <w:rFonts w:cstheme="minorHAnsi"/>
          <w:sz w:val="24"/>
          <w:szCs w:val="24"/>
        </w:rPr>
        <w:t>The SOHP</w:t>
      </w:r>
      <w:r w:rsidR="00953D60" w:rsidRPr="00005F9E">
        <w:rPr>
          <w:rFonts w:cstheme="minorHAnsi"/>
          <w:sz w:val="24"/>
          <w:szCs w:val="24"/>
        </w:rPr>
        <w:t xml:space="preserve"> will </w:t>
      </w:r>
      <w:r w:rsidRPr="00005F9E">
        <w:rPr>
          <w:rFonts w:cstheme="minorHAnsi"/>
          <w:sz w:val="24"/>
          <w:szCs w:val="24"/>
        </w:rPr>
        <w:t xml:space="preserve">begin to </w:t>
      </w:r>
      <w:r w:rsidR="00953D60" w:rsidRPr="00005F9E">
        <w:rPr>
          <w:rFonts w:cstheme="minorHAnsi"/>
          <w:sz w:val="24"/>
          <w:szCs w:val="24"/>
        </w:rPr>
        <w:t xml:space="preserve">make data </w:t>
      </w:r>
      <w:r w:rsidR="009B759A" w:rsidRPr="00005F9E">
        <w:rPr>
          <w:rFonts w:cstheme="minorHAnsi"/>
          <w:sz w:val="24"/>
          <w:szCs w:val="24"/>
        </w:rPr>
        <w:t>publicly</w:t>
      </w:r>
      <w:r w:rsidR="00953D60" w:rsidRPr="00005F9E">
        <w:rPr>
          <w:rFonts w:cstheme="minorHAnsi"/>
          <w:sz w:val="24"/>
          <w:szCs w:val="24"/>
        </w:rPr>
        <w:t xml:space="preserve"> available starting in </w:t>
      </w:r>
      <w:r w:rsidRPr="00005F9E">
        <w:rPr>
          <w:rFonts w:cstheme="minorHAnsi"/>
          <w:sz w:val="24"/>
          <w:szCs w:val="24"/>
        </w:rPr>
        <w:t>fall 2025</w:t>
      </w:r>
      <w:r w:rsidR="00953D60" w:rsidRPr="00005F9E">
        <w:rPr>
          <w:rFonts w:cstheme="minorHAnsi"/>
          <w:sz w:val="24"/>
          <w:szCs w:val="24"/>
        </w:rPr>
        <w:t xml:space="preserve">.  </w:t>
      </w:r>
      <w:r w:rsidR="00005F9E" w:rsidRPr="00005F9E">
        <w:rPr>
          <w:rFonts w:cstheme="minorHAnsi"/>
          <w:sz w:val="24"/>
          <w:szCs w:val="24"/>
        </w:rPr>
        <w:t>Data dissemination will be a strategic and ongoing process. Surveillance findings will be synthesized into accessible formats tailored for varied audiences, including public health practitioners, policy makers, educators, clinical providers, and community members. Findings will be disseminated monthly, quarterly, yearly and/or as needed, to key internal and external partners and stakeholders.  Products will include formal Microsoft Word evaluation report documents, conference call/webinar presentations, fact sheets, thematic data briefs, infographics summarizing key trends, one-pagers for decision makers and legislators, success stories, and oral and poster presentations at conferences, among others as needed. Dissemination channels will include VDH and partner websites, including Office of Drinking Water</w:t>
      </w:r>
      <w:r w:rsidR="006F4DCF">
        <w:rPr>
          <w:rFonts w:cstheme="minorHAnsi"/>
          <w:sz w:val="24"/>
          <w:szCs w:val="24"/>
        </w:rPr>
        <w:t xml:space="preserve"> (ODW)</w:t>
      </w:r>
      <w:r w:rsidR="00005F9E" w:rsidRPr="00005F9E">
        <w:rPr>
          <w:rFonts w:cstheme="minorHAnsi"/>
          <w:sz w:val="24"/>
          <w:szCs w:val="24"/>
        </w:rPr>
        <w:t>, Virginia Health Catalyst</w:t>
      </w:r>
      <w:r w:rsidR="00355B74">
        <w:rPr>
          <w:rFonts w:cstheme="minorHAnsi"/>
          <w:sz w:val="24"/>
          <w:szCs w:val="24"/>
        </w:rPr>
        <w:t xml:space="preserve"> (VHC)</w:t>
      </w:r>
      <w:r w:rsidR="00005F9E" w:rsidRPr="00005F9E">
        <w:rPr>
          <w:rFonts w:cstheme="minorHAnsi"/>
          <w:sz w:val="24"/>
          <w:szCs w:val="24"/>
        </w:rPr>
        <w:t>, and Virginia Department of Education</w:t>
      </w:r>
      <w:r w:rsidR="00355B74">
        <w:rPr>
          <w:rFonts w:cstheme="minorHAnsi"/>
          <w:sz w:val="24"/>
          <w:szCs w:val="24"/>
        </w:rPr>
        <w:t xml:space="preserve"> (DOE)</w:t>
      </w:r>
      <w:r w:rsidR="00005F9E" w:rsidRPr="00005F9E">
        <w:rPr>
          <w:rFonts w:cstheme="minorHAnsi"/>
          <w:sz w:val="24"/>
          <w:szCs w:val="24"/>
        </w:rPr>
        <w:t>.  Social media will be used to expand reach to a broader public audience, particularly for promoting awareness of the links between oral health and diabetes. These findings will identify new community partners for fluoridation expansion, provide actionable data for chronic disease and EBPDS program partners developing integrated care strategies, inform school-level decision-making about participation in EBPDS programs, and guide IPC training delivery and content. Key decision points—such as grant funding allocation or prioritization of communities—will be supported by the findings generated through this system.</w:t>
      </w:r>
    </w:p>
    <w:p w14:paraId="246DF7BC" w14:textId="51D8F441" w:rsidR="008473F7" w:rsidRDefault="008473F7" w:rsidP="00005F9E">
      <w:pPr>
        <w:spacing w:line="360" w:lineRule="auto"/>
        <w:rPr>
          <w:rFonts w:cstheme="minorHAnsi"/>
          <w:sz w:val="24"/>
          <w:szCs w:val="24"/>
        </w:rPr>
      </w:pPr>
      <w:r>
        <w:rPr>
          <w:rFonts w:cstheme="minorHAnsi"/>
          <w:sz w:val="24"/>
          <w:szCs w:val="24"/>
        </w:rPr>
        <w:t>All data dissemination deliverables for the CDC DP24-0048 Cooperative Agreement will be met with timely, accurate, and informative information disseminated to partners with the power to positively impact change and access to oral health care.  These deliverables include</w:t>
      </w:r>
      <w:r w:rsidR="003C0B41">
        <w:rPr>
          <w:rFonts w:cstheme="minorHAnsi"/>
          <w:sz w:val="24"/>
          <w:szCs w:val="24"/>
        </w:rPr>
        <w:t xml:space="preserve"> but are not limited to monthly WFRS reporting, WFRS discrepancy reporting, CWF</w:t>
      </w:r>
      <w:r w:rsidR="00EB0A4C">
        <w:rPr>
          <w:rFonts w:cstheme="minorHAnsi"/>
          <w:sz w:val="24"/>
          <w:szCs w:val="24"/>
        </w:rPr>
        <w:t xml:space="preserve"> </w:t>
      </w:r>
      <w:r w:rsidR="003C0B41">
        <w:rPr>
          <w:rFonts w:cstheme="minorHAnsi"/>
          <w:sz w:val="24"/>
          <w:szCs w:val="24"/>
        </w:rPr>
        <w:t xml:space="preserve">award verification lists, annual data analysis infographics </w:t>
      </w:r>
      <w:r w:rsidR="00EB0A4C">
        <w:rPr>
          <w:rFonts w:cstheme="minorHAnsi"/>
          <w:sz w:val="24"/>
          <w:szCs w:val="24"/>
        </w:rPr>
        <w:t>and data</w:t>
      </w:r>
      <w:r w:rsidR="003C0B41">
        <w:rPr>
          <w:rFonts w:cstheme="minorHAnsi"/>
          <w:sz w:val="24"/>
          <w:szCs w:val="24"/>
        </w:rPr>
        <w:t xml:space="preserve"> briefs.</w:t>
      </w:r>
      <w:r w:rsidR="00883D77">
        <w:rPr>
          <w:rFonts w:cstheme="minorHAnsi"/>
          <w:sz w:val="24"/>
          <w:szCs w:val="24"/>
        </w:rPr>
        <w:t xml:space="preserve"> </w:t>
      </w:r>
      <w:r w:rsidR="000441AF">
        <w:rPr>
          <w:rFonts w:cstheme="minorHAnsi"/>
          <w:sz w:val="24"/>
          <w:szCs w:val="24"/>
        </w:rPr>
        <w:t>The minimum annual deliverables timeline includes the following:</w:t>
      </w:r>
    </w:p>
    <w:p w14:paraId="43A30C2D" w14:textId="77777777" w:rsidR="000441AF" w:rsidRPr="000441AF" w:rsidRDefault="000441AF" w:rsidP="000441AF">
      <w:pPr>
        <w:pStyle w:val="ListParagraph"/>
        <w:numPr>
          <w:ilvl w:val="0"/>
          <w:numId w:val="44"/>
        </w:numPr>
        <w:spacing w:line="360" w:lineRule="auto"/>
        <w:rPr>
          <w:rFonts w:cstheme="minorHAnsi"/>
          <w:sz w:val="24"/>
          <w:szCs w:val="24"/>
        </w:rPr>
      </w:pPr>
      <w:r w:rsidRPr="000441AF">
        <w:rPr>
          <w:rFonts w:cstheme="minorHAnsi"/>
          <w:sz w:val="24"/>
          <w:szCs w:val="24"/>
        </w:rPr>
        <w:t>Year 1:</w:t>
      </w:r>
    </w:p>
    <w:p w14:paraId="61170040" w14:textId="01BE720A" w:rsidR="000441AF" w:rsidRPr="000441AF" w:rsidRDefault="000441AF" w:rsidP="000441AF">
      <w:pPr>
        <w:pStyle w:val="ListParagraph"/>
        <w:numPr>
          <w:ilvl w:val="0"/>
          <w:numId w:val="40"/>
        </w:numPr>
        <w:spacing w:line="360" w:lineRule="auto"/>
        <w:rPr>
          <w:rFonts w:cstheme="minorHAnsi"/>
          <w:sz w:val="24"/>
          <w:szCs w:val="24"/>
        </w:rPr>
      </w:pPr>
      <w:r w:rsidRPr="000441AF">
        <w:rPr>
          <w:rFonts w:cstheme="minorHAnsi"/>
          <w:sz w:val="24"/>
          <w:szCs w:val="24"/>
        </w:rPr>
        <w:lastRenderedPageBreak/>
        <w:t>Disseminate 1 surveillance product (or publish surveillance plan)</w:t>
      </w:r>
    </w:p>
    <w:p w14:paraId="4A71724A" w14:textId="10691944" w:rsidR="000441AF" w:rsidRPr="000441AF" w:rsidRDefault="000441AF" w:rsidP="000441AF">
      <w:pPr>
        <w:pStyle w:val="ListParagraph"/>
        <w:numPr>
          <w:ilvl w:val="0"/>
          <w:numId w:val="40"/>
        </w:numPr>
        <w:spacing w:line="360" w:lineRule="auto"/>
        <w:rPr>
          <w:rFonts w:cstheme="minorHAnsi"/>
          <w:sz w:val="24"/>
          <w:szCs w:val="24"/>
        </w:rPr>
      </w:pPr>
      <w:r w:rsidRPr="000441AF">
        <w:rPr>
          <w:rFonts w:cstheme="minorHAnsi"/>
          <w:sz w:val="24"/>
          <w:szCs w:val="24"/>
        </w:rPr>
        <w:t>Launch CWF infrastructure database</w:t>
      </w:r>
    </w:p>
    <w:p w14:paraId="37871321" w14:textId="77777777" w:rsidR="000441AF" w:rsidRDefault="000441AF" w:rsidP="000441AF">
      <w:pPr>
        <w:pStyle w:val="ListParagraph"/>
        <w:numPr>
          <w:ilvl w:val="0"/>
          <w:numId w:val="40"/>
        </w:numPr>
        <w:spacing w:line="360" w:lineRule="auto"/>
        <w:rPr>
          <w:rFonts w:cstheme="minorHAnsi"/>
          <w:sz w:val="24"/>
          <w:szCs w:val="24"/>
        </w:rPr>
      </w:pPr>
      <w:r w:rsidRPr="000441AF">
        <w:rPr>
          <w:rFonts w:cstheme="minorHAnsi"/>
          <w:sz w:val="24"/>
          <w:szCs w:val="24"/>
        </w:rPr>
        <w:t>Begin analysis of BRFSS and Medicaid claims</w:t>
      </w:r>
    </w:p>
    <w:p w14:paraId="40F3F12F" w14:textId="35F5F364" w:rsidR="000441AF" w:rsidRPr="000441AF" w:rsidRDefault="000441AF" w:rsidP="000441AF">
      <w:pPr>
        <w:pStyle w:val="ListParagraph"/>
        <w:numPr>
          <w:ilvl w:val="0"/>
          <w:numId w:val="40"/>
        </w:numPr>
        <w:spacing w:line="360" w:lineRule="auto"/>
        <w:rPr>
          <w:rFonts w:cstheme="minorHAnsi"/>
          <w:sz w:val="24"/>
          <w:szCs w:val="24"/>
        </w:rPr>
      </w:pPr>
      <w:r w:rsidRPr="000441AF">
        <w:rPr>
          <w:rFonts w:cstheme="minorHAnsi"/>
          <w:sz w:val="24"/>
          <w:szCs w:val="24"/>
        </w:rPr>
        <w:t>Share diabetes-oral health infographic</w:t>
      </w:r>
    </w:p>
    <w:p w14:paraId="69786C5E" w14:textId="77777777" w:rsidR="000441AF" w:rsidRPr="000441AF" w:rsidRDefault="000441AF" w:rsidP="000441AF">
      <w:pPr>
        <w:pStyle w:val="ListParagraph"/>
        <w:numPr>
          <w:ilvl w:val="0"/>
          <w:numId w:val="43"/>
        </w:numPr>
        <w:spacing w:line="360" w:lineRule="auto"/>
        <w:rPr>
          <w:rFonts w:cstheme="minorHAnsi"/>
          <w:sz w:val="24"/>
          <w:szCs w:val="24"/>
        </w:rPr>
      </w:pPr>
      <w:r w:rsidRPr="000441AF">
        <w:rPr>
          <w:rFonts w:cstheme="minorHAnsi"/>
          <w:sz w:val="24"/>
          <w:szCs w:val="24"/>
        </w:rPr>
        <w:t>Year 2:</w:t>
      </w:r>
    </w:p>
    <w:p w14:paraId="4BE23940" w14:textId="3D768DBF" w:rsidR="000441AF" w:rsidRPr="000441AF" w:rsidRDefault="000441AF" w:rsidP="000441AF">
      <w:pPr>
        <w:pStyle w:val="ListParagraph"/>
        <w:numPr>
          <w:ilvl w:val="0"/>
          <w:numId w:val="41"/>
        </w:numPr>
        <w:spacing w:line="360" w:lineRule="auto"/>
        <w:rPr>
          <w:rFonts w:cstheme="minorHAnsi"/>
          <w:sz w:val="24"/>
          <w:szCs w:val="24"/>
        </w:rPr>
      </w:pPr>
      <w:r w:rsidRPr="000441AF">
        <w:rPr>
          <w:rFonts w:cstheme="minorHAnsi"/>
          <w:sz w:val="24"/>
          <w:szCs w:val="24"/>
        </w:rPr>
        <w:t>Publish 2 data briefs:</w:t>
      </w:r>
    </w:p>
    <w:p w14:paraId="709D7FEC" w14:textId="4ECC072E" w:rsidR="000441AF" w:rsidRDefault="000441AF" w:rsidP="000441AF">
      <w:pPr>
        <w:pStyle w:val="ListParagraph"/>
        <w:numPr>
          <w:ilvl w:val="1"/>
          <w:numId w:val="32"/>
        </w:numPr>
        <w:spacing w:line="360" w:lineRule="auto"/>
        <w:rPr>
          <w:rFonts w:cstheme="minorHAnsi"/>
          <w:sz w:val="24"/>
          <w:szCs w:val="24"/>
        </w:rPr>
      </w:pPr>
      <w:r w:rsidRPr="000441AF">
        <w:rPr>
          <w:rFonts w:cstheme="minorHAnsi"/>
          <w:sz w:val="24"/>
          <w:szCs w:val="24"/>
        </w:rPr>
        <w:t xml:space="preserve">Brief #1: Diabetes status </w:t>
      </w:r>
      <w:r w:rsidR="00E4474A">
        <w:rPr>
          <w:rFonts w:cstheme="minorHAnsi"/>
          <w:sz w:val="24"/>
          <w:szCs w:val="24"/>
        </w:rPr>
        <w:t>and</w:t>
      </w:r>
      <w:r w:rsidRPr="000441AF">
        <w:rPr>
          <w:rFonts w:cstheme="minorHAnsi"/>
          <w:sz w:val="24"/>
          <w:szCs w:val="24"/>
        </w:rPr>
        <w:t xml:space="preserve"> oral health by sociodemographic factors</w:t>
      </w:r>
    </w:p>
    <w:p w14:paraId="6655162A" w14:textId="23362E5E" w:rsidR="000441AF" w:rsidRPr="000441AF" w:rsidRDefault="000441AF" w:rsidP="000441AF">
      <w:pPr>
        <w:pStyle w:val="ListParagraph"/>
        <w:numPr>
          <w:ilvl w:val="1"/>
          <w:numId w:val="32"/>
        </w:numPr>
        <w:spacing w:line="360" w:lineRule="auto"/>
        <w:rPr>
          <w:rFonts w:cstheme="minorHAnsi"/>
          <w:sz w:val="24"/>
          <w:szCs w:val="24"/>
        </w:rPr>
      </w:pPr>
      <w:r w:rsidRPr="000441AF">
        <w:rPr>
          <w:rFonts w:cstheme="minorHAnsi"/>
          <w:sz w:val="24"/>
          <w:szCs w:val="24"/>
        </w:rPr>
        <w:t>Brief #2: Overlap between dental and medical visits</w:t>
      </w:r>
    </w:p>
    <w:p w14:paraId="6940336E" w14:textId="1A308937" w:rsidR="000441AF" w:rsidRPr="000441AF" w:rsidRDefault="000441AF" w:rsidP="000441AF">
      <w:pPr>
        <w:pStyle w:val="ListParagraph"/>
        <w:numPr>
          <w:ilvl w:val="0"/>
          <w:numId w:val="42"/>
        </w:numPr>
        <w:spacing w:line="360" w:lineRule="auto"/>
        <w:rPr>
          <w:rFonts w:cstheme="minorHAnsi"/>
          <w:sz w:val="24"/>
          <w:szCs w:val="24"/>
        </w:rPr>
      </w:pPr>
      <w:r w:rsidRPr="000441AF">
        <w:rPr>
          <w:rFonts w:cstheme="minorHAnsi"/>
          <w:sz w:val="24"/>
          <w:szCs w:val="24"/>
        </w:rPr>
        <w:t>Distribute school-level EBPDS needs analysis</w:t>
      </w:r>
    </w:p>
    <w:p w14:paraId="5F01EB8F" w14:textId="638AB056" w:rsidR="000441AF" w:rsidRPr="000441AF" w:rsidRDefault="000441AF" w:rsidP="000441AF">
      <w:pPr>
        <w:pStyle w:val="ListParagraph"/>
        <w:numPr>
          <w:ilvl w:val="0"/>
          <w:numId w:val="42"/>
        </w:numPr>
        <w:spacing w:line="360" w:lineRule="auto"/>
        <w:rPr>
          <w:rFonts w:cstheme="minorHAnsi"/>
          <w:sz w:val="24"/>
          <w:szCs w:val="24"/>
        </w:rPr>
      </w:pPr>
      <w:r w:rsidRPr="000441AF">
        <w:rPr>
          <w:rFonts w:cstheme="minorHAnsi"/>
          <w:sz w:val="24"/>
          <w:szCs w:val="24"/>
        </w:rPr>
        <w:t xml:space="preserve">Deliver IPC training to all SOHP </w:t>
      </w:r>
      <w:r w:rsidR="00FE70BC">
        <w:rPr>
          <w:rFonts w:cstheme="minorHAnsi"/>
          <w:sz w:val="24"/>
          <w:szCs w:val="24"/>
        </w:rPr>
        <w:t xml:space="preserve">school sealant program </w:t>
      </w:r>
      <w:r w:rsidRPr="000441AF">
        <w:rPr>
          <w:rFonts w:cstheme="minorHAnsi"/>
          <w:sz w:val="24"/>
          <w:szCs w:val="24"/>
        </w:rPr>
        <w:t>teams</w:t>
      </w:r>
    </w:p>
    <w:p w14:paraId="67B6BCAA" w14:textId="77777777" w:rsidR="000441AF" w:rsidRPr="000441AF" w:rsidRDefault="000441AF" w:rsidP="000441AF">
      <w:pPr>
        <w:pStyle w:val="ListParagraph"/>
        <w:numPr>
          <w:ilvl w:val="0"/>
          <w:numId w:val="43"/>
        </w:numPr>
        <w:spacing w:line="360" w:lineRule="auto"/>
        <w:rPr>
          <w:rFonts w:cstheme="minorHAnsi"/>
          <w:sz w:val="24"/>
          <w:szCs w:val="24"/>
        </w:rPr>
      </w:pPr>
      <w:r w:rsidRPr="000441AF">
        <w:rPr>
          <w:rFonts w:cstheme="minorHAnsi"/>
          <w:sz w:val="24"/>
          <w:szCs w:val="24"/>
        </w:rPr>
        <w:t>Year 3:</w:t>
      </w:r>
    </w:p>
    <w:p w14:paraId="6870BF4A" w14:textId="143D4F32" w:rsidR="000441AF" w:rsidRPr="000441AF" w:rsidRDefault="000441AF" w:rsidP="000441AF">
      <w:pPr>
        <w:pStyle w:val="ListParagraph"/>
        <w:numPr>
          <w:ilvl w:val="0"/>
          <w:numId w:val="45"/>
        </w:numPr>
        <w:spacing w:line="360" w:lineRule="auto"/>
        <w:rPr>
          <w:rFonts w:cstheme="minorHAnsi"/>
          <w:sz w:val="24"/>
          <w:szCs w:val="24"/>
        </w:rPr>
      </w:pPr>
      <w:r w:rsidRPr="000441AF">
        <w:rPr>
          <w:rFonts w:cstheme="minorHAnsi"/>
          <w:sz w:val="24"/>
          <w:szCs w:val="24"/>
        </w:rPr>
        <w:t>Disseminate at least 2 new data briefs and 1 presentation:</w:t>
      </w:r>
    </w:p>
    <w:p w14:paraId="48676B8D" w14:textId="64FFADBB" w:rsidR="000441AF" w:rsidRPr="000441AF" w:rsidRDefault="000441AF" w:rsidP="000441AF">
      <w:pPr>
        <w:pStyle w:val="ListParagraph"/>
        <w:numPr>
          <w:ilvl w:val="0"/>
          <w:numId w:val="46"/>
        </w:numPr>
        <w:spacing w:line="360" w:lineRule="auto"/>
        <w:rPr>
          <w:rFonts w:cstheme="minorHAnsi"/>
          <w:sz w:val="24"/>
          <w:szCs w:val="24"/>
        </w:rPr>
      </w:pPr>
      <w:r w:rsidRPr="000441AF">
        <w:rPr>
          <w:rFonts w:cstheme="minorHAnsi"/>
          <w:sz w:val="24"/>
          <w:szCs w:val="24"/>
        </w:rPr>
        <w:t>Community-clinical linkages for adults with diabetes</w:t>
      </w:r>
    </w:p>
    <w:p w14:paraId="4295C8C1" w14:textId="306C74D6" w:rsidR="000441AF" w:rsidRPr="000441AF" w:rsidRDefault="000441AF" w:rsidP="000441AF">
      <w:pPr>
        <w:pStyle w:val="ListParagraph"/>
        <w:numPr>
          <w:ilvl w:val="0"/>
          <w:numId w:val="46"/>
        </w:numPr>
        <w:spacing w:line="360" w:lineRule="auto"/>
        <w:rPr>
          <w:rFonts w:cstheme="minorHAnsi"/>
          <w:sz w:val="24"/>
          <w:szCs w:val="24"/>
        </w:rPr>
      </w:pPr>
      <w:r w:rsidRPr="000441AF">
        <w:rPr>
          <w:rFonts w:cstheme="minorHAnsi"/>
          <w:sz w:val="24"/>
          <w:szCs w:val="24"/>
        </w:rPr>
        <w:t>IPC integration impact report</w:t>
      </w:r>
    </w:p>
    <w:p w14:paraId="0743675D" w14:textId="485DF616" w:rsidR="000441AF" w:rsidRPr="000441AF" w:rsidRDefault="000441AF" w:rsidP="000441AF">
      <w:pPr>
        <w:pStyle w:val="ListParagraph"/>
        <w:numPr>
          <w:ilvl w:val="0"/>
          <w:numId w:val="46"/>
        </w:numPr>
        <w:spacing w:line="360" w:lineRule="auto"/>
        <w:rPr>
          <w:rFonts w:cstheme="minorHAnsi"/>
          <w:sz w:val="24"/>
          <w:szCs w:val="24"/>
        </w:rPr>
      </w:pPr>
      <w:r w:rsidRPr="000441AF">
        <w:rPr>
          <w:rFonts w:cstheme="minorHAnsi"/>
          <w:sz w:val="24"/>
          <w:szCs w:val="24"/>
        </w:rPr>
        <w:t>Present findings at state conferences or webinars</w:t>
      </w:r>
    </w:p>
    <w:p w14:paraId="3B716557" w14:textId="77777777" w:rsidR="00953D60" w:rsidRPr="00C6393F" w:rsidRDefault="00953D60" w:rsidP="00953D60">
      <w:pPr>
        <w:rPr>
          <w:rFonts w:cstheme="minorHAnsi"/>
          <w:b/>
          <w:sz w:val="24"/>
          <w:szCs w:val="24"/>
        </w:rPr>
      </w:pPr>
      <w:r w:rsidRPr="00C6393F">
        <w:rPr>
          <w:rFonts w:cstheme="minorHAnsi"/>
          <w:b/>
          <w:sz w:val="24"/>
          <w:szCs w:val="24"/>
        </w:rPr>
        <w:t>Data use methods</w:t>
      </w:r>
    </w:p>
    <w:p w14:paraId="084983AA" w14:textId="4FD03E83" w:rsidR="00953D60" w:rsidRDefault="0006791F" w:rsidP="00C150DA">
      <w:pPr>
        <w:spacing w:line="360" w:lineRule="auto"/>
        <w:rPr>
          <w:rFonts w:cstheme="minorHAnsi"/>
          <w:color w:val="000000" w:themeColor="text1"/>
          <w:sz w:val="24"/>
          <w:szCs w:val="24"/>
        </w:rPr>
      </w:pPr>
      <w:r w:rsidRPr="0006791F">
        <w:rPr>
          <w:rFonts w:cstheme="minorHAnsi"/>
          <w:color w:val="000000" w:themeColor="text1"/>
          <w:sz w:val="24"/>
          <w:szCs w:val="24"/>
        </w:rPr>
        <w:t xml:space="preserve">Data collected across the four domains will be analyzed using a rigorous and standardized framework to ensure reliability, comparability, and utility for program improvement. Descriptive statistics will be used to summarize key indicators across population groups, with data stratified by geography, income, race and ethnicity, insurance status, and rural/urban classification to identify patterns and disparities. Multiyear trend analysis will help assess program impact and progress toward goals. Geographic Information System mapping </w:t>
      </w:r>
      <w:r>
        <w:rPr>
          <w:rFonts w:cstheme="minorHAnsi"/>
          <w:color w:val="000000" w:themeColor="text1"/>
          <w:sz w:val="24"/>
          <w:szCs w:val="24"/>
        </w:rPr>
        <w:t>could</w:t>
      </w:r>
      <w:r w:rsidRPr="0006791F">
        <w:rPr>
          <w:rFonts w:cstheme="minorHAnsi"/>
          <w:color w:val="000000" w:themeColor="text1"/>
          <w:sz w:val="24"/>
          <w:szCs w:val="24"/>
        </w:rPr>
        <w:t xml:space="preserve"> be utilized to visualize community-level disparities and target areas for intervention. The SOHP epidemiologist will use SAS 9.4 for data management, cleaning, and analysis. For presentations and dissemination, data visualizations will be created using Tableau or Excel-based dashboards. Interpretation of findings will be conducted collaboratively with </w:t>
      </w:r>
      <w:r>
        <w:rPr>
          <w:rFonts w:cstheme="minorHAnsi"/>
          <w:color w:val="000000" w:themeColor="text1"/>
          <w:sz w:val="24"/>
          <w:szCs w:val="24"/>
        </w:rPr>
        <w:t>SOHP</w:t>
      </w:r>
      <w:r w:rsidRPr="0006791F">
        <w:rPr>
          <w:rFonts w:cstheme="minorHAnsi"/>
          <w:color w:val="000000" w:themeColor="text1"/>
          <w:sz w:val="24"/>
          <w:szCs w:val="24"/>
        </w:rPr>
        <w:t xml:space="preserve"> staff, partners, and stakeholders. Regular feedback sessions will allow partners to help contextualize findings and shape recommendations for improvement, ensuring the results are understood and actionable at the local level.</w:t>
      </w:r>
      <w:r>
        <w:rPr>
          <w:rFonts w:cstheme="minorHAnsi"/>
          <w:color w:val="000000" w:themeColor="text1"/>
          <w:sz w:val="24"/>
          <w:szCs w:val="24"/>
        </w:rPr>
        <w:t xml:space="preserve"> </w:t>
      </w:r>
      <w:r w:rsidR="00953D60" w:rsidRPr="00C6393F">
        <w:rPr>
          <w:rFonts w:cstheme="minorHAnsi"/>
          <w:color w:val="000000" w:themeColor="text1"/>
          <w:sz w:val="24"/>
          <w:szCs w:val="24"/>
        </w:rPr>
        <w:t xml:space="preserve">Data will be used to further support </w:t>
      </w:r>
      <w:r w:rsidR="00953D60">
        <w:rPr>
          <w:rFonts w:cstheme="minorHAnsi"/>
          <w:color w:val="000000" w:themeColor="text1"/>
          <w:sz w:val="24"/>
          <w:szCs w:val="24"/>
        </w:rPr>
        <w:t>future surveillance</w:t>
      </w:r>
      <w:r w:rsidR="00953D60" w:rsidRPr="00C6393F">
        <w:rPr>
          <w:rFonts w:cstheme="minorHAnsi"/>
          <w:color w:val="000000" w:themeColor="text1"/>
          <w:sz w:val="24"/>
          <w:szCs w:val="24"/>
        </w:rPr>
        <w:t xml:space="preserve"> efforts including </w:t>
      </w:r>
      <w:r w:rsidR="00953D60" w:rsidRPr="00C6393F">
        <w:rPr>
          <w:rFonts w:cstheme="minorHAnsi"/>
          <w:color w:val="000000" w:themeColor="text1"/>
          <w:sz w:val="24"/>
          <w:szCs w:val="24"/>
        </w:rPr>
        <w:lastRenderedPageBreak/>
        <w:t>program and policy development. Additionally, this data can support both dental and non-dental educational programming as well as encourage program change within health networks and systems statewide.</w:t>
      </w:r>
      <w:r w:rsidR="00953D60">
        <w:rPr>
          <w:rFonts w:cstheme="minorHAnsi"/>
          <w:color w:val="000000" w:themeColor="text1"/>
          <w:sz w:val="24"/>
          <w:szCs w:val="24"/>
        </w:rPr>
        <w:t xml:space="preserve"> </w:t>
      </w:r>
    </w:p>
    <w:p w14:paraId="5B93E98E" w14:textId="46843E68" w:rsidR="00F35192" w:rsidRPr="00F35192" w:rsidRDefault="00F35192" w:rsidP="00F35192">
      <w:pPr>
        <w:spacing w:line="360" w:lineRule="auto"/>
        <w:rPr>
          <w:rFonts w:cstheme="minorHAnsi"/>
          <w:color w:val="000000" w:themeColor="text1"/>
          <w:sz w:val="24"/>
          <w:szCs w:val="24"/>
        </w:rPr>
      </w:pPr>
      <w:r>
        <w:rPr>
          <w:rFonts w:cstheme="minorHAnsi"/>
          <w:color w:val="000000" w:themeColor="text1"/>
          <w:sz w:val="24"/>
          <w:szCs w:val="24"/>
        </w:rPr>
        <w:t>For Year 1, t</w:t>
      </w:r>
      <w:r w:rsidRPr="00F35192">
        <w:rPr>
          <w:rFonts w:cstheme="minorHAnsi"/>
          <w:color w:val="000000" w:themeColor="text1"/>
          <w:sz w:val="24"/>
          <w:szCs w:val="24"/>
        </w:rPr>
        <w:t>he analysis utilized weighted survey data from the 2022 Behavioral Risk Factor Surveillance System (BRFSS) for Virginia. Prevalence estimates were generated to capture the proportion of adults reporting diabetes, as well as their utilization of routine medical checkups and dental care. Weighted estimates ensure the results are representative of the adult population in Virginia by accounting for survey design and sampling methodology. These data provided the foundation for calculating the comparative rates of medical versus dental care utilization, the prevalence of tooth loss among adults with and without diabetes, and age-specific burdens.</w:t>
      </w:r>
      <w:r>
        <w:rPr>
          <w:rFonts w:cstheme="minorHAnsi"/>
          <w:color w:val="000000" w:themeColor="text1"/>
          <w:sz w:val="24"/>
          <w:szCs w:val="24"/>
        </w:rPr>
        <w:t xml:space="preserve"> Nearly all Virginia adults with diabetes get regular medical checkups (90%), however only 65% of Virginia adults with diabetes had a dental visit. Diabetes impacts Virginia</w:t>
      </w:r>
      <w:r w:rsidR="00952080">
        <w:rPr>
          <w:rFonts w:cstheme="minorHAnsi"/>
          <w:color w:val="000000" w:themeColor="text1"/>
          <w:sz w:val="24"/>
          <w:szCs w:val="24"/>
        </w:rPr>
        <w:t>’</w:t>
      </w:r>
      <w:r>
        <w:rPr>
          <w:rFonts w:cstheme="minorHAnsi"/>
          <w:color w:val="000000" w:themeColor="text1"/>
          <w:sz w:val="24"/>
          <w:szCs w:val="24"/>
        </w:rPr>
        <w:t xml:space="preserve">s older adult population </w:t>
      </w:r>
      <w:r w:rsidR="00952080">
        <w:rPr>
          <w:rFonts w:cstheme="minorHAnsi"/>
          <w:color w:val="000000" w:themeColor="text1"/>
          <w:sz w:val="24"/>
          <w:szCs w:val="24"/>
        </w:rPr>
        <w:t xml:space="preserve">with a quarter of those aged 65 and older reporting a diagnosis of diabetes while only 11.8% of adults in Virginia age 18 and older report being diabetic. 62% of adult diabetics aged 18 and over in Virginia report tooth loss and 32% of adults over age 65 with diabetes report severe tooth loss. </w:t>
      </w:r>
      <w:r>
        <w:rPr>
          <w:rFonts w:cstheme="minorHAnsi"/>
          <w:color w:val="000000" w:themeColor="text1"/>
          <w:sz w:val="24"/>
          <w:szCs w:val="24"/>
        </w:rPr>
        <w:t>Th</w:t>
      </w:r>
      <w:r w:rsidR="00952080">
        <w:rPr>
          <w:rFonts w:cstheme="minorHAnsi"/>
          <w:color w:val="000000" w:themeColor="text1"/>
          <w:sz w:val="24"/>
          <w:szCs w:val="24"/>
        </w:rPr>
        <w:t>is</w:t>
      </w:r>
      <w:r>
        <w:rPr>
          <w:rFonts w:cstheme="minorHAnsi"/>
          <w:color w:val="000000" w:themeColor="text1"/>
          <w:sz w:val="24"/>
          <w:szCs w:val="24"/>
        </w:rPr>
        <w:t xml:space="preserve"> analyzed data informed an infographic style brief specific to Virginia informing healthcare providers on the relationship between diabetes and oral health.</w:t>
      </w:r>
    </w:p>
    <w:p w14:paraId="509A2E09" w14:textId="77777777" w:rsidR="00F35192" w:rsidRDefault="00F35192" w:rsidP="00C150DA">
      <w:pPr>
        <w:spacing w:line="360" w:lineRule="auto"/>
        <w:rPr>
          <w:rFonts w:cstheme="minorHAnsi"/>
          <w:color w:val="000000" w:themeColor="text1"/>
          <w:sz w:val="24"/>
          <w:szCs w:val="24"/>
        </w:rPr>
      </w:pPr>
    </w:p>
    <w:p w14:paraId="27A39CE0" w14:textId="1A0545C1" w:rsidR="00953D60" w:rsidRDefault="00953D60" w:rsidP="008473F7">
      <w:pPr>
        <w:pStyle w:val="Heading1"/>
        <w:numPr>
          <w:ilvl w:val="0"/>
          <w:numId w:val="30"/>
        </w:numPr>
        <w:rPr>
          <w:rFonts w:cstheme="minorHAnsi"/>
          <w:sz w:val="24"/>
          <w:szCs w:val="24"/>
        </w:rPr>
      </w:pPr>
      <w:bookmarkStart w:id="25" w:name="_Toc32496108"/>
      <w:r w:rsidRPr="00C6393F">
        <w:rPr>
          <w:rFonts w:cstheme="minorHAnsi"/>
          <w:sz w:val="24"/>
          <w:szCs w:val="24"/>
        </w:rPr>
        <w:t>Resources and Sustainability</w:t>
      </w:r>
      <w:bookmarkEnd w:id="25"/>
      <w:r w:rsidRPr="00C6393F">
        <w:rPr>
          <w:rFonts w:cstheme="minorHAnsi"/>
          <w:sz w:val="24"/>
          <w:szCs w:val="24"/>
        </w:rPr>
        <w:t xml:space="preserve"> </w:t>
      </w:r>
    </w:p>
    <w:p w14:paraId="24B41320" w14:textId="77777777" w:rsidR="00C150DA" w:rsidRPr="00C150DA" w:rsidRDefault="00C150DA" w:rsidP="00C150DA"/>
    <w:p w14:paraId="29A3EB1D" w14:textId="77777777" w:rsidR="00953D60" w:rsidRPr="00C6393F" w:rsidRDefault="00953D60" w:rsidP="00953D60">
      <w:pPr>
        <w:rPr>
          <w:rFonts w:cstheme="minorHAnsi"/>
          <w:b/>
          <w:sz w:val="24"/>
          <w:szCs w:val="24"/>
        </w:rPr>
      </w:pPr>
      <w:r w:rsidRPr="00C6393F">
        <w:rPr>
          <w:rFonts w:cstheme="minorHAnsi"/>
          <w:b/>
          <w:sz w:val="24"/>
          <w:szCs w:val="24"/>
        </w:rPr>
        <w:t>Personnel and partners, including their roles</w:t>
      </w:r>
    </w:p>
    <w:p w14:paraId="662FD157" w14:textId="67662003" w:rsidR="00612551" w:rsidRPr="00C10B11" w:rsidRDefault="00F8543A" w:rsidP="00C150DA">
      <w:pPr>
        <w:autoSpaceDE w:val="0"/>
        <w:autoSpaceDN w:val="0"/>
        <w:adjustRightInd w:val="0"/>
        <w:spacing w:line="360" w:lineRule="auto"/>
        <w:rPr>
          <w:rFonts w:cstheme="minorHAnsi"/>
          <w:sz w:val="24"/>
          <w:szCs w:val="24"/>
        </w:rPr>
      </w:pPr>
      <w:r w:rsidRPr="0079130C">
        <w:rPr>
          <w:rFonts w:cstheme="minorHAnsi"/>
          <w:sz w:val="24"/>
          <w:szCs w:val="24"/>
        </w:rPr>
        <w:t xml:space="preserve">The SOHP implements oral health data collection efforts statewide and coordinates surveillance efforts.  </w:t>
      </w:r>
      <w:r w:rsidR="00612551" w:rsidRPr="0079130C">
        <w:rPr>
          <w:rFonts w:eastAsia="Times New Roman" w:cstheme="minorHAnsi"/>
          <w:sz w:val="24"/>
          <w:szCs w:val="24"/>
        </w:rPr>
        <w:t>The SOHP is housed within the VDH Division of Prevention and Health Promotion (DPHP), which includes the Chronic Disease Unit and Diabetes Program.  The SOH</w:t>
      </w:r>
      <w:r w:rsidR="0079130C">
        <w:rPr>
          <w:rFonts w:eastAsia="Times New Roman" w:cstheme="minorHAnsi"/>
          <w:sz w:val="24"/>
          <w:szCs w:val="24"/>
        </w:rPr>
        <w:t>P</w:t>
      </w:r>
      <w:r w:rsidR="00612551" w:rsidRPr="0079130C">
        <w:rPr>
          <w:rFonts w:eastAsia="Times New Roman" w:cstheme="minorHAnsi"/>
          <w:sz w:val="24"/>
          <w:szCs w:val="24"/>
        </w:rPr>
        <w:t xml:space="preserve"> team includes the Dental Health Programs Manager, who oversees program implementation and strategic alignment; program coordinators for CWF, MDI, EBPDS, and IPC</w:t>
      </w:r>
      <w:r w:rsidR="0022539B">
        <w:rPr>
          <w:rFonts w:eastAsia="Times New Roman" w:cstheme="minorHAnsi"/>
          <w:sz w:val="24"/>
          <w:szCs w:val="24"/>
        </w:rPr>
        <w:t xml:space="preserve"> </w:t>
      </w:r>
      <w:r w:rsidR="00612551" w:rsidRPr="0079130C">
        <w:rPr>
          <w:rFonts w:eastAsia="Times New Roman" w:cstheme="minorHAnsi"/>
          <w:sz w:val="24"/>
          <w:szCs w:val="24"/>
        </w:rPr>
        <w:t xml:space="preserve">initiatives; </w:t>
      </w:r>
      <w:r w:rsidR="0079130C">
        <w:rPr>
          <w:rFonts w:eastAsia="Times New Roman" w:cstheme="minorHAnsi"/>
          <w:sz w:val="24"/>
          <w:szCs w:val="24"/>
        </w:rPr>
        <w:t xml:space="preserve">clinical EBPDS staff, </w:t>
      </w:r>
      <w:r w:rsidR="00612551" w:rsidRPr="0079130C">
        <w:rPr>
          <w:rFonts w:eastAsia="Times New Roman" w:cstheme="minorHAnsi"/>
          <w:sz w:val="24"/>
          <w:szCs w:val="24"/>
        </w:rPr>
        <w:t xml:space="preserve">data entry and systems support staff; as well as administrative support and clinical </w:t>
      </w:r>
      <w:r w:rsidR="00612551" w:rsidRPr="0079130C">
        <w:rPr>
          <w:rFonts w:eastAsia="Times New Roman" w:cstheme="minorHAnsi"/>
          <w:sz w:val="24"/>
          <w:szCs w:val="24"/>
        </w:rPr>
        <w:lastRenderedPageBreak/>
        <w:t xml:space="preserve">quality </w:t>
      </w:r>
      <w:r w:rsidR="00612551" w:rsidRPr="00C10B11">
        <w:rPr>
          <w:rFonts w:eastAsia="Times New Roman" w:cstheme="minorHAnsi"/>
          <w:sz w:val="24"/>
          <w:szCs w:val="24"/>
        </w:rPr>
        <w:t xml:space="preserve">assurance staff. </w:t>
      </w:r>
      <w:r w:rsidR="00FE1781" w:rsidRPr="00C10B11">
        <w:rPr>
          <w:rFonts w:cstheme="minorHAnsi"/>
          <w:sz w:val="24"/>
          <w:szCs w:val="24"/>
        </w:rPr>
        <w:t>SOHP</w:t>
      </w:r>
      <w:r w:rsidR="00953D60" w:rsidRPr="00C10B11">
        <w:rPr>
          <w:rFonts w:cstheme="minorHAnsi"/>
          <w:sz w:val="24"/>
          <w:szCs w:val="24"/>
        </w:rPr>
        <w:t xml:space="preserve"> staff are skilled in core public health competencies, have continually demonstrated their ability and capacity to manage projects effectively both administratively and financially</w:t>
      </w:r>
      <w:r w:rsidR="00FE1781" w:rsidRPr="00C10B11">
        <w:rPr>
          <w:rFonts w:cstheme="minorHAnsi"/>
          <w:sz w:val="24"/>
          <w:szCs w:val="24"/>
        </w:rPr>
        <w:t>,</w:t>
      </w:r>
      <w:r w:rsidR="00953D60" w:rsidRPr="00C10B11">
        <w:rPr>
          <w:rFonts w:cstheme="minorHAnsi"/>
          <w:sz w:val="24"/>
          <w:szCs w:val="24"/>
        </w:rPr>
        <w:t xml:space="preserve"> and possess knowledge</w:t>
      </w:r>
      <w:r w:rsidR="009338F9" w:rsidRPr="00C10B11">
        <w:rPr>
          <w:rFonts w:cstheme="minorHAnsi"/>
          <w:sz w:val="24"/>
          <w:szCs w:val="24"/>
        </w:rPr>
        <w:t>,</w:t>
      </w:r>
      <w:r w:rsidR="00953D60" w:rsidRPr="00C10B11">
        <w:rPr>
          <w:rFonts w:cstheme="minorHAnsi"/>
          <w:sz w:val="24"/>
          <w:szCs w:val="24"/>
        </w:rPr>
        <w:t xml:space="preserve"> skills</w:t>
      </w:r>
      <w:r w:rsidR="009338F9" w:rsidRPr="00C10B11">
        <w:rPr>
          <w:rFonts w:cstheme="minorHAnsi"/>
          <w:sz w:val="24"/>
          <w:szCs w:val="24"/>
        </w:rPr>
        <w:t>,</w:t>
      </w:r>
      <w:r w:rsidR="00953D60" w:rsidRPr="00C10B11">
        <w:rPr>
          <w:rFonts w:cstheme="minorHAnsi"/>
          <w:sz w:val="24"/>
          <w:szCs w:val="24"/>
        </w:rPr>
        <w:t xml:space="preserve"> and abilities to ensure program success. </w:t>
      </w:r>
      <w:r w:rsidR="00C10B11" w:rsidRPr="00C10B11">
        <w:rPr>
          <w:rFonts w:cstheme="minorHAnsi"/>
          <w:sz w:val="24"/>
          <w:szCs w:val="24"/>
        </w:rPr>
        <w:t xml:space="preserve">Staff will participate in CDC-led training and peer learning collaboratives facilitated by national organizations such as </w:t>
      </w:r>
      <w:r w:rsidR="001D379E">
        <w:rPr>
          <w:rFonts w:cstheme="minorHAnsi"/>
          <w:sz w:val="24"/>
          <w:szCs w:val="24"/>
        </w:rPr>
        <w:t>the Association of State and Territorial Dental Directors (</w:t>
      </w:r>
      <w:r w:rsidR="00C10B11" w:rsidRPr="00C10B11">
        <w:rPr>
          <w:rFonts w:cstheme="minorHAnsi"/>
          <w:sz w:val="24"/>
          <w:szCs w:val="24"/>
        </w:rPr>
        <w:t>ASTDD</w:t>
      </w:r>
      <w:r w:rsidR="001D379E">
        <w:rPr>
          <w:rFonts w:cstheme="minorHAnsi"/>
          <w:sz w:val="24"/>
          <w:szCs w:val="24"/>
        </w:rPr>
        <w:t>)</w:t>
      </w:r>
      <w:r w:rsidR="00C10B11" w:rsidRPr="00C10B11">
        <w:rPr>
          <w:rFonts w:cstheme="minorHAnsi"/>
          <w:sz w:val="24"/>
          <w:szCs w:val="24"/>
        </w:rPr>
        <w:t xml:space="preserve"> and </w:t>
      </w:r>
      <w:r w:rsidR="006B0217">
        <w:rPr>
          <w:rFonts w:cstheme="minorHAnsi"/>
          <w:sz w:val="24"/>
          <w:szCs w:val="24"/>
        </w:rPr>
        <w:t>the Association of Dental Safety (ADS)</w:t>
      </w:r>
      <w:r w:rsidR="00C10B11" w:rsidRPr="00C10B11">
        <w:rPr>
          <w:rFonts w:cstheme="minorHAnsi"/>
          <w:sz w:val="24"/>
          <w:szCs w:val="24"/>
        </w:rPr>
        <w:t xml:space="preserve">. These activities will enhance staff capabilities in data visualization, community-level needs assessment, and dissemination strategies for diverse audiences. </w:t>
      </w:r>
    </w:p>
    <w:p w14:paraId="0A1139FC" w14:textId="228E508E" w:rsidR="00953D60" w:rsidRPr="0079130C" w:rsidRDefault="00612551" w:rsidP="00C150DA">
      <w:pPr>
        <w:autoSpaceDE w:val="0"/>
        <w:autoSpaceDN w:val="0"/>
        <w:adjustRightInd w:val="0"/>
        <w:spacing w:line="360" w:lineRule="auto"/>
        <w:rPr>
          <w:rFonts w:eastAsia="Calibri" w:cstheme="minorHAnsi"/>
          <w:sz w:val="24"/>
          <w:szCs w:val="24"/>
        </w:rPr>
      </w:pPr>
      <w:r w:rsidRPr="0079130C">
        <w:rPr>
          <w:rFonts w:eastAsia="Times New Roman" w:cstheme="minorHAnsi"/>
          <w:sz w:val="24"/>
          <w:szCs w:val="24"/>
        </w:rPr>
        <w:t xml:space="preserve">Within the </w:t>
      </w:r>
      <w:r w:rsidR="00BE27A8">
        <w:rPr>
          <w:rFonts w:eastAsia="Times New Roman" w:cstheme="minorHAnsi"/>
          <w:sz w:val="24"/>
          <w:szCs w:val="24"/>
        </w:rPr>
        <w:t xml:space="preserve">VDH </w:t>
      </w:r>
      <w:r w:rsidRPr="0079130C">
        <w:rPr>
          <w:rFonts w:eastAsia="Times New Roman" w:cstheme="minorHAnsi"/>
          <w:sz w:val="24"/>
          <w:szCs w:val="24"/>
        </w:rPr>
        <w:t>Office of Family Health Services</w:t>
      </w:r>
      <w:r w:rsidR="003C3887">
        <w:rPr>
          <w:rFonts w:eastAsia="Times New Roman" w:cstheme="minorHAnsi"/>
          <w:sz w:val="24"/>
          <w:szCs w:val="24"/>
        </w:rPr>
        <w:t xml:space="preserve"> (OFHS)</w:t>
      </w:r>
      <w:r w:rsidRPr="0079130C">
        <w:rPr>
          <w:rFonts w:eastAsia="Times New Roman" w:cstheme="minorHAnsi"/>
          <w:sz w:val="24"/>
          <w:szCs w:val="24"/>
        </w:rPr>
        <w:t xml:space="preserve">, of which the DPHP is a part, communications specialists, and evaluator and epidemiologist team members are also housed. </w:t>
      </w:r>
      <w:r w:rsidR="0079130C" w:rsidRPr="0079130C">
        <w:rPr>
          <w:rFonts w:eastAsia="Times New Roman" w:cstheme="minorHAnsi"/>
          <w:sz w:val="24"/>
          <w:szCs w:val="24"/>
        </w:rPr>
        <w:t>The Communications Unit within VDH ensures professional, visually engaging, and consistent materials are developed.</w:t>
      </w:r>
      <w:r w:rsidR="0079130C">
        <w:rPr>
          <w:rFonts w:eastAsia="Times New Roman" w:cstheme="minorHAnsi"/>
          <w:sz w:val="24"/>
          <w:szCs w:val="24"/>
        </w:rPr>
        <w:t xml:space="preserve"> </w:t>
      </w:r>
      <w:r w:rsidR="00953D60" w:rsidRPr="0079130C">
        <w:rPr>
          <w:rFonts w:eastAsia="Calibri" w:cstheme="minorHAnsi"/>
          <w:sz w:val="24"/>
          <w:szCs w:val="24"/>
        </w:rPr>
        <w:t xml:space="preserve">The </w:t>
      </w:r>
      <w:r w:rsidR="00C97DF7">
        <w:rPr>
          <w:rFonts w:eastAsia="Calibri" w:cstheme="minorHAnsi"/>
          <w:sz w:val="24"/>
          <w:szCs w:val="24"/>
        </w:rPr>
        <w:t>SOHP</w:t>
      </w:r>
      <w:r w:rsidR="00953D60" w:rsidRPr="0079130C">
        <w:rPr>
          <w:rFonts w:eastAsia="Calibri" w:cstheme="minorHAnsi"/>
          <w:sz w:val="24"/>
          <w:szCs w:val="24"/>
        </w:rPr>
        <w:t xml:space="preserve"> </w:t>
      </w:r>
      <w:r w:rsidR="00F8543A" w:rsidRPr="0079130C">
        <w:rPr>
          <w:rFonts w:eastAsia="Calibri" w:cstheme="minorHAnsi"/>
          <w:sz w:val="24"/>
          <w:szCs w:val="24"/>
        </w:rPr>
        <w:t>is</w:t>
      </w:r>
      <w:r w:rsidR="00953D60" w:rsidRPr="0079130C">
        <w:rPr>
          <w:rFonts w:eastAsia="Calibri" w:cstheme="minorHAnsi"/>
          <w:sz w:val="24"/>
          <w:szCs w:val="24"/>
        </w:rPr>
        <w:t xml:space="preserve"> supported in epidemiology and evaluation </w:t>
      </w:r>
      <w:r w:rsidR="00F8543A" w:rsidRPr="0079130C">
        <w:rPr>
          <w:rFonts w:eastAsia="Calibri" w:cstheme="minorHAnsi"/>
          <w:sz w:val="24"/>
          <w:szCs w:val="24"/>
        </w:rPr>
        <w:t>by skilled</w:t>
      </w:r>
      <w:r w:rsidR="00953D60" w:rsidRPr="0079130C">
        <w:rPr>
          <w:rFonts w:eastAsia="Calibri" w:cstheme="minorHAnsi"/>
          <w:sz w:val="24"/>
          <w:szCs w:val="24"/>
        </w:rPr>
        <w:t xml:space="preserve"> </w:t>
      </w:r>
      <w:r w:rsidR="00F8543A" w:rsidRPr="0079130C">
        <w:rPr>
          <w:rFonts w:eastAsia="Calibri" w:cstheme="minorHAnsi"/>
          <w:sz w:val="24"/>
          <w:szCs w:val="24"/>
        </w:rPr>
        <w:t xml:space="preserve">data staff.  </w:t>
      </w:r>
      <w:r w:rsidR="00354B34">
        <w:rPr>
          <w:rFonts w:eastAsia="Calibri" w:cstheme="minorHAnsi"/>
          <w:sz w:val="24"/>
          <w:szCs w:val="24"/>
        </w:rPr>
        <w:t>S</w:t>
      </w:r>
      <w:r w:rsidR="00F8543A" w:rsidRPr="0079130C">
        <w:rPr>
          <w:rFonts w:eastAsia="Calibri" w:cstheme="minorHAnsi"/>
          <w:sz w:val="24"/>
          <w:szCs w:val="24"/>
        </w:rPr>
        <w:t>taff</w:t>
      </w:r>
      <w:r w:rsidR="00953D60" w:rsidRPr="0079130C">
        <w:rPr>
          <w:rFonts w:eastAsia="Calibri" w:cstheme="minorHAnsi"/>
          <w:sz w:val="24"/>
          <w:szCs w:val="24"/>
        </w:rPr>
        <w:t xml:space="preserve"> provid</w:t>
      </w:r>
      <w:r w:rsidR="00F8543A" w:rsidRPr="0079130C">
        <w:rPr>
          <w:rFonts w:eastAsia="Calibri" w:cstheme="minorHAnsi"/>
          <w:sz w:val="24"/>
          <w:szCs w:val="24"/>
        </w:rPr>
        <w:t>e</w:t>
      </w:r>
      <w:r w:rsidR="00953D60" w:rsidRPr="0079130C">
        <w:rPr>
          <w:rFonts w:eastAsia="Calibri" w:cstheme="minorHAnsi"/>
          <w:sz w:val="24"/>
          <w:szCs w:val="24"/>
        </w:rPr>
        <w:t xml:space="preserve"> on-going support for development of surveillance</w:t>
      </w:r>
      <w:r w:rsidR="00F8543A" w:rsidRPr="0079130C">
        <w:rPr>
          <w:rFonts w:eastAsia="Calibri" w:cstheme="minorHAnsi"/>
          <w:sz w:val="24"/>
          <w:szCs w:val="24"/>
        </w:rPr>
        <w:t>,</w:t>
      </w:r>
      <w:r w:rsidR="00953D60" w:rsidRPr="0079130C">
        <w:rPr>
          <w:rFonts w:eastAsia="Calibri" w:cstheme="minorHAnsi"/>
          <w:sz w:val="24"/>
          <w:szCs w:val="24"/>
        </w:rPr>
        <w:t xml:space="preserve"> evaluation, and epidemiological components of the programs. Staff are experts in identifying surveillance needs; designing, planning and conducting program evaluation activities; developing data collection instruments; collecting data; conducting quantitative and qualitative analysis; and creating dissemination products</w:t>
      </w:r>
      <w:r w:rsidR="00F8543A" w:rsidRPr="0079130C">
        <w:rPr>
          <w:rFonts w:eastAsia="Calibri" w:cstheme="minorHAnsi"/>
          <w:sz w:val="24"/>
          <w:szCs w:val="24"/>
        </w:rPr>
        <w:t xml:space="preserve">.  </w:t>
      </w:r>
      <w:r w:rsidR="0079130C" w:rsidRPr="0079130C">
        <w:rPr>
          <w:rFonts w:eastAsia="Times New Roman" w:cstheme="minorHAnsi"/>
          <w:sz w:val="24"/>
          <w:szCs w:val="24"/>
        </w:rPr>
        <w:t xml:space="preserve">Staff have extensive training in quantitative and qualitative methods, program evaluation, and public health systems. </w:t>
      </w:r>
      <w:r w:rsidR="00F8543A" w:rsidRPr="0079130C">
        <w:rPr>
          <w:rFonts w:eastAsia="Calibri" w:cstheme="minorHAnsi"/>
          <w:sz w:val="24"/>
          <w:szCs w:val="24"/>
        </w:rPr>
        <w:t>Importantly, they are also</w:t>
      </w:r>
      <w:r w:rsidR="00953D60" w:rsidRPr="0079130C">
        <w:rPr>
          <w:rFonts w:eastAsia="Calibri" w:cstheme="minorHAnsi"/>
          <w:sz w:val="24"/>
          <w:szCs w:val="24"/>
        </w:rPr>
        <w:t xml:space="preserve"> proficient in documenting outcomes, translating evaluation and performance data into meaningful information that can inform and steer strategic planning and decision making across sectors</w:t>
      </w:r>
      <w:r w:rsidR="00F8543A" w:rsidRPr="0079130C">
        <w:rPr>
          <w:rFonts w:eastAsia="Calibri" w:cstheme="minorHAnsi"/>
          <w:sz w:val="24"/>
          <w:szCs w:val="24"/>
        </w:rPr>
        <w:t xml:space="preserve">, and </w:t>
      </w:r>
      <w:r w:rsidR="00953D60" w:rsidRPr="0079130C">
        <w:rPr>
          <w:rFonts w:eastAsia="Calibri" w:cstheme="minorHAnsi"/>
          <w:sz w:val="24"/>
          <w:szCs w:val="24"/>
        </w:rPr>
        <w:t>facilitating program improvement.</w:t>
      </w:r>
      <w:r w:rsidR="00787F0B" w:rsidRPr="0079130C">
        <w:rPr>
          <w:rFonts w:eastAsia="Calibri" w:cstheme="minorHAnsi"/>
          <w:sz w:val="24"/>
          <w:szCs w:val="24"/>
        </w:rPr>
        <w:t xml:space="preserve"> </w:t>
      </w:r>
    </w:p>
    <w:p w14:paraId="1D8DA33B" w14:textId="77777777" w:rsidR="0079130C" w:rsidRPr="0079130C" w:rsidRDefault="0079130C" w:rsidP="0079130C">
      <w:pPr>
        <w:autoSpaceDE w:val="0"/>
        <w:autoSpaceDN w:val="0"/>
        <w:adjustRightInd w:val="0"/>
        <w:spacing w:line="360" w:lineRule="auto"/>
        <w:rPr>
          <w:rFonts w:cstheme="minorHAnsi"/>
          <w:strike/>
          <w:color w:val="FF0000"/>
          <w:sz w:val="24"/>
          <w:szCs w:val="24"/>
        </w:rPr>
      </w:pPr>
      <w:r w:rsidRPr="0079130C">
        <w:rPr>
          <w:rFonts w:cstheme="minorHAnsi"/>
          <w:sz w:val="24"/>
          <w:szCs w:val="24"/>
        </w:rPr>
        <w:t xml:space="preserve">Key SOHP partners are also skilled at and understand the importance of oral health surveillance.  Careful planning, preparation and coordination allow the SOHP and partners to work seamlessly on surveillance activities and these partnerships have proven to be vital to surveillance at the local and state level. </w:t>
      </w:r>
    </w:p>
    <w:p w14:paraId="23B6AE1C" w14:textId="5C8BF004" w:rsidR="00BB2348" w:rsidRDefault="00FE1781" w:rsidP="00C150DA">
      <w:pPr>
        <w:autoSpaceDE w:val="0"/>
        <w:autoSpaceDN w:val="0"/>
        <w:adjustRightInd w:val="0"/>
        <w:spacing w:line="360" w:lineRule="auto"/>
        <w:rPr>
          <w:rFonts w:cstheme="minorHAnsi"/>
          <w:sz w:val="24"/>
          <w:szCs w:val="24"/>
        </w:rPr>
      </w:pPr>
      <w:r w:rsidRPr="0079130C">
        <w:rPr>
          <w:rFonts w:cstheme="minorHAnsi"/>
          <w:sz w:val="24"/>
          <w:szCs w:val="24"/>
        </w:rPr>
        <w:t xml:space="preserve">The SOHP has multiple long standing and new partnerships and collaborations. </w:t>
      </w:r>
      <w:r w:rsidR="00F8543A" w:rsidRPr="0079130C">
        <w:rPr>
          <w:rFonts w:cstheme="minorHAnsi"/>
          <w:sz w:val="24"/>
          <w:szCs w:val="24"/>
        </w:rPr>
        <w:t>Partnerships with statewide organizations</w:t>
      </w:r>
      <w:r w:rsidR="00D77057" w:rsidRPr="0079130C">
        <w:rPr>
          <w:rFonts w:cstheme="minorHAnsi"/>
          <w:sz w:val="24"/>
          <w:szCs w:val="24"/>
        </w:rPr>
        <w:t xml:space="preserve">, </w:t>
      </w:r>
      <w:r w:rsidR="00F8543A" w:rsidRPr="0079130C">
        <w:rPr>
          <w:rFonts w:cstheme="minorHAnsi"/>
          <w:sz w:val="24"/>
          <w:szCs w:val="24"/>
        </w:rPr>
        <w:t xml:space="preserve">state agencies </w:t>
      </w:r>
      <w:r w:rsidR="00D77057" w:rsidRPr="0079130C">
        <w:rPr>
          <w:rFonts w:cstheme="minorHAnsi"/>
          <w:sz w:val="24"/>
          <w:szCs w:val="24"/>
        </w:rPr>
        <w:t>and other VDH Offices</w:t>
      </w:r>
      <w:r w:rsidR="003C0B41" w:rsidRPr="0079130C">
        <w:rPr>
          <w:rFonts w:cstheme="minorHAnsi"/>
          <w:sz w:val="24"/>
          <w:szCs w:val="24"/>
        </w:rPr>
        <w:t xml:space="preserve"> all serve unique and important roles. Statewide organizations include </w:t>
      </w:r>
      <w:r w:rsidR="00C97DF7">
        <w:rPr>
          <w:rFonts w:cstheme="minorHAnsi"/>
          <w:sz w:val="24"/>
          <w:szCs w:val="24"/>
        </w:rPr>
        <w:t>VHC</w:t>
      </w:r>
      <w:r w:rsidR="003C0B41" w:rsidRPr="0079130C">
        <w:rPr>
          <w:rFonts w:cstheme="minorHAnsi"/>
          <w:sz w:val="24"/>
          <w:szCs w:val="24"/>
        </w:rPr>
        <w:t xml:space="preserve">, </w:t>
      </w:r>
      <w:r w:rsidR="00641607" w:rsidRPr="0079130C">
        <w:rPr>
          <w:rFonts w:cstheme="minorHAnsi"/>
          <w:sz w:val="24"/>
          <w:szCs w:val="24"/>
        </w:rPr>
        <w:t>Virginia’s</w:t>
      </w:r>
      <w:r w:rsidR="003C0B41" w:rsidRPr="0079130C">
        <w:rPr>
          <w:rFonts w:cstheme="minorHAnsi"/>
          <w:sz w:val="24"/>
          <w:szCs w:val="24"/>
        </w:rPr>
        <w:t xml:space="preserve"> nationally </w:t>
      </w:r>
      <w:r w:rsidR="00641607" w:rsidRPr="0079130C">
        <w:rPr>
          <w:rFonts w:cstheme="minorHAnsi"/>
          <w:sz w:val="24"/>
          <w:szCs w:val="24"/>
        </w:rPr>
        <w:t>known</w:t>
      </w:r>
      <w:r w:rsidR="003C0B41" w:rsidRPr="0079130C">
        <w:rPr>
          <w:rFonts w:cstheme="minorHAnsi"/>
          <w:sz w:val="24"/>
          <w:szCs w:val="24"/>
        </w:rPr>
        <w:t xml:space="preserve"> state oral </w:t>
      </w:r>
      <w:r w:rsidR="003C0B41" w:rsidRPr="0079130C">
        <w:rPr>
          <w:rFonts w:cstheme="minorHAnsi"/>
          <w:sz w:val="24"/>
          <w:szCs w:val="24"/>
        </w:rPr>
        <w:lastRenderedPageBreak/>
        <w:t xml:space="preserve">health coalition that </w:t>
      </w:r>
      <w:r w:rsidR="00641607" w:rsidRPr="0079130C">
        <w:rPr>
          <w:rFonts w:cstheme="minorHAnsi"/>
          <w:sz w:val="24"/>
          <w:szCs w:val="24"/>
        </w:rPr>
        <w:t xml:space="preserve">works to ensure that all Virginians have access to comprehensive health care that includes oral health. State agencies and other VDH programs are also key partner organizations and include </w:t>
      </w:r>
      <w:r w:rsidR="00FF3F9F">
        <w:rPr>
          <w:rFonts w:cstheme="minorHAnsi"/>
          <w:sz w:val="24"/>
          <w:szCs w:val="24"/>
        </w:rPr>
        <w:t>DOE</w:t>
      </w:r>
      <w:r w:rsidR="00D77057" w:rsidRPr="0079130C">
        <w:rPr>
          <w:rFonts w:cstheme="minorHAnsi"/>
          <w:sz w:val="24"/>
          <w:szCs w:val="24"/>
        </w:rPr>
        <w:t xml:space="preserve">, </w:t>
      </w:r>
      <w:r w:rsidR="00FF3F9F">
        <w:rPr>
          <w:rFonts w:cstheme="minorHAnsi"/>
          <w:sz w:val="24"/>
          <w:szCs w:val="24"/>
        </w:rPr>
        <w:t>ODW</w:t>
      </w:r>
      <w:r w:rsidR="003C0B41" w:rsidRPr="0079130C">
        <w:rPr>
          <w:rFonts w:cstheme="minorHAnsi"/>
          <w:sz w:val="24"/>
          <w:szCs w:val="24"/>
        </w:rPr>
        <w:t xml:space="preserve">, and the </w:t>
      </w:r>
      <w:r w:rsidR="00FF3F9F">
        <w:rPr>
          <w:rFonts w:cstheme="minorHAnsi"/>
          <w:sz w:val="24"/>
          <w:szCs w:val="24"/>
        </w:rPr>
        <w:t>HAI</w:t>
      </w:r>
      <w:r w:rsidR="003C0B41" w:rsidRPr="0079130C">
        <w:rPr>
          <w:rFonts w:cstheme="minorHAnsi"/>
          <w:sz w:val="24"/>
          <w:szCs w:val="24"/>
        </w:rPr>
        <w:t xml:space="preserve"> Program</w:t>
      </w:r>
      <w:r w:rsidR="00641607" w:rsidRPr="0079130C">
        <w:rPr>
          <w:rFonts w:cstheme="minorHAnsi"/>
          <w:sz w:val="24"/>
          <w:szCs w:val="24"/>
        </w:rPr>
        <w:t>.  Local</w:t>
      </w:r>
      <w:r w:rsidR="00D77057" w:rsidRPr="0079130C">
        <w:rPr>
          <w:rFonts w:cstheme="minorHAnsi"/>
          <w:sz w:val="24"/>
          <w:szCs w:val="24"/>
        </w:rPr>
        <w:t xml:space="preserve"> organizations </w:t>
      </w:r>
      <w:r w:rsidR="003C0B41" w:rsidRPr="0079130C">
        <w:rPr>
          <w:rFonts w:cstheme="minorHAnsi"/>
          <w:sz w:val="24"/>
          <w:szCs w:val="24"/>
        </w:rPr>
        <w:t>like</w:t>
      </w:r>
      <w:r w:rsidR="00D77057" w:rsidRPr="0079130C">
        <w:rPr>
          <w:rFonts w:cstheme="minorHAnsi"/>
          <w:sz w:val="24"/>
          <w:szCs w:val="24"/>
        </w:rPr>
        <w:t xml:space="preserve"> individual free clinics and community health centers are </w:t>
      </w:r>
      <w:r w:rsidR="00641607" w:rsidRPr="0079130C">
        <w:rPr>
          <w:rFonts w:cstheme="minorHAnsi"/>
          <w:sz w:val="24"/>
          <w:szCs w:val="24"/>
        </w:rPr>
        <w:t>also</w:t>
      </w:r>
      <w:r w:rsidR="00D77057" w:rsidRPr="0079130C">
        <w:rPr>
          <w:rFonts w:cstheme="minorHAnsi"/>
          <w:sz w:val="24"/>
          <w:szCs w:val="24"/>
        </w:rPr>
        <w:t xml:space="preserve"> important as the SOHP works to collect</w:t>
      </w:r>
      <w:r w:rsidR="003C0B41" w:rsidRPr="0079130C">
        <w:rPr>
          <w:rFonts w:cstheme="minorHAnsi"/>
          <w:sz w:val="24"/>
          <w:szCs w:val="24"/>
        </w:rPr>
        <w:t>, analyze</w:t>
      </w:r>
      <w:r w:rsidR="00641607" w:rsidRPr="0079130C">
        <w:rPr>
          <w:rFonts w:cstheme="minorHAnsi"/>
          <w:sz w:val="24"/>
          <w:szCs w:val="24"/>
        </w:rPr>
        <w:t>,</w:t>
      </w:r>
      <w:r w:rsidR="003C0B41" w:rsidRPr="0079130C">
        <w:rPr>
          <w:rFonts w:cstheme="minorHAnsi"/>
          <w:sz w:val="24"/>
          <w:szCs w:val="24"/>
        </w:rPr>
        <w:t xml:space="preserve"> and disseminate </w:t>
      </w:r>
      <w:r w:rsidR="00D77057" w:rsidRPr="0079130C">
        <w:rPr>
          <w:rFonts w:cstheme="minorHAnsi"/>
          <w:sz w:val="24"/>
          <w:szCs w:val="24"/>
        </w:rPr>
        <w:t xml:space="preserve">oral health data.  </w:t>
      </w:r>
    </w:p>
    <w:p w14:paraId="51EA3D68" w14:textId="768BDD09" w:rsidR="00953D60" w:rsidRPr="0079130C" w:rsidRDefault="00D77057" w:rsidP="00C150DA">
      <w:pPr>
        <w:autoSpaceDE w:val="0"/>
        <w:autoSpaceDN w:val="0"/>
        <w:adjustRightInd w:val="0"/>
        <w:spacing w:line="360" w:lineRule="auto"/>
        <w:rPr>
          <w:rFonts w:cstheme="minorHAnsi"/>
          <w:sz w:val="24"/>
          <w:szCs w:val="24"/>
        </w:rPr>
      </w:pPr>
      <w:r w:rsidRPr="0079130C">
        <w:rPr>
          <w:rFonts w:cstheme="minorHAnsi"/>
          <w:sz w:val="24"/>
          <w:szCs w:val="24"/>
        </w:rPr>
        <w:t xml:space="preserve">National partnerships are also </w:t>
      </w:r>
      <w:r w:rsidR="00953D60" w:rsidRPr="0079130C">
        <w:rPr>
          <w:rFonts w:eastAsia="Calibri" w:cstheme="minorHAnsi"/>
          <w:sz w:val="24"/>
          <w:szCs w:val="24"/>
        </w:rPr>
        <w:t xml:space="preserve">significant </w:t>
      </w:r>
      <w:r w:rsidRPr="0079130C">
        <w:rPr>
          <w:rFonts w:eastAsia="Calibri" w:cstheme="minorHAnsi"/>
          <w:sz w:val="24"/>
          <w:szCs w:val="24"/>
        </w:rPr>
        <w:t xml:space="preserve">and </w:t>
      </w:r>
      <w:r w:rsidR="00953D60" w:rsidRPr="0079130C">
        <w:rPr>
          <w:rFonts w:eastAsia="Calibri" w:cstheme="minorHAnsi"/>
          <w:sz w:val="24"/>
          <w:szCs w:val="24"/>
        </w:rPr>
        <w:t xml:space="preserve">include </w:t>
      </w:r>
      <w:r w:rsidRPr="0079130C">
        <w:rPr>
          <w:rFonts w:eastAsia="Calibri" w:cstheme="minorHAnsi"/>
          <w:sz w:val="24"/>
          <w:szCs w:val="24"/>
        </w:rPr>
        <w:t>working relationships with</w:t>
      </w:r>
      <w:r w:rsidR="00755523">
        <w:rPr>
          <w:rFonts w:eastAsia="Calibri" w:cstheme="minorHAnsi"/>
          <w:sz w:val="24"/>
          <w:szCs w:val="24"/>
        </w:rPr>
        <w:t xml:space="preserve"> the</w:t>
      </w:r>
      <w:r w:rsidRPr="0079130C">
        <w:rPr>
          <w:rFonts w:eastAsia="Calibri" w:cstheme="minorHAnsi"/>
          <w:sz w:val="24"/>
          <w:szCs w:val="24"/>
        </w:rPr>
        <w:t xml:space="preserve"> </w:t>
      </w:r>
      <w:r w:rsidR="002F423D">
        <w:rPr>
          <w:rFonts w:eastAsia="Calibri" w:cstheme="minorHAnsi"/>
          <w:sz w:val="24"/>
          <w:szCs w:val="24"/>
        </w:rPr>
        <w:t>National Association of Chronic Disease Directors (</w:t>
      </w:r>
      <w:r w:rsidR="00953D60" w:rsidRPr="0079130C">
        <w:rPr>
          <w:rFonts w:eastAsia="Calibri" w:cstheme="minorHAnsi"/>
          <w:sz w:val="24"/>
          <w:szCs w:val="24"/>
        </w:rPr>
        <w:t>NACDD</w:t>
      </w:r>
      <w:r w:rsidR="002F423D">
        <w:rPr>
          <w:rFonts w:eastAsia="Calibri" w:cstheme="minorHAnsi"/>
          <w:sz w:val="24"/>
          <w:szCs w:val="24"/>
        </w:rPr>
        <w:t>)</w:t>
      </w:r>
      <w:r w:rsidR="00787F0B" w:rsidRPr="0079130C">
        <w:rPr>
          <w:rFonts w:eastAsia="Calibri" w:cstheme="minorHAnsi"/>
          <w:sz w:val="24"/>
          <w:szCs w:val="24"/>
        </w:rPr>
        <w:t xml:space="preserve"> and ASTDD</w:t>
      </w:r>
      <w:r w:rsidR="00953D60" w:rsidRPr="0079130C">
        <w:rPr>
          <w:rFonts w:eastAsia="Calibri" w:cstheme="minorHAnsi"/>
          <w:sz w:val="24"/>
          <w:szCs w:val="24"/>
        </w:rPr>
        <w:t xml:space="preserve"> </w:t>
      </w:r>
      <w:r w:rsidR="0023153B">
        <w:rPr>
          <w:rFonts w:eastAsia="Calibri" w:cstheme="minorHAnsi"/>
          <w:sz w:val="24"/>
          <w:szCs w:val="24"/>
        </w:rPr>
        <w:t>o</w:t>
      </w:r>
      <w:r w:rsidR="00953D60" w:rsidRPr="0079130C">
        <w:rPr>
          <w:rFonts w:eastAsia="Calibri" w:cstheme="minorHAnsi"/>
          <w:sz w:val="24"/>
          <w:szCs w:val="24"/>
        </w:rPr>
        <w:t xml:space="preserve">ral </w:t>
      </w:r>
      <w:r w:rsidR="0023153B">
        <w:rPr>
          <w:rFonts w:eastAsia="Calibri" w:cstheme="minorHAnsi"/>
          <w:sz w:val="24"/>
          <w:szCs w:val="24"/>
        </w:rPr>
        <w:t>h</w:t>
      </w:r>
      <w:r w:rsidR="00953D60" w:rsidRPr="0079130C">
        <w:rPr>
          <w:rFonts w:eastAsia="Calibri" w:cstheme="minorHAnsi"/>
          <w:sz w:val="24"/>
          <w:szCs w:val="24"/>
        </w:rPr>
        <w:t>ealth consultants</w:t>
      </w:r>
      <w:r w:rsidR="00787F0B" w:rsidRPr="0079130C">
        <w:rPr>
          <w:rFonts w:eastAsia="Calibri" w:cstheme="minorHAnsi"/>
          <w:sz w:val="24"/>
          <w:szCs w:val="24"/>
        </w:rPr>
        <w:t>.</w:t>
      </w:r>
      <w:r w:rsidR="00BB2348" w:rsidRPr="00BB2348">
        <w:t xml:space="preserve"> </w:t>
      </w:r>
      <w:r w:rsidR="00BB2348" w:rsidRPr="00BB2348">
        <w:rPr>
          <w:rFonts w:eastAsia="Calibri" w:cstheme="minorHAnsi"/>
          <w:sz w:val="24"/>
          <w:szCs w:val="24"/>
        </w:rPr>
        <w:t xml:space="preserve">Technical assistance will be sought from </w:t>
      </w:r>
      <w:r w:rsidR="0023153B">
        <w:rPr>
          <w:rFonts w:eastAsia="Calibri" w:cstheme="minorHAnsi"/>
          <w:sz w:val="24"/>
          <w:szCs w:val="24"/>
        </w:rPr>
        <w:t>f</w:t>
      </w:r>
      <w:r w:rsidR="00BB2348">
        <w:rPr>
          <w:rFonts w:eastAsia="Calibri" w:cstheme="minorHAnsi"/>
          <w:sz w:val="24"/>
          <w:szCs w:val="24"/>
        </w:rPr>
        <w:t xml:space="preserve">ederal agencies, primarily the </w:t>
      </w:r>
      <w:r w:rsidR="00BB2348" w:rsidRPr="00BB2348">
        <w:rPr>
          <w:rFonts w:eastAsia="Calibri" w:cstheme="minorHAnsi"/>
          <w:sz w:val="24"/>
          <w:szCs w:val="24"/>
        </w:rPr>
        <w:t>CDC</w:t>
      </w:r>
      <w:r w:rsidR="00BB2348">
        <w:rPr>
          <w:rFonts w:eastAsia="Calibri" w:cstheme="minorHAnsi"/>
          <w:sz w:val="24"/>
          <w:szCs w:val="24"/>
        </w:rPr>
        <w:t>,</w:t>
      </w:r>
      <w:r w:rsidR="00BB2348" w:rsidRPr="00BB2348">
        <w:rPr>
          <w:rFonts w:eastAsia="Calibri" w:cstheme="minorHAnsi"/>
          <w:sz w:val="24"/>
          <w:szCs w:val="24"/>
        </w:rPr>
        <w:t xml:space="preserve"> </w:t>
      </w:r>
      <w:r w:rsidR="00BB2348">
        <w:rPr>
          <w:rFonts w:eastAsia="Calibri" w:cstheme="minorHAnsi"/>
          <w:sz w:val="24"/>
          <w:szCs w:val="24"/>
        </w:rPr>
        <w:t xml:space="preserve">to </w:t>
      </w:r>
      <w:r w:rsidR="00BB2348" w:rsidRPr="00BB2348">
        <w:rPr>
          <w:rFonts w:eastAsia="Calibri" w:cstheme="minorHAnsi"/>
          <w:sz w:val="24"/>
          <w:szCs w:val="24"/>
        </w:rPr>
        <w:t>address emerging data priorities, ensure analytic rigor, and promote evidence-based decision-making.</w:t>
      </w:r>
    </w:p>
    <w:p w14:paraId="224295DA" w14:textId="77777777" w:rsidR="00953D60" w:rsidRPr="00641607" w:rsidRDefault="00953D60" w:rsidP="00953D60">
      <w:pPr>
        <w:rPr>
          <w:rFonts w:cstheme="minorHAnsi"/>
          <w:b/>
          <w:sz w:val="24"/>
          <w:szCs w:val="24"/>
        </w:rPr>
      </w:pPr>
      <w:r w:rsidRPr="00641607">
        <w:rPr>
          <w:rFonts w:cstheme="minorHAnsi"/>
          <w:b/>
          <w:sz w:val="24"/>
          <w:szCs w:val="24"/>
        </w:rPr>
        <w:t>Comprehensive budget</w:t>
      </w:r>
    </w:p>
    <w:p w14:paraId="6F7B8237" w14:textId="51D9CC8F" w:rsidR="00953D60" w:rsidRPr="00641607" w:rsidRDefault="00953D60" w:rsidP="00C150DA">
      <w:pPr>
        <w:spacing w:line="360" w:lineRule="auto"/>
        <w:rPr>
          <w:rFonts w:cstheme="minorHAnsi"/>
          <w:sz w:val="24"/>
          <w:szCs w:val="24"/>
        </w:rPr>
      </w:pPr>
      <w:r w:rsidRPr="00641607">
        <w:rPr>
          <w:rFonts w:cstheme="minorHAnsi"/>
          <w:sz w:val="24"/>
          <w:szCs w:val="24"/>
        </w:rPr>
        <w:t xml:space="preserve">The SOHP funds a fulltime epidemiologist/evaluator position to coordinate surveillance efforts.  Kalu Onwuchekwa is the current epidemiologist/evaluator and is housed in the Division of Population Health Data as are all data related </w:t>
      </w:r>
      <w:r w:rsidR="00787F0B" w:rsidRPr="00641607">
        <w:rPr>
          <w:rFonts w:cstheme="minorHAnsi"/>
          <w:sz w:val="24"/>
          <w:szCs w:val="24"/>
        </w:rPr>
        <w:t>staff</w:t>
      </w:r>
      <w:r w:rsidRPr="00641607">
        <w:rPr>
          <w:rFonts w:cstheme="minorHAnsi"/>
          <w:sz w:val="24"/>
          <w:szCs w:val="24"/>
        </w:rPr>
        <w:t xml:space="preserve"> </w:t>
      </w:r>
      <w:r w:rsidR="00A504B8">
        <w:rPr>
          <w:rFonts w:cstheme="minorHAnsi"/>
          <w:sz w:val="24"/>
          <w:szCs w:val="24"/>
        </w:rPr>
        <w:t>within OFHS</w:t>
      </w:r>
      <w:r w:rsidRPr="00641607">
        <w:rPr>
          <w:rFonts w:cstheme="minorHAnsi"/>
          <w:sz w:val="24"/>
          <w:szCs w:val="24"/>
        </w:rPr>
        <w:t>. The evaluator is funded equally by several sources of State and Federal funds</w:t>
      </w:r>
      <w:r w:rsidR="009338F9" w:rsidRPr="00641607">
        <w:rPr>
          <w:rFonts w:cstheme="minorHAnsi"/>
          <w:sz w:val="24"/>
          <w:szCs w:val="24"/>
        </w:rPr>
        <w:t xml:space="preserve"> which include the </w:t>
      </w:r>
      <w:r w:rsidRPr="00641607">
        <w:rPr>
          <w:rFonts w:cstheme="minorHAnsi"/>
          <w:sz w:val="24"/>
          <w:szCs w:val="24"/>
        </w:rPr>
        <w:t>HRSA Oral Health Workforce Grant</w:t>
      </w:r>
      <w:r w:rsidR="009338F9" w:rsidRPr="00641607">
        <w:rPr>
          <w:rFonts w:cstheme="minorHAnsi"/>
          <w:sz w:val="24"/>
          <w:szCs w:val="24"/>
        </w:rPr>
        <w:t>, Title V MCH Block Grant, CDC Oral Health Strategies Grant and Virginia State General Funds.</w:t>
      </w:r>
      <w:r w:rsidRPr="00641607">
        <w:rPr>
          <w:rFonts w:cstheme="minorHAnsi"/>
          <w:sz w:val="24"/>
          <w:szCs w:val="24"/>
        </w:rPr>
        <w:t xml:space="preserve"> Travel and other work-related costs are split between funders. Funding for two additional questions to be asked during the BRFSS survey is also federally funded by CDC. While </w:t>
      </w:r>
      <w:r w:rsidR="009338F9" w:rsidRPr="00641607">
        <w:rPr>
          <w:rFonts w:cstheme="minorHAnsi"/>
          <w:sz w:val="24"/>
          <w:szCs w:val="24"/>
        </w:rPr>
        <w:t>some staffing, supplies,</w:t>
      </w:r>
      <w:r w:rsidRPr="00641607">
        <w:rPr>
          <w:rFonts w:cstheme="minorHAnsi"/>
          <w:sz w:val="24"/>
          <w:szCs w:val="24"/>
        </w:rPr>
        <w:t xml:space="preserve"> and printing for the scheduled BSSs comes from CDC, the majority of the costs are covered by State General Funds.  Other SOHP staff assist with the survey in-kind.  In addition, the</w:t>
      </w:r>
      <w:r w:rsidR="00641607">
        <w:rPr>
          <w:rFonts w:cstheme="minorHAnsi"/>
          <w:sz w:val="24"/>
          <w:szCs w:val="24"/>
        </w:rPr>
        <w:t xml:space="preserve"> SOHP contracts with </w:t>
      </w:r>
      <w:r w:rsidR="00CE4148">
        <w:rPr>
          <w:rFonts w:cstheme="minorHAnsi"/>
          <w:sz w:val="24"/>
          <w:szCs w:val="24"/>
        </w:rPr>
        <w:t>VHC</w:t>
      </w:r>
      <w:r w:rsidR="00641607">
        <w:rPr>
          <w:rFonts w:cstheme="minorHAnsi"/>
          <w:sz w:val="24"/>
          <w:szCs w:val="24"/>
        </w:rPr>
        <w:t xml:space="preserve"> who</w:t>
      </w:r>
      <w:r w:rsidR="009338F9" w:rsidRPr="00641607">
        <w:rPr>
          <w:rFonts w:cstheme="minorHAnsi"/>
          <w:sz w:val="24"/>
          <w:szCs w:val="24"/>
        </w:rPr>
        <w:t xml:space="preserve"> utilizes some grant</w:t>
      </w:r>
      <w:r w:rsidRPr="00641607">
        <w:rPr>
          <w:rFonts w:cstheme="minorHAnsi"/>
          <w:sz w:val="24"/>
          <w:szCs w:val="24"/>
        </w:rPr>
        <w:t xml:space="preserve"> funds from the SOHP to support surveillance efforts.  </w:t>
      </w:r>
    </w:p>
    <w:p w14:paraId="703F76C2" w14:textId="27EF6285" w:rsidR="00953D60" w:rsidRPr="00641607" w:rsidRDefault="00953D60" w:rsidP="00C150DA">
      <w:pPr>
        <w:spacing w:line="360" w:lineRule="auto"/>
        <w:rPr>
          <w:rFonts w:cstheme="minorHAnsi"/>
          <w:sz w:val="24"/>
          <w:szCs w:val="24"/>
        </w:rPr>
      </w:pPr>
      <w:r w:rsidRPr="00641607">
        <w:rPr>
          <w:rFonts w:cstheme="minorHAnsi"/>
          <w:sz w:val="24"/>
          <w:szCs w:val="24"/>
        </w:rPr>
        <w:t xml:space="preserve">As described above, the SOHP uses multiple sources of funding for surveillance.  This is one key to sustainability as the loss of one portion of a funding source is not as burdensome as the loss of </w:t>
      </w:r>
      <w:r w:rsidR="00EB6883" w:rsidRPr="00641607">
        <w:rPr>
          <w:rFonts w:cstheme="minorHAnsi"/>
          <w:sz w:val="24"/>
          <w:szCs w:val="24"/>
        </w:rPr>
        <w:t>a single funding source</w:t>
      </w:r>
      <w:r w:rsidRPr="00641607">
        <w:rPr>
          <w:rFonts w:cstheme="minorHAnsi"/>
          <w:sz w:val="24"/>
          <w:szCs w:val="24"/>
        </w:rPr>
        <w:t xml:space="preserve"> covering the entire program.  The SOHP continues to assess funding opportunities for additional ways to support surveillance activities</w:t>
      </w:r>
      <w:r w:rsidR="00EB6883" w:rsidRPr="00641607">
        <w:rPr>
          <w:rFonts w:cstheme="minorHAnsi"/>
          <w:sz w:val="24"/>
          <w:szCs w:val="24"/>
        </w:rPr>
        <w:t xml:space="preserve"> as these activities are a priority.  A</w:t>
      </w:r>
      <w:r w:rsidRPr="00641607">
        <w:rPr>
          <w:rFonts w:cstheme="minorHAnsi"/>
          <w:sz w:val="24"/>
          <w:szCs w:val="24"/>
        </w:rPr>
        <w:t>t this time, there are no gaps in funding</w:t>
      </w:r>
      <w:r w:rsidR="00EB6883" w:rsidRPr="00641607">
        <w:rPr>
          <w:rFonts w:cstheme="minorHAnsi"/>
          <w:sz w:val="24"/>
          <w:szCs w:val="24"/>
        </w:rPr>
        <w:t>, but as the grant landscape changes, surveillance activities may be impacted</w:t>
      </w:r>
      <w:r w:rsidRPr="00641607">
        <w:rPr>
          <w:rFonts w:cstheme="minorHAnsi"/>
          <w:sz w:val="24"/>
          <w:szCs w:val="24"/>
        </w:rPr>
        <w:t>.</w:t>
      </w:r>
    </w:p>
    <w:p w14:paraId="4DBBD734" w14:textId="77777777" w:rsidR="00953D60" w:rsidRDefault="00953D60" w:rsidP="00953D60">
      <w:pPr>
        <w:rPr>
          <w:rFonts w:cstheme="minorHAnsi"/>
          <w:b/>
          <w:sz w:val="24"/>
          <w:szCs w:val="24"/>
        </w:rPr>
      </w:pPr>
      <w:r w:rsidRPr="00641607">
        <w:rPr>
          <w:rFonts w:cstheme="minorHAnsi"/>
          <w:b/>
          <w:sz w:val="24"/>
          <w:szCs w:val="24"/>
        </w:rPr>
        <w:t>Sustainability</w:t>
      </w:r>
      <w:r w:rsidRPr="00C6393F">
        <w:rPr>
          <w:rFonts w:cstheme="minorHAnsi"/>
          <w:b/>
          <w:sz w:val="24"/>
          <w:szCs w:val="24"/>
        </w:rPr>
        <w:t xml:space="preserve"> </w:t>
      </w:r>
    </w:p>
    <w:p w14:paraId="2B845E7B" w14:textId="1BF5ED79" w:rsidR="00F6034C" w:rsidRDefault="00CD5F14" w:rsidP="00F6034C">
      <w:pPr>
        <w:spacing w:before="240" w:line="360" w:lineRule="auto"/>
        <w:contextualSpacing/>
        <w:jc w:val="both"/>
        <w:rPr>
          <w:sz w:val="24"/>
          <w:szCs w:val="24"/>
        </w:rPr>
      </w:pPr>
      <w:r>
        <w:rPr>
          <w:sz w:val="24"/>
          <w:szCs w:val="24"/>
        </w:rPr>
        <w:lastRenderedPageBreak/>
        <w:t>VDH</w:t>
      </w:r>
      <w:r w:rsidR="00F6034C" w:rsidRPr="00F6034C">
        <w:rPr>
          <w:sz w:val="24"/>
          <w:szCs w:val="24"/>
        </w:rPr>
        <w:t xml:space="preserve"> is committed to sustaining oral health surveillance beyond the life of this funding opportunity. Long-term sustainability will be achieved through the strategic leveraging of multiple funding streams, including Virginia State General Funds, HRSA Oral Health Workforce Grant, Title V MCH and PHHS Block Grants, and revenue from school-based preventive services. The SOHP works diligently to evaluate funded programs to ensure that goals and objectives of grants are being met and that oral health outcomes for Virginia’s most vulnerable populations are being improved to maintain federal funds. In addition, data collection and analysis within state-funded programs is reported to the state general assembly and helps showcase the value of care provided in high-need areas. By aligning the oral health surveillance system with broader public health data initiatives and chronic disease surveillance, SOHP ensures the integration of oral health into mainstream public health practice. This alignment increases the value and relevance of oral health surveillance and opens pathways for future support from nontraditional funding sources and stakeholders.  </w:t>
      </w:r>
    </w:p>
    <w:p w14:paraId="54CD8279" w14:textId="77777777" w:rsidR="00F6034C" w:rsidRPr="00F6034C" w:rsidRDefault="00F6034C" w:rsidP="00F6034C">
      <w:pPr>
        <w:spacing w:before="240" w:line="360" w:lineRule="auto"/>
        <w:contextualSpacing/>
        <w:jc w:val="both"/>
        <w:rPr>
          <w:sz w:val="16"/>
          <w:szCs w:val="16"/>
        </w:rPr>
      </w:pPr>
    </w:p>
    <w:p w14:paraId="4336C3F3" w14:textId="10296B87" w:rsidR="00953D60" w:rsidRPr="00F6034C" w:rsidRDefault="00F6034C" w:rsidP="00F6034C">
      <w:pPr>
        <w:spacing w:line="360" w:lineRule="auto"/>
        <w:contextualSpacing/>
        <w:jc w:val="both"/>
        <w:rPr>
          <w:sz w:val="24"/>
          <w:szCs w:val="24"/>
        </w:rPr>
      </w:pPr>
      <w:r w:rsidRPr="00F6034C">
        <w:rPr>
          <w:sz w:val="24"/>
          <w:szCs w:val="24"/>
        </w:rPr>
        <w:t>The SOHP will continue to leverage state general funds, service revenue, and Federal funding to sustain surveillance systems. Technical assistance will be requested from national partners as needed for analytic challenges and system enhancements.</w:t>
      </w:r>
      <w:r w:rsidR="00374C3E" w:rsidRPr="00F6034C">
        <w:rPr>
          <w:sz w:val="24"/>
          <w:szCs w:val="24"/>
        </w:rPr>
        <w:t xml:space="preserve"> </w:t>
      </w:r>
    </w:p>
    <w:p w14:paraId="27081580" w14:textId="28C45C11" w:rsidR="00953D60" w:rsidRPr="00C6393F" w:rsidRDefault="00953D60" w:rsidP="00641607">
      <w:pPr>
        <w:pStyle w:val="Heading1"/>
        <w:numPr>
          <w:ilvl w:val="0"/>
          <w:numId w:val="30"/>
        </w:numPr>
        <w:rPr>
          <w:rFonts w:cstheme="minorHAnsi"/>
          <w:sz w:val="24"/>
          <w:szCs w:val="24"/>
        </w:rPr>
      </w:pPr>
      <w:bookmarkStart w:id="26" w:name="_Toc32496109"/>
      <w:r w:rsidRPr="00C6393F">
        <w:rPr>
          <w:rFonts w:cstheme="minorHAnsi"/>
          <w:sz w:val="24"/>
          <w:szCs w:val="24"/>
        </w:rPr>
        <w:t>Privacy and Data Confidentiality</w:t>
      </w:r>
      <w:bookmarkEnd w:id="26"/>
      <w:r w:rsidRPr="00C6393F">
        <w:rPr>
          <w:rFonts w:cstheme="minorHAnsi"/>
          <w:sz w:val="24"/>
          <w:szCs w:val="24"/>
        </w:rPr>
        <w:t xml:space="preserve"> </w:t>
      </w:r>
    </w:p>
    <w:p w14:paraId="7C2D8944" w14:textId="77777777" w:rsidR="00953D60" w:rsidRDefault="00953D60" w:rsidP="00953D60">
      <w:pPr>
        <w:rPr>
          <w:rFonts w:cstheme="minorHAnsi"/>
          <w:b/>
          <w:sz w:val="24"/>
          <w:szCs w:val="24"/>
        </w:rPr>
      </w:pPr>
    </w:p>
    <w:p w14:paraId="79F7F7A0" w14:textId="77777777" w:rsidR="00953D60" w:rsidRPr="00C6393F" w:rsidRDefault="00953D60" w:rsidP="00953D60">
      <w:pPr>
        <w:rPr>
          <w:rFonts w:cstheme="minorHAnsi"/>
          <w:b/>
          <w:sz w:val="24"/>
          <w:szCs w:val="24"/>
        </w:rPr>
      </w:pPr>
      <w:r w:rsidRPr="00C6393F">
        <w:rPr>
          <w:rFonts w:cstheme="minorHAnsi"/>
          <w:b/>
          <w:sz w:val="24"/>
          <w:szCs w:val="24"/>
        </w:rPr>
        <w:t xml:space="preserve">Strategies to protect privacy and ensure data confidentiality </w:t>
      </w:r>
    </w:p>
    <w:p w14:paraId="38E3B421" w14:textId="60FBB42B" w:rsidR="00953D60" w:rsidRPr="00DC0F9C" w:rsidRDefault="00953D60" w:rsidP="00C150DA">
      <w:pPr>
        <w:spacing w:line="360" w:lineRule="auto"/>
        <w:rPr>
          <w:sz w:val="24"/>
          <w:szCs w:val="24"/>
        </w:rPr>
      </w:pPr>
      <w:r w:rsidRPr="00DC0F9C">
        <w:rPr>
          <w:sz w:val="24"/>
          <w:szCs w:val="24"/>
        </w:rPr>
        <w:t xml:space="preserve">Access to data is restricted to protect the privacy and confidentiality of institutions from which data are collected. An approved data sharing agreement is required to access individual institutional data and </w:t>
      </w:r>
      <w:r w:rsidR="0097078E" w:rsidRPr="00DC0F9C">
        <w:rPr>
          <w:sz w:val="24"/>
          <w:szCs w:val="24"/>
        </w:rPr>
        <w:t>is</w:t>
      </w:r>
      <w:r w:rsidRPr="00DC0F9C">
        <w:rPr>
          <w:sz w:val="24"/>
          <w:szCs w:val="24"/>
        </w:rPr>
        <w:t xml:space="preserve"> available upon</w:t>
      </w:r>
      <w:r w:rsidR="0097078E" w:rsidRPr="00DC0F9C">
        <w:rPr>
          <w:sz w:val="24"/>
          <w:szCs w:val="24"/>
        </w:rPr>
        <w:t xml:space="preserve"> successful</w:t>
      </w:r>
      <w:r w:rsidRPr="00DC0F9C">
        <w:rPr>
          <w:sz w:val="24"/>
          <w:szCs w:val="24"/>
        </w:rPr>
        <w:t xml:space="preserve"> request</w:t>
      </w:r>
      <w:r w:rsidR="0097078E" w:rsidRPr="00DC0F9C">
        <w:rPr>
          <w:sz w:val="24"/>
          <w:szCs w:val="24"/>
        </w:rPr>
        <w:t xml:space="preserve"> to</w:t>
      </w:r>
      <w:r w:rsidRPr="00DC0F9C">
        <w:rPr>
          <w:sz w:val="24"/>
          <w:szCs w:val="24"/>
        </w:rPr>
        <w:t xml:space="preserve"> the program director. </w:t>
      </w:r>
    </w:p>
    <w:p w14:paraId="12822B56" w14:textId="77FD8D73" w:rsidR="00953D60" w:rsidRPr="00DC0F9C" w:rsidRDefault="0096732C" w:rsidP="00C150DA">
      <w:pPr>
        <w:spacing w:line="360" w:lineRule="auto"/>
        <w:rPr>
          <w:sz w:val="24"/>
          <w:szCs w:val="24"/>
        </w:rPr>
      </w:pPr>
      <w:r w:rsidRPr="00DC0F9C">
        <w:rPr>
          <w:sz w:val="24"/>
          <w:szCs w:val="24"/>
        </w:rPr>
        <w:t>VDH</w:t>
      </w:r>
      <w:r w:rsidR="00953D60" w:rsidRPr="00DC0F9C">
        <w:rPr>
          <w:sz w:val="24"/>
          <w:szCs w:val="24"/>
        </w:rPr>
        <w:t xml:space="preserve"> reports surveillance data to national partners</w:t>
      </w:r>
      <w:r w:rsidR="00374C3E" w:rsidRPr="00DC0F9C">
        <w:rPr>
          <w:sz w:val="24"/>
          <w:szCs w:val="24"/>
        </w:rPr>
        <w:t xml:space="preserve"> such as the </w:t>
      </w:r>
      <w:r w:rsidRPr="00DC0F9C">
        <w:rPr>
          <w:sz w:val="24"/>
          <w:szCs w:val="24"/>
        </w:rPr>
        <w:t>ASTDD</w:t>
      </w:r>
      <w:r w:rsidR="00374C3E" w:rsidRPr="00DC0F9C">
        <w:rPr>
          <w:sz w:val="24"/>
          <w:szCs w:val="24"/>
        </w:rPr>
        <w:t>,</w:t>
      </w:r>
      <w:r w:rsidR="00953D60" w:rsidRPr="00DC0F9C">
        <w:rPr>
          <w:sz w:val="24"/>
          <w:szCs w:val="24"/>
        </w:rPr>
        <w:t xml:space="preserve"> as a CDC requirement</w:t>
      </w:r>
      <w:r w:rsidR="00374C3E" w:rsidRPr="00DC0F9C">
        <w:rPr>
          <w:sz w:val="24"/>
          <w:szCs w:val="24"/>
        </w:rPr>
        <w:t>,</w:t>
      </w:r>
      <w:r w:rsidR="00953D60" w:rsidRPr="00DC0F9C">
        <w:rPr>
          <w:sz w:val="24"/>
          <w:szCs w:val="24"/>
        </w:rPr>
        <w:t xml:space="preserve"> </w:t>
      </w:r>
      <w:r w:rsidRPr="00DC0F9C">
        <w:rPr>
          <w:sz w:val="24"/>
          <w:szCs w:val="24"/>
        </w:rPr>
        <w:t>and to</w:t>
      </w:r>
      <w:r w:rsidR="00953D60" w:rsidRPr="00DC0F9C">
        <w:rPr>
          <w:sz w:val="24"/>
          <w:szCs w:val="24"/>
        </w:rPr>
        <w:t xml:space="preserve"> the General Assembly of Virginia. </w:t>
      </w:r>
      <w:r w:rsidR="00B3024A" w:rsidRPr="00DC0F9C">
        <w:rPr>
          <w:sz w:val="24"/>
          <w:szCs w:val="24"/>
        </w:rPr>
        <w:t xml:space="preserve">A formal data management plan will be developed and will </w:t>
      </w:r>
      <w:r w:rsidR="00DC0F9C" w:rsidRPr="00DC0F9C">
        <w:rPr>
          <w:sz w:val="24"/>
          <w:szCs w:val="24"/>
        </w:rPr>
        <w:t xml:space="preserve">outline data governance, including access protocols, documentation standards, security measures, data sharing guidelines and retention schedules </w:t>
      </w:r>
      <w:r w:rsidR="00B3024A" w:rsidRPr="00DC0F9C">
        <w:rPr>
          <w:sz w:val="24"/>
          <w:szCs w:val="24"/>
        </w:rPr>
        <w:t xml:space="preserve">for all data collection that involves personal health data.  </w:t>
      </w:r>
      <w:r w:rsidR="00953D60" w:rsidRPr="00DC0F9C">
        <w:rPr>
          <w:sz w:val="24"/>
          <w:szCs w:val="24"/>
        </w:rPr>
        <w:t>BSS survey</w:t>
      </w:r>
      <w:r w:rsidR="0097078E" w:rsidRPr="00DC0F9C">
        <w:rPr>
          <w:sz w:val="24"/>
          <w:szCs w:val="24"/>
        </w:rPr>
        <w:t xml:space="preserve"> planning involves </w:t>
      </w:r>
      <w:r w:rsidR="00953D60" w:rsidRPr="00DC0F9C">
        <w:rPr>
          <w:sz w:val="24"/>
          <w:szCs w:val="24"/>
        </w:rPr>
        <w:t xml:space="preserve">an epidemiologist at ASTDD </w:t>
      </w:r>
      <w:r w:rsidR="0097078E" w:rsidRPr="00DC0F9C">
        <w:rPr>
          <w:sz w:val="24"/>
          <w:szCs w:val="24"/>
        </w:rPr>
        <w:t xml:space="preserve">who </w:t>
      </w:r>
      <w:r w:rsidR="00953D60" w:rsidRPr="00DC0F9C">
        <w:rPr>
          <w:sz w:val="24"/>
          <w:szCs w:val="24"/>
        </w:rPr>
        <w:t xml:space="preserve">reviews </w:t>
      </w:r>
      <w:r w:rsidR="00953D60" w:rsidRPr="00DC0F9C">
        <w:rPr>
          <w:sz w:val="24"/>
          <w:szCs w:val="24"/>
        </w:rPr>
        <w:lastRenderedPageBreak/>
        <w:t xml:space="preserve">the methods to assure compliance with </w:t>
      </w:r>
      <w:r w:rsidR="00305D14">
        <w:rPr>
          <w:sz w:val="24"/>
          <w:szCs w:val="24"/>
        </w:rPr>
        <w:t>National Oral</w:t>
      </w:r>
      <w:r w:rsidR="002213A6">
        <w:rPr>
          <w:sz w:val="24"/>
          <w:szCs w:val="24"/>
        </w:rPr>
        <w:t xml:space="preserve"> Health Surveillance System</w:t>
      </w:r>
      <w:r w:rsidR="00953D60" w:rsidRPr="00DC0F9C">
        <w:rPr>
          <w:sz w:val="24"/>
          <w:szCs w:val="24"/>
        </w:rPr>
        <w:t xml:space="preserve"> standards. </w:t>
      </w:r>
      <w:r w:rsidRPr="00DC0F9C">
        <w:rPr>
          <w:sz w:val="24"/>
          <w:szCs w:val="24"/>
        </w:rPr>
        <w:t>VDH</w:t>
      </w:r>
      <w:r w:rsidR="00953D60" w:rsidRPr="00DC0F9C">
        <w:rPr>
          <w:sz w:val="24"/>
          <w:szCs w:val="24"/>
        </w:rPr>
        <w:t xml:space="preserve"> publicly release</w:t>
      </w:r>
      <w:r w:rsidR="00374C3E" w:rsidRPr="00DC0F9C">
        <w:rPr>
          <w:sz w:val="24"/>
          <w:szCs w:val="24"/>
        </w:rPr>
        <w:t>s</w:t>
      </w:r>
      <w:r w:rsidR="00953D60" w:rsidRPr="00DC0F9C">
        <w:rPr>
          <w:sz w:val="24"/>
          <w:szCs w:val="24"/>
        </w:rPr>
        <w:t xml:space="preserve"> data elements as follows: number of schools sampled, number of urban/rural schools, number of children per school, number of children screened, weight (for sampling), race/ethnicity, prevalence of decay experience, prevalence of untreated decay, and prevalence of dental sealants. Data will be available at </w:t>
      </w:r>
      <w:hyperlink r:id="rId11" w:history="1">
        <w:r w:rsidR="00953D60" w:rsidRPr="00DC0F9C">
          <w:rPr>
            <w:rStyle w:val="Hyperlink"/>
            <w:sz w:val="24"/>
            <w:szCs w:val="24"/>
          </w:rPr>
          <w:t>http://www.vdh.virginia.gov/oral-health/</w:t>
        </w:r>
      </w:hyperlink>
      <w:r w:rsidR="00953D60" w:rsidRPr="00DC0F9C">
        <w:rPr>
          <w:sz w:val="24"/>
          <w:szCs w:val="24"/>
        </w:rPr>
        <w:t xml:space="preserve"> </w:t>
      </w:r>
      <w:r w:rsidR="0097078E" w:rsidRPr="00DC0F9C">
        <w:rPr>
          <w:sz w:val="24"/>
          <w:szCs w:val="24"/>
        </w:rPr>
        <w:t>when available.</w:t>
      </w:r>
      <w:r w:rsidR="00953D60" w:rsidRPr="00DC0F9C">
        <w:rPr>
          <w:sz w:val="24"/>
          <w:szCs w:val="24"/>
        </w:rPr>
        <w:t xml:space="preserve"> </w:t>
      </w:r>
      <w:r w:rsidR="0097078E" w:rsidRPr="00DC0F9C">
        <w:rPr>
          <w:sz w:val="24"/>
          <w:szCs w:val="24"/>
        </w:rPr>
        <w:t>SOHP staff work to release data in a timely manner and at least within one</w:t>
      </w:r>
      <w:r w:rsidR="00953D60" w:rsidRPr="00DC0F9C">
        <w:rPr>
          <w:sz w:val="24"/>
          <w:szCs w:val="24"/>
        </w:rPr>
        <w:t xml:space="preserve"> year </w:t>
      </w:r>
      <w:r w:rsidR="0097078E" w:rsidRPr="00DC0F9C">
        <w:rPr>
          <w:sz w:val="24"/>
          <w:szCs w:val="24"/>
        </w:rPr>
        <w:t>of</w:t>
      </w:r>
      <w:r w:rsidR="00953D60" w:rsidRPr="00DC0F9C">
        <w:rPr>
          <w:sz w:val="24"/>
          <w:szCs w:val="24"/>
        </w:rPr>
        <w:t xml:space="preserve"> final data collection. </w:t>
      </w:r>
    </w:p>
    <w:p w14:paraId="26C53173" w14:textId="23FBB04B" w:rsidR="00953D60" w:rsidRDefault="0097078E" w:rsidP="00C150DA">
      <w:pPr>
        <w:shd w:val="clear" w:color="auto" w:fill="FFFFFF" w:themeFill="background1"/>
        <w:autoSpaceDE w:val="0"/>
        <w:autoSpaceDN w:val="0"/>
        <w:adjustRightInd w:val="0"/>
        <w:spacing w:line="360" w:lineRule="auto"/>
        <w:rPr>
          <w:rFonts w:cstheme="minorHAnsi"/>
          <w:sz w:val="24"/>
          <w:szCs w:val="24"/>
        </w:rPr>
      </w:pPr>
      <w:r w:rsidRPr="00B3024A">
        <w:rPr>
          <w:sz w:val="24"/>
          <w:szCs w:val="24"/>
        </w:rPr>
        <w:t xml:space="preserve">A </w:t>
      </w:r>
      <w:r w:rsidR="00953D60" w:rsidRPr="00B3024A">
        <w:rPr>
          <w:sz w:val="24"/>
          <w:szCs w:val="24"/>
        </w:rPr>
        <w:t xml:space="preserve">subset of aggregated </w:t>
      </w:r>
      <w:r w:rsidRPr="00B3024A">
        <w:rPr>
          <w:sz w:val="24"/>
          <w:szCs w:val="24"/>
        </w:rPr>
        <w:t>BSS d</w:t>
      </w:r>
      <w:r w:rsidR="00953D60" w:rsidRPr="00B3024A">
        <w:rPr>
          <w:sz w:val="24"/>
          <w:szCs w:val="24"/>
        </w:rPr>
        <w:t xml:space="preserve">ata </w:t>
      </w:r>
      <w:r w:rsidRPr="00B3024A">
        <w:rPr>
          <w:sz w:val="24"/>
          <w:szCs w:val="24"/>
        </w:rPr>
        <w:t xml:space="preserve">is submitted </w:t>
      </w:r>
      <w:r w:rsidR="00953D60" w:rsidRPr="00B3024A">
        <w:rPr>
          <w:sz w:val="24"/>
          <w:szCs w:val="24"/>
        </w:rPr>
        <w:t xml:space="preserve">to the </w:t>
      </w:r>
      <w:r w:rsidRPr="00B3024A">
        <w:rPr>
          <w:sz w:val="24"/>
          <w:szCs w:val="24"/>
        </w:rPr>
        <w:t>CDC</w:t>
      </w:r>
      <w:r w:rsidR="00953D60" w:rsidRPr="00B3024A">
        <w:rPr>
          <w:sz w:val="24"/>
          <w:szCs w:val="24"/>
        </w:rPr>
        <w:t>, Division of Oral Health</w:t>
      </w:r>
      <w:r w:rsidR="00A51850">
        <w:rPr>
          <w:sz w:val="24"/>
          <w:szCs w:val="24"/>
        </w:rPr>
        <w:t xml:space="preserve"> (DOH)</w:t>
      </w:r>
      <w:r w:rsidR="00953D60" w:rsidRPr="00B3024A">
        <w:rPr>
          <w:sz w:val="24"/>
          <w:szCs w:val="24"/>
        </w:rPr>
        <w:t>. Data reported to CDC is not individual line-listed data and does not contain any personally identifiable information. The data include percentages for 3 indicators - untreated decay, treated decay, dental sealants on permanent molars</w:t>
      </w:r>
      <w:r w:rsidRPr="00B3024A">
        <w:rPr>
          <w:sz w:val="24"/>
          <w:szCs w:val="24"/>
        </w:rPr>
        <w:t xml:space="preserve"> </w:t>
      </w:r>
      <w:r w:rsidR="00953D60" w:rsidRPr="00B3024A">
        <w:rPr>
          <w:sz w:val="24"/>
          <w:szCs w:val="24"/>
        </w:rPr>
        <w:t>for most BSS</w:t>
      </w:r>
      <w:r w:rsidRPr="00B3024A">
        <w:rPr>
          <w:sz w:val="24"/>
          <w:szCs w:val="24"/>
        </w:rPr>
        <w:t>s</w:t>
      </w:r>
      <w:r w:rsidR="00953D60" w:rsidRPr="00B3024A">
        <w:rPr>
          <w:sz w:val="24"/>
          <w:szCs w:val="24"/>
        </w:rPr>
        <w:t xml:space="preserve">. DOH publishes this data on the Oral Health Data website https://www.cdc.gov/oralhealthdata/index.html. This is a web application, which is part of the larger data application used by many Divisions at </w:t>
      </w:r>
      <w:r w:rsidR="0083028D">
        <w:rPr>
          <w:sz w:val="24"/>
          <w:szCs w:val="24"/>
        </w:rPr>
        <w:t xml:space="preserve">the </w:t>
      </w:r>
      <w:r w:rsidR="00953D60" w:rsidRPr="00B3024A">
        <w:rPr>
          <w:sz w:val="24"/>
          <w:szCs w:val="24"/>
        </w:rPr>
        <w:t>National Center for Chronic Disease Prevention and Health Promotion.</w:t>
      </w:r>
      <w:r w:rsidRPr="00B3024A">
        <w:rPr>
          <w:sz w:val="24"/>
          <w:szCs w:val="24"/>
        </w:rPr>
        <w:t xml:space="preserve"> </w:t>
      </w:r>
      <w:r w:rsidR="00953D60" w:rsidRPr="00B3024A">
        <w:rPr>
          <w:rFonts w:cstheme="minorHAnsi"/>
          <w:sz w:val="24"/>
          <w:szCs w:val="24"/>
        </w:rPr>
        <w:t>Confidentiality of data is ensured and maintained by storing data on secure databases. The R</w:t>
      </w:r>
      <w:r w:rsidR="00C150DA" w:rsidRPr="00B3024A">
        <w:rPr>
          <w:rFonts w:cstheme="minorHAnsi"/>
          <w:sz w:val="24"/>
          <w:szCs w:val="24"/>
        </w:rPr>
        <w:t>ED</w:t>
      </w:r>
      <w:r w:rsidR="00953D60" w:rsidRPr="00B3024A">
        <w:rPr>
          <w:rFonts w:cstheme="minorHAnsi"/>
          <w:sz w:val="24"/>
          <w:szCs w:val="24"/>
        </w:rPr>
        <w:t xml:space="preserve">Cap program access is limited to approved and necessary staff such as </w:t>
      </w:r>
      <w:r w:rsidRPr="00B3024A">
        <w:rPr>
          <w:rFonts w:cstheme="minorHAnsi"/>
          <w:sz w:val="24"/>
          <w:szCs w:val="24"/>
        </w:rPr>
        <w:t>the SOHP</w:t>
      </w:r>
      <w:r w:rsidR="00953D60" w:rsidRPr="00B3024A">
        <w:rPr>
          <w:rFonts w:cstheme="minorHAnsi"/>
          <w:sz w:val="24"/>
          <w:szCs w:val="24"/>
        </w:rPr>
        <w:t xml:space="preserve"> Epidemiologist. </w:t>
      </w:r>
    </w:p>
    <w:p w14:paraId="75335C95" w14:textId="77777777" w:rsidR="006801A7" w:rsidRPr="00B3024A" w:rsidRDefault="006801A7" w:rsidP="00C150DA">
      <w:pPr>
        <w:shd w:val="clear" w:color="auto" w:fill="FFFFFF" w:themeFill="background1"/>
        <w:autoSpaceDE w:val="0"/>
        <w:autoSpaceDN w:val="0"/>
        <w:adjustRightInd w:val="0"/>
        <w:spacing w:line="360" w:lineRule="auto"/>
        <w:rPr>
          <w:rFonts w:cstheme="minorHAnsi"/>
          <w:sz w:val="24"/>
          <w:szCs w:val="24"/>
        </w:rPr>
      </w:pPr>
    </w:p>
    <w:p w14:paraId="7DEEFE92" w14:textId="7CFC323B" w:rsidR="00953D60" w:rsidRPr="00C6393F" w:rsidRDefault="00953D60" w:rsidP="00641607">
      <w:pPr>
        <w:pStyle w:val="Heading1"/>
        <w:numPr>
          <w:ilvl w:val="0"/>
          <w:numId w:val="30"/>
        </w:numPr>
        <w:rPr>
          <w:rFonts w:cstheme="minorHAnsi"/>
          <w:sz w:val="24"/>
          <w:szCs w:val="24"/>
        </w:rPr>
      </w:pPr>
      <w:bookmarkStart w:id="27" w:name="_Toc32496110"/>
      <w:r w:rsidRPr="00C6393F">
        <w:rPr>
          <w:rFonts w:cstheme="minorHAnsi"/>
          <w:sz w:val="24"/>
          <w:szCs w:val="24"/>
        </w:rPr>
        <w:t>Evaluation</w:t>
      </w:r>
      <w:bookmarkEnd w:id="27"/>
      <w:r w:rsidRPr="00C6393F">
        <w:rPr>
          <w:rFonts w:cstheme="minorHAnsi"/>
          <w:sz w:val="24"/>
          <w:szCs w:val="24"/>
        </w:rPr>
        <w:t xml:space="preserve"> </w:t>
      </w:r>
    </w:p>
    <w:p w14:paraId="54A92CA3" w14:textId="77777777" w:rsidR="00953D60" w:rsidRDefault="00953D60" w:rsidP="00953D60">
      <w:pPr>
        <w:rPr>
          <w:rFonts w:cstheme="minorHAnsi"/>
          <w:sz w:val="24"/>
          <w:szCs w:val="24"/>
        </w:rPr>
      </w:pPr>
    </w:p>
    <w:p w14:paraId="79223DF5" w14:textId="77777777" w:rsidR="00953D60" w:rsidRPr="00C6393F" w:rsidRDefault="00953D60" w:rsidP="00953D60">
      <w:pPr>
        <w:rPr>
          <w:rFonts w:cstheme="minorHAnsi"/>
          <w:b/>
          <w:sz w:val="24"/>
          <w:szCs w:val="24"/>
        </w:rPr>
      </w:pPr>
      <w:r w:rsidRPr="00C6393F">
        <w:rPr>
          <w:rFonts w:cstheme="minorHAnsi"/>
          <w:b/>
          <w:sz w:val="24"/>
          <w:szCs w:val="24"/>
        </w:rPr>
        <w:t xml:space="preserve">Surveillance system evaluation strategy </w:t>
      </w:r>
    </w:p>
    <w:p w14:paraId="33D0D6DB" w14:textId="5B2AED5C" w:rsidR="00DC0F9C" w:rsidRPr="00DC0F9C" w:rsidRDefault="00005F9E" w:rsidP="00DC0F9C">
      <w:pPr>
        <w:spacing w:before="100" w:beforeAutospacing="1" w:after="100" w:afterAutospacing="1" w:line="360" w:lineRule="auto"/>
        <w:rPr>
          <w:rFonts w:eastAsia="Times New Roman" w:cstheme="minorHAnsi"/>
          <w:sz w:val="24"/>
          <w:szCs w:val="24"/>
        </w:rPr>
      </w:pPr>
      <w:r w:rsidRPr="00005F9E">
        <w:rPr>
          <w:rFonts w:eastAsia="Times New Roman" w:cstheme="minorHAnsi"/>
          <w:sz w:val="24"/>
          <w:szCs w:val="24"/>
        </w:rPr>
        <w:t>Evaluation will follow the CDC Framework for Program Evaluation and be integrated with the surveillance plan. The evaluation will address the implementation and effectiveness of data collection processes, data quality, stakeholder engagement, and use of surveillance products. The RE-AIM Framework (Reach, Effectiveness, Adoption, Implementation, and Maintenance) will be applied to assess the practical impact of activities.</w:t>
      </w:r>
      <w:r w:rsidR="003A579E">
        <w:rPr>
          <w:rFonts w:cstheme="minorHAnsi"/>
          <w:sz w:val="24"/>
          <w:szCs w:val="24"/>
        </w:rPr>
        <w:t xml:space="preserve"> </w:t>
      </w:r>
      <w:r w:rsidR="00DC0F9C" w:rsidRPr="00DC0F9C">
        <w:rPr>
          <w:rFonts w:eastAsia="Times New Roman" w:cstheme="minorHAnsi"/>
          <w:sz w:val="24"/>
          <w:szCs w:val="24"/>
        </w:rPr>
        <w:t xml:space="preserve">The SOHP Epidemiologist/Evaluator will lead this work and coordinate regular review of performance measures and data quality indicators. Evaluation questions will address both process and outcomes, such as how complete </w:t>
      </w:r>
      <w:r w:rsidR="00DC0F9C" w:rsidRPr="00DC0F9C">
        <w:rPr>
          <w:rFonts w:eastAsia="Times New Roman" w:cstheme="minorHAnsi"/>
          <w:sz w:val="24"/>
          <w:szCs w:val="24"/>
        </w:rPr>
        <w:lastRenderedPageBreak/>
        <w:t xml:space="preserve">and timely data submissions are, are findings being used by stakeholders to inform practice or policy, and </w:t>
      </w:r>
      <w:r w:rsidR="00DC0F9C">
        <w:rPr>
          <w:rFonts w:eastAsia="Times New Roman" w:cstheme="minorHAnsi"/>
          <w:sz w:val="24"/>
          <w:szCs w:val="24"/>
        </w:rPr>
        <w:t>if gaps</w:t>
      </w:r>
      <w:r w:rsidR="00DC0F9C" w:rsidRPr="00DC0F9C">
        <w:rPr>
          <w:rFonts w:eastAsia="Times New Roman" w:cstheme="minorHAnsi"/>
          <w:sz w:val="24"/>
          <w:szCs w:val="24"/>
        </w:rPr>
        <w:t xml:space="preserve"> </w:t>
      </w:r>
      <w:r w:rsidR="00DC0F9C">
        <w:rPr>
          <w:rFonts w:eastAsia="Times New Roman" w:cstheme="minorHAnsi"/>
          <w:sz w:val="24"/>
          <w:szCs w:val="24"/>
        </w:rPr>
        <w:t xml:space="preserve">in access to care are </w:t>
      </w:r>
      <w:r w:rsidR="00DC0F9C" w:rsidRPr="00DC0F9C">
        <w:rPr>
          <w:rFonts w:eastAsia="Times New Roman" w:cstheme="minorHAnsi"/>
          <w:sz w:val="24"/>
          <w:szCs w:val="24"/>
        </w:rPr>
        <w:t xml:space="preserve">being appropriately identified and addressed. Data dashboards and quarterly progress reviews will allow for real-time adjustment of strategies. Evaluation results will be summarized annually and integrated into performance improvement planning. </w:t>
      </w:r>
      <w:r w:rsidR="00C10B11" w:rsidRPr="00C10B11">
        <w:rPr>
          <w:rFonts w:eastAsia="Times New Roman" w:cstheme="minorHAnsi"/>
          <w:sz w:val="24"/>
          <w:szCs w:val="24"/>
        </w:rPr>
        <w:t>To maintain surveillance momentum, the SOHP will implement quality improvement cycles that continuously refine data collection methods, strengthen interpretation, and ensure timely dissemination.</w:t>
      </w:r>
    </w:p>
    <w:p w14:paraId="1D7125A4" w14:textId="2E45A081" w:rsidR="00C10B11" w:rsidRDefault="003A579E" w:rsidP="00C10B11">
      <w:pPr>
        <w:spacing w:before="100" w:beforeAutospacing="1" w:after="100" w:afterAutospacing="1" w:line="360" w:lineRule="auto"/>
        <w:rPr>
          <w:rFonts w:ascii="Times New Roman" w:eastAsia="Times New Roman" w:hAnsi="Times New Roman" w:cs="Times New Roman"/>
        </w:rPr>
      </w:pPr>
      <w:r>
        <w:rPr>
          <w:rFonts w:cstheme="minorHAnsi"/>
          <w:sz w:val="24"/>
          <w:szCs w:val="24"/>
        </w:rPr>
        <w:t>Findings will allow the SOHP to t</w:t>
      </w:r>
      <w:r w:rsidRPr="003A579E">
        <w:rPr>
          <w:rFonts w:cstheme="minorHAnsi"/>
          <w:sz w:val="24"/>
          <w:szCs w:val="24"/>
        </w:rPr>
        <w:t>rack progress toward annual goals</w:t>
      </w:r>
      <w:r>
        <w:rPr>
          <w:rFonts w:cstheme="minorHAnsi"/>
          <w:sz w:val="24"/>
          <w:szCs w:val="24"/>
        </w:rPr>
        <w:t xml:space="preserve">, </w:t>
      </w:r>
      <w:r w:rsidRPr="00641607">
        <w:rPr>
          <w:rFonts w:cstheme="minorHAnsi"/>
          <w:sz w:val="24"/>
          <w:szCs w:val="24"/>
        </w:rPr>
        <w:t>identify</w:t>
      </w:r>
      <w:r w:rsidRPr="003A579E">
        <w:rPr>
          <w:rFonts w:cstheme="minorHAnsi"/>
          <w:sz w:val="24"/>
          <w:szCs w:val="24"/>
        </w:rPr>
        <w:t xml:space="preserve"> barriers </w:t>
      </w:r>
      <w:r>
        <w:rPr>
          <w:rFonts w:cstheme="minorHAnsi"/>
          <w:sz w:val="24"/>
          <w:szCs w:val="24"/>
        </w:rPr>
        <w:t xml:space="preserve">to program implementation and success </w:t>
      </w:r>
      <w:r w:rsidRPr="003A579E">
        <w:rPr>
          <w:rFonts w:cstheme="minorHAnsi"/>
          <w:sz w:val="24"/>
          <w:szCs w:val="24"/>
        </w:rPr>
        <w:t>and recommend adjustments</w:t>
      </w:r>
      <w:r>
        <w:rPr>
          <w:rFonts w:cstheme="minorHAnsi"/>
          <w:sz w:val="24"/>
          <w:szCs w:val="24"/>
        </w:rPr>
        <w:t>, and m</w:t>
      </w:r>
      <w:r w:rsidRPr="003A579E">
        <w:rPr>
          <w:rFonts w:cstheme="minorHAnsi"/>
          <w:sz w:val="24"/>
          <w:szCs w:val="24"/>
        </w:rPr>
        <w:t>onitor uptake and utility of data products</w:t>
      </w:r>
      <w:r>
        <w:rPr>
          <w:rFonts w:cstheme="minorHAnsi"/>
          <w:sz w:val="24"/>
          <w:szCs w:val="24"/>
        </w:rPr>
        <w:t>.</w:t>
      </w:r>
      <w:r w:rsidRPr="00641607">
        <w:rPr>
          <w:rFonts w:cstheme="minorHAnsi"/>
          <w:sz w:val="24"/>
          <w:szCs w:val="24"/>
        </w:rPr>
        <w:t xml:space="preserve"> </w:t>
      </w:r>
      <w:r w:rsidR="00953D60" w:rsidRPr="00641607">
        <w:rPr>
          <w:rFonts w:cstheme="minorHAnsi"/>
          <w:sz w:val="24"/>
          <w:szCs w:val="24"/>
        </w:rPr>
        <w:t xml:space="preserve">The findings and outcomes </w:t>
      </w:r>
      <w:r w:rsidR="00D77057" w:rsidRPr="00641607">
        <w:rPr>
          <w:rFonts w:cstheme="minorHAnsi"/>
          <w:sz w:val="24"/>
          <w:szCs w:val="24"/>
        </w:rPr>
        <w:t xml:space="preserve">of surveillance activities </w:t>
      </w:r>
      <w:r w:rsidR="00953D60" w:rsidRPr="00641607">
        <w:rPr>
          <w:rFonts w:cstheme="minorHAnsi"/>
          <w:sz w:val="24"/>
          <w:szCs w:val="24"/>
        </w:rPr>
        <w:t xml:space="preserve">will be used to compare with baseline </w:t>
      </w:r>
      <w:r>
        <w:rPr>
          <w:rFonts w:cstheme="minorHAnsi"/>
          <w:sz w:val="24"/>
          <w:szCs w:val="24"/>
        </w:rPr>
        <w:t>data</w:t>
      </w:r>
      <w:r w:rsidR="00953D60" w:rsidRPr="00641607">
        <w:rPr>
          <w:rFonts w:cstheme="minorHAnsi"/>
          <w:sz w:val="24"/>
          <w:szCs w:val="24"/>
        </w:rPr>
        <w:t xml:space="preserve"> and will help to assess the impact of the program in achieving key health outcomes</w:t>
      </w:r>
      <w:r w:rsidR="00D77057" w:rsidRPr="00641607">
        <w:rPr>
          <w:rFonts w:cstheme="minorHAnsi"/>
          <w:sz w:val="24"/>
          <w:szCs w:val="24"/>
        </w:rPr>
        <w:t>.</w:t>
      </w:r>
      <w:r w:rsidR="00953D60" w:rsidRPr="00641607">
        <w:rPr>
          <w:rFonts w:cstheme="minorHAnsi"/>
          <w:sz w:val="24"/>
          <w:szCs w:val="24"/>
        </w:rPr>
        <w:t xml:space="preserve">   A comprehensive final report will be conducted by internal evaluators in collaboration with partners such as </w:t>
      </w:r>
      <w:r w:rsidR="00CB4D0E">
        <w:rPr>
          <w:rFonts w:cstheme="minorHAnsi"/>
          <w:sz w:val="24"/>
          <w:szCs w:val="24"/>
        </w:rPr>
        <w:t>VHC</w:t>
      </w:r>
      <w:r w:rsidR="00641607" w:rsidRPr="00641607">
        <w:rPr>
          <w:rFonts w:cstheme="minorHAnsi"/>
          <w:sz w:val="24"/>
          <w:szCs w:val="24"/>
        </w:rPr>
        <w:t>.</w:t>
      </w:r>
      <w:r w:rsidR="00953D60" w:rsidRPr="00641607">
        <w:rPr>
          <w:rFonts w:cstheme="minorHAnsi"/>
          <w:sz w:val="24"/>
          <w:szCs w:val="24"/>
        </w:rPr>
        <w:t xml:space="preserve"> Process and outcome evaluation data will be analyzed and interpreted in the final report. The final report will detail </w:t>
      </w:r>
      <w:r w:rsidR="00EB0A4C" w:rsidRPr="00641607">
        <w:rPr>
          <w:rFonts w:cstheme="minorHAnsi"/>
          <w:sz w:val="24"/>
          <w:szCs w:val="24"/>
        </w:rPr>
        <w:t>the design</w:t>
      </w:r>
      <w:r w:rsidR="00953D60" w:rsidRPr="00641607">
        <w:rPr>
          <w:rFonts w:cstheme="minorHAnsi"/>
          <w:sz w:val="24"/>
          <w:szCs w:val="24"/>
        </w:rPr>
        <w:t>, outcomes, and impact of the program on project participants</w:t>
      </w:r>
      <w:r>
        <w:rPr>
          <w:rFonts w:cstheme="minorHAnsi"/>
          <w:sz w:val="24"/>
          <w:szCs w:val="24"/>
        </w:rPr>
        <w:t xml:space="preserve">.  </w:t>
      </w:r>
      <w:r w:rsidR="00B3024A">
        <w:rPr>
          <w:rFonts w:cstheme="minorHAnsi"/>
          <w:sz w:val="24"/>
          <w:szCs w:val="24"/>
        </w:rPr>
        <w:t>S</w:t>
      </w:r>
      <w:r w:rsidRPr="003A579E">
        <w:rPr>
          <w:rFonts w:cstheme="minorHAnsi"/>
          <w:sz w:val="24"/>
          <w:szCs w:val="24"/>
        </w:rPr>
        <w:t xml:space="preserve">takeholder feedback </w:t>
      </w:r>
      <w:r w:rsidR="00B3024A">
        <w:rPr>
          <w:rFonts w:cstheme="minorHAnsi"/>
          <w:sz w:val="24"/>
          <w:szCs w:val="24"/>
        </w:rPr>
        <w:t xml:space="preserve">will be used </w:t>
      </w:r>
      <w:r w:rsidRPr="003A579E">
        <w:rPr>
          <w:rFonts w:cstheme="minorHAnsi"/>
          <w:sz w:val="24"/>
          <w:szCs w:val="24"/>
        </w:rPr>
        <w:t>for system refinement</w:t>
      </w:r>
      <w:r w:rsidR="00B3024A">
        <w:rPr>
          <w:rFonts w:cstheme="minorHAnsi"/>
          <w:sz w:val="24"/>
          <w:szCs w:val="24"/>
        </w:rPr>
        <w:t>.</w:t>
      </w:r>
      <w:r w:rsidR="00C10B11" w:rsidRPr="00C10B11">
        <w:rPr>
          <w:rFonts w:ascii="Times New Roman" w:eastAsia="Times New Roman" w:hAnsi="Times New Roman" w:cs="Times New Roman"/>
        </w:rPr>
        <w:t xml:space="preserve"> </w:t>
      </w:r>
    </w:p>
    <w:p w14:paraId="44D74595" w14:textId="27D3B061" w:rsidR="00C10B11" w:rsidRPr="00C10B11" w:rsidRDefault="00C10B11" w:rsidP="00C10B11">
      <w:pPr>
        <w:spacing w:before="100" w:beforeAutospacing="1" w:after="100" w:afterAutospacing="1" w:line="360" w:lineRule="auto"/>
        <w:rPr>
          <w:rFonts w:eastAsia="Times New Roman" w:cstheme="minorHAnsi"/>
          <w:sz w:val="24"/>
          <w:szCs w:val="24"/>
        </w:rPr>
      </w:pPr>
      <w:r w:rsidRPr="00C10B11">
        <w:rPr>
          <w:rFonts w:eastAsia="Times New Roman" w:cstheme="minorHAnsi"/>
          <w:sz w:val="24"/>
          <w:szCs w:val="24"/>
        </w:rPr>
        <w:t xml:space="preserve">The SOHP’s commitment to continuous evaluation, broad stakeholder engagement, and strategic investment in infrastructure makes it well-positioned to implement this surveillance plan and meet CDC’s expectations for performance and sustainability. With technical support from CDC and strong internal and external partnerships, SOHP will ensure Virginia’s </w:t>
      </w:r>
      <w:r w:rsidR="007045F1">
        <w:rPr>
          <w:rFonts w:eastAsia="Times New Roman" w:cstheme="minorHAnsi"/>
          <w:sz w:val="24"/>
          <w:szCs w:val="24"/>
        </w:rPr>
        <w:t>OHSS</w:t>
      </w:r>
      <w:r w:rsidRPr="00C10B11">
        <w:rPr>
          <w:rFonts w:eastAsia="Times New Roman" w:cstheme="minorHAnsi"/>
          <w:sz w:val="24"/>
          <w:szCs w:val="24"/>
        </w:rPr>
        <w:t xml:space="preserve"> remains robust, responsive, and equitable.</w:t>
      </w:r>
    </w:p>
    <w:p w14:paraId="105A91D7" w14:textId="11954C62" w:rsidR="003A579E" w:rsidRPr="003A579E" w:rsidRDefault="003A579E" w:rsidP="003A579E">
      <w:pPr>
        <w:shd w:val="clear" w:color="auto" w:fill="FFFFFF" w:themeFill="background1"/>
        <w:autoSpaceDE w:val="0"/>
        <w:autoSpaceDN w:val="0"/>
        <w:adjustRightInd w:val="0"/>
        <w:spacing w:line="360" w:lineRule="auto"/>
        <w:contextualSpacing/>
        <w:rPr>
          <w:rFonts w:cstheme="minorHAnsi"/>
          <w:sz w:val="24"/>
          <w:szCs w:val="24"/>
        </w:rPr>
      </w:pPr>
    </w:p>
    <w:sectPr w:rsidR="003A579E" w:rsidRPr="003A5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2541" w14:textId="77777777" w:rsidR="00E07132" w:rsidRDefault="00E07132" w:rsidP="0036794F">
      <w:pPr>
        <w:spacing w:after="0" w:line="240" w:lineRule="auto"/>
      </w:pPr>
      <w:r>
        <w:separator/>
      </w:r>
    </w:p>
  </w:endnote>
  <w:endnote w:type="continuationSeparator" w:id="0">
    <w:p w14:paraId="5512A4AA" w14:textId="77777777" w:rsidR="00E07132" w:rsidRDefault="00E07132" w:rsidP="0036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8C11" w14:textId="6BEFAD6B" w:rsidR="0096732C" w:rsidRPr="009B5F9D" w:rsidRDefault="0096732C">
    <w:pPr>
      <w:rPr>
        <w:sz w:val="18"/>
        <w:szCs w:val="18"/>
      </w:rPr>
    </w:pPr>
    <w:r>
      <w:rPr>
        <w:sz w:val="18"/>
        <w:szCs w:val="18"/>
      </w:rPr>
      <w:t xml:space="preserve">NOFO </w:t>
    </w:r>
    <w:r w:rsidRPr="009B5F9D">
      <w:rPr>
        <w:sz w:val="18"/>
        <w:szCs w:val="18"/>
      </w:rPr>
      <w:t>DP</w:t>
    </w:r>
    <w:r w:rsidR="0036794F">
      <w:rPr>
        <w:sz w:val="18"/>
        <w:szCs w:val="18"/>
      </w:rPr>
      <w:t>24</w:t>
    </w:r>
    <w:r w:rsidRPr="009B5F9D">
      <w:rPr>
        <w:sz w:val="18"/>
        <w:szCs w:val="18"/>
      </w:rPr>
      <w:t>-</w:t>
    </w:r>
    <w:r w:rsidR="0036794F">
      <w:rPr>
        <w:sz w:val="18"/>
        <w:szCs w:val="18"/>
      </w:rPr>
      <w:t>0048</w:t>
    </w:r>
    <w:r w:rsidRPr="009B5F9D">
      <w:rPr>
        <w:sz w:val="18"/>
        <w:szCs w:val="18"/>
      </w:rPr>
      <w:t xml:space="preserve"> </w:t>
    </w:r>
    <w:r>
      <w:rPr>
        <w:sz w:val="18"/>
        <w:szCs w:val="18"/>
      </w:rPr>
      <w:t xml:space="preserve">Oral Health </w:t>
    </w:r>
    <w:r w:rsidRPr="009B5F9D">
      <w:rPr>
        <w:sz w:val="18"/>
        <w:szCs w:val="18"/>
      </w:rPr>
      <w:t>Surveillance Plan</w:t>
    </w:r>
    <w:r w:rsidRPr="009B5F9D">
      <w:rPr>
        <w:sz w:val="18"/>
        <w:szCs w:val="18"/>
      </w:rPr>
      <w:ptab w:relativeTo="margin" w:alignment="right" w:leader="none"/>
    </w:r>
    <w:r w:rsidRPr="00B250BF">
      <w:rPr>
        <w:sz w:val="18"/>
        <w:szCs w:val="18"/>
      </w:rPr>
      <w:t xml:space="preserve">Page </w:t>
    </w:r>
    <w:r w:rsidRPr="00B250BF">
      <w:rPr>
        <w:sz w:val="18"/>
        <w:szCs w:val="18"/>
      </w:rPr>
      <w:fldChar w:fldCharType="begin"/>
    </w:r>
    <w:r w:rsidRPr="00B250BF">
      <w:rPr>
        <w:sz w:val="18"/>
        <w:szCs w:val="18"/>
      </w:rPr>
      <w:instrText xml:space="preserve"> PAGE   \* MERGEFORMAT </w:instrText>
    </w:r>
    <w:r w:rsidRPr="00B250BF">
      <w:rPr>
        <w:sz w:val="18"/>
        <w:szCs w:val="18"/>
      </w:rPr>
      <w:fldChar w:fldCharType="separate"/>
    </w:r>
    <w:r>
      <w:rPr>
        <w:noProof/>
        <w:sz w:val="18"/>
        <w:szCs w:val="18"/>
      </w:rPr>
      <w:t>21</w:t>
    </w:r>
    <w:r w:rsidRPr="00B250B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1F17" w14:textId="77777777" w:rsidR="00E07132" w:rsidRDefault="00E07132" w:rsidP="0036794F">
      <w:pPr>
        <w:spacing w:after="0" w:line="240" w:lineRule="auto"/>
      </w:pPr>
      <w:r>
        <w:separator/>
      </w:r>
    </w:p>
  </w:footnote>
  <w:footnote w:type="continuationSeparator" w:id="0">
    <w:p w14:paraId="6E7C112C" w14:textId="77777777" w:rsidR="00E07132" w:rsidRDefault="00E07132" w:rsidP="00367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ACA"/>
    <w:multiLevelType w:val="hybridMultilevel"/>
    <w:tmpl w:val="262EF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35406"/>
    <w:multiLevelType w:val="hybridMultilevel"/>
    <w:tmpl w:val="715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7966"/>
    <w:multiLevelType w:val="hybridMultilevel"/>
    <w:tmpl w:val="2D8000B6"/>
    <w:lvl w:ilvl="0" w:tplc="4F721F48">
      <w:numFmt w:val="bullet"/>
      <w:lvlText w:val="•"/>
      <w:lvlJc w:val="left"/>
      <w:pPr>
        <w:ind w:left="734" w:hanging="360"/>
      </w:pPr>
      <w:rPr>
        <w:rFont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0C9861B7"/>
    <w:multiLevelType w:val="hybridMultilevel"/>
    <w:tmpl w:val="65F26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5466BA"/>
    <w:multiLevelType w:val="hybridMultilevel"/>
    <w:tmpl w:val="597EA70C"/>
    <w:lvl w:ilvl="0" w:tplc="4F721F4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7023C"/>
    <w:multiLevelType w:val="hybridMultilevel"/>
    <w:tmpl w:val="B46E59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A25F22"/>
    <w:multiLevelType w:val="hybridMultilevel"/>
    <w:tmpl w:val="A88CAB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F24618"/>
    <w:multiLevelType w:val="hybridMultilevel"/>
    <w:tmpl w:val="7CECF2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17A29"/>
    <w:multiLevelType w:val="hybridMultilevel"/>
    <w:tmpl w:val="8B7456B2"/>
    <w:lvl w:ilvl="0" w:tplc="650A94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24329"/>
    <w:multiLevelType w:val="hybridMultilevel"/>
    <w:tmpl w:val="9AE49E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740921"/>
    <w:multiLevelType w:val="hybridMultilevel"/>
    <w:tmpl w:val="24BA483E"/>
    <w:lvl w:ilvl="0" w:tplc="6DDCE93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57C50"/>
    <w:multiLevelType w:val="hybridMultilevel"/>
    <w:tmpl w:val="998293EC"/>
    <w:lvl w:ilvl="0" w:tplc="4F721F48">
      <w:numFmt w:val="bullet"/>
      <w:lvlText w:val="•"/>
      <w:lvlJc w:val="left"/>
      <w:pPr>
        <w:ind w:left="734" w:hanging="360"/>
      </w:pPr>
      <w:rPr>
        <w:rFont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2" w15:restartNumberingAfterBreak="0">
    <w:nsid w:val="2ADB3DC1"/>
    <w:multiLevelType w:val="hybridMultilevel"/>
    <w:tmpl w:val="8BA02288"/>
    <w:lvl w:ilvl="0" w:tplc="E7FA0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B36733"/>
    <w:multiLevelType w:val="hybridMultilevel"/>
    <w:tmpl w:val="1C984074"/>
    <w:lvl w:ilvl="0" w:tplc="7F2AC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D2F95"/>
    <w:multiLevelType w:val="hybridMultilevel"/>
    <w:tmpl w:val="4998D00A"/>
    <w:lvl w:ilvl="0" w:tplc="4F721F4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D2445"/>
    <w:multiLevelType w:val="hybridMultilevel"/>
    <w:tmpl w:val="38B025F2"/>
    <w:lvl w:ilvl="0" w:tplc="4F721F4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C29DF"/>
    <w:multiLevelType w:val="hybridMultilevel"/>
    <w:tmpl w:val="DF58E57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9D306A9"/>
    <w:multiLevelType w:val="hybridMultilevel"/>
    <w:tmpl w:val="2292A6D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097343D"/>
    <w:multiLevelType w:val="hybridMultilevel"/>
    <w:tmpl w:val="26B8E1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AA57D0"/>
    <w:multiLevelType w:val="hybridMultilevel"/>
    <w:tmpl w:val="21DA19D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2336CC6"/>
    <w:multiLevelType w:val="hybridMultilevel"/>
    <w:tmpl w:val="4F2809E6"/>
    <w:lvl w:ilvl="0" w:tplc="4F721F4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B3F43"/>
    <w:multiLevelType w:val="hybridMultilevel"/>
    <w:tmpl w:val="7A0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848B5"/>
    <w:multiLevelType w:val="hybridMultilevel"/>
    <w:tmpl w:val="0B02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6B70C0"/>
    <w:multiLevelType w:val="hybridMultilevel"/>
    <w:tmpl w:val="686ECC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444C59"/>
    <w:multiLevelType w:val="hybridMultilevel"/>
    <w:tmpl w:val="492A58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430FCB"/>
    <w:multiLevelType w:val="hybridMultilevel"/>
    <w:tmpl w:val="C18CB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E32FBC"/>
    <w:multiLevelType w:val="hybridMultilevel"/>
    <w:tmpl w:val="FC68EB9E"/>
    <w:lvl w:ilvl="0" w:tplc="4F721F4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7239C"/>
    <w:multiLevelType w:val="hybridMultilevel"/>
    <w:tmpl w:val="AF6EB7C6"/>
    <w:lvl w:ilvl="0" w:tplc="4F721F48">
      <w:numFmt w:val="bullet"/>
      <w:lvlText w:val="•"/>
      <w:lvlJc w:val="left"/>
      <w:pPr>
        <w:ind w:left="734" w:hanging="360"/>
      </w:pPr>
      <w:rPr>
        <w:rFont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15:restartNumberingAfterBreak="0">
    <w:nsid w:val="565C543D"/>
    <w:multiLevelType w:val="hybridMultilevel"/>
    <w:tmpl w:val="B7141D2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2960F3"/>
    <w:multiLevelType w:val="hybridMultilevel"/>
    <w:tmpl w:val="0B6227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0D082E"/>
    <w:multiLevelType w:val="hybridMultilevel"/>
    <w:tmpl w:val="157C8ADA"/>
    <w:lvl w:ilvl="0" w:tplc="50B49C4E">
      <w:start w:val="1"/>
      <w:numFmt w:val="bullet"/>
      <w:lvlText w:val="•"/>
      <w:lvlJc w:val="left"/>
      <w:pPr>
        <w:tabs>
          <w:tab w:val="num" w:pos="720"/>
        </w:tabs>
        <w:ind w:left="720" w:hanging="360"/>
      </w:pPr>
      <w:rPr>
        <w:rFonts w:ascii="Arial" w:hAnsi="Arial" w:hint="default"/>
      </w:rPr>
    </w:lvl>
    <w:lvl w:ilvl="1" w:tplc="049E7B8C" w:tentative="1">
      <w:start w:val="1"/>
      <w:numFmt w:val="bullet"/>
      <w:lvlText w:val="•"/>
      <w:lvlJc w:val="left"/>
      <w:pPr>
        <w:tabs>
          <w:tab w:val="num" w:pos="1440"/>
        </w:tabs>
        <w:ind w:left="1440" w:hanging="360"/>
      </w:pPr>
      <w:rPr>
        <w:rFonts w:ascii="Arial" w:hAnsi="Arial" w:hint="default"/>
      </w:rPr>
    </w:lvl>
    <w:lvl w:ilvl="2" w:tplc="4044DCCE" w:tentative="1">
      <w:start w:val="1"/>
      <w:numFmt w:val="bullet"/>
      <w:lvlText w:val="•"/>
      <w:lvlJc w:val="left"/>
      <w:pPr>
        <w:tabs>
          <w:tab w:val="num" w:pos="2160"/>
        </w:tabs>
        <w:ind w:left="2160" w:hanging="360"/>
      </w:pPr>
      <w:rPr>
        <w:rFonts w:ascii="Arial" w:hAnsi="Arial" w:hint="default"/>
      </w:rPr>
    </w:lvl>
    <w:lvl w:ilvl="3" w:tplc="889E8D2A" w:tentative="1">
      <w:start w:val="1"/>
      <w:numFmt w:val="bullet"/>
      <w:lvlText w:val="•"/>
      <w:lvlJc w:val="left"/>
      <w:pPr>
        <w:tabs>
          <w:tab w:val="num" w:pos="2880"/>
        </w:tabs>
        <w:ind w:left="2880" w:hanging="360"/>
      </w:pPr>
      <w:rPr>
        <w:rFonts w:ascii="Arial" w:hAnsi="Arial" w:hint="default"/>
      </w:rPr>
    </w:lvl>
    <w:lvl w:ilvl="4" w:tplc="1C320096" w:tentative="1">
      <w:start w:val="1"/>
      <w:numFmt w:val="bullet"/>
      <w:lvlText w:val="•"/>
      <w:lvlJc w:val="left"/>
      <w:pPr>
        <w:tabs>
          <w:tab w:val="num" w:pos="3600"/>
        </w:tabs>
        <w:ind w:left="3600" w:hanging="360"/>
      </w:pPr>
      <w:rPr>
        <w:rFonts w:ascii="Arial" w:hAnsi="Arial" w:hint="default"/>
      </w:rPr>
    </w:lvl>
    <w:lvl w:ilvl="5" w:tplc="F370B274" w:tentative="1">
      <w:start w:val="1"/>
      <w:numFmt w:val="bullet"/>
      <w:lvlText w:val="•"/>
      <w:lvlJc w:val="left"/>
      <w:pPr>
        <w:tabs>
          <w:tab w:val="num" w:pos="4320"/>
        </w:tabs>
        <w:ind w:left="4320" w:hanging="360"/>
      </w:pPr>
      <w:rPr>
        <w:rFonts w:ascii="Arial" w:hAnsi="Arial" w:hint="default"/>
      </w:rPr>
    </w:lvl>
    <w:lvl w:ilvl="6" w:tplc="89642D20" w:tentative="1">
      <w:start w:val="1"/>
      <w:numFmt w:val="bullet"/>
      <w:lvlText w:val="•"/>
      <w:lvlJc w:val="left"/>
      <w:pPr>
        <w:tabs>
          <w:tab w:val="num" w:pos="5040"/>
        </w:tabs>
        <w:ind w:left="5040" w:hanging="360"/>
      </w:pPr>
      <w:rPr>
        <w:rFonts w:ascii="Arial" w:hAnsi="Arial" w:hint="default"/>
      </w:rPr>
    </w:lvl>
    <w:lvl w:ilvl="7" w:tplc="9574118A" w:tentative="1">
      <w:start w:val="1"/>
      <w:numFmt w:val="bullet"/>
      <w:lvlText w:val="•"/>
      <w:lvlJc w:val="left"/>
      <w:pPr>
        <w:tabs>
          <w:tab w:val="num" w:pos="5760"/>
        </w:tabs>
        <w:ind w:left="5760" w:hanging="360"/>
      </w:pPr>
      <w:rPr>
        <w:rFonts w:ascii="Arial" w:hAnsi="Arial" w:hint="default"/>
      </w:rPr>
    </w:lvl>
    <w:lvl w:ilvl="8" w:tplc="1696E1D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D775A48"/>
    <w:multiLevelType w:val="hybridMultilevel"/>
    <w:tmpl w:val="943AE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786CC9"/>
    <w:multiLevelType w:val="hybridMultilevel"/>
    <w:tmpl w:val="2A6CB8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DB0E2F"/>
    <w:multiLevelType w:val="hybridMultilevel"/>
    <w:tmpl w:val="640236F6"/>
    <w:lvl w:ilvl="0" w:tplc="726034F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90A6C"/>
    <w:multiLevelType w:val="hybridMultilevel"/>
    <w:tmpl w:val="1CE25FD2"/>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0EA47F3"/>
    <w:multiLevelType w:val="hybridMultilevel"/>
    <w:tmpl w:val="AF586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56B03"/>
    <w:multiLevelType w:val="hybridMultilevel"/>
    <w:tmpl w:val="594A0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983FDD"/>
    <w:multiLevelType w:val="hybridMultilevel"/>
    <w:tmpl w:val="CF6E4A2E"/>
    <w:lvl w:ilvl="0" w:tplc="4F721F4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30EA1"/>
    <w:multiLevelType w:val="hybridMultilevel"/>
    <w:tmpl w:val="F82E7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242FA"/>
    <w:multiLevelType w:val="hybridMultilevel"/>
    <w:tmpl w:val="3F563B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B4309B"/>
    <w:multiLevelType w:val="hybridMultilevel"/>
    <w:tmpl w:val="E036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2E30E9"/>
    <w:multiLevelType w:val="hybridMultilevel"/>
    <w:tmpl w:val="B14A125C"/>
    <w:lvl w:ilvl="0" w:tplc="AE9E95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6A3AC7"/>
    <w:multiLevelType w:val="hybridMultilevel"/>
    <w:tmpl w:val="56F0A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A24AB"/>
    <w:multiLevelType w:val="hybridMultilevel"/>
    <w:tmpl w:val="01C8D6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4D40E5"/>
    <w:multiLevelType w:val="hybridMultilevel"/>
    <w:tmpl w:val="9C6C6432"/>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1019B"/>
    <w:multiLevelType w:val="hybridMultilevel"/>
    <w:tmpl w:val="6AB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163352">
    <w:abstractNumId w:val="38"/>
  </w:num>
  <w:num w:numId="2" w16cid:durableId="1883059920">
    <w:abstractNumId w:val="44"/>
  </w:num>
  <w:num w:numId="3" w16cid:durableId="733699818">
    <w:abstractNumId w:val="41"/>
  </w:num>
  <w:num w:numId="4" w16cid:durableId="1201822745">
    <w:abstractNumId w:val="1"/>
  </w:num>
  <w:num w:numId="5" w16cid:durableId="135531988">
    <w:abstractNumId w:val="12"/>
  </w:num>
  <w:num w:numId="6" w16cid:durableId="707029745">
    <w:abstractNumId w:val="42"/>
  </w:num>
  <w:num w:numId="7" w16cid:durableId="172260560">
    <w:abstractNumId w:val="26"/>
  </w:num>
  <w:num w:numId="8" w16cid:durableId="1526403552">
    <w:abstractNumId w:val="4"/>
  </w:num>
  <w:num w:numId="9" w16cid:durableId="1493792325">
    <w:abstractNumId w:val="14"/>
  </w:num>
  <w:num w:numId="10" w16cid:durableId="1087505281">
    <w:abstractNumId w:val="20"/>
  </w:num>
  <w:num w:numId="11" w16cid:durableId="722872398">
    <w:abstractNumId w:val="37"/>
  </w:num>
  <w:num w:numId="12" w16cid:durableId="1573541468">
    <w:abstractNumId w:val="2"/>
  </w:num>
  <w:num w:numId="13" w16cid:durableId="481041945">
    <w:abstractNumId w:val="11"/>
  </w:num>
  <w:num w:numId="14" w16cid:durableId="1771463988">
    <w:abstractNumId w:val="27"/>
  </w:num>
  <w:num w:numId="15" w16cid:durableId="1085148338">
    <w:abstractNumId w:val="15"/>
  </w:num>
  <w:num w:numId="16" w16cid:durableId="2132745097">
    <w:abstractNumId w:val="10"/>
  </w:num>
  <w:num w:numId="17" w16cid:durableId="1445271367">
    <w:abstractNumId w:val="33"/>
  </w:num>
  <w:num w:numId="18" w16cid:durableId="1429039419">
    <w:abstractNumId w:val="13"/>
  </w:num>
  <w:num w:numId="19" w16cid:durableId="1413897148">
    <w:abstractNumId w:val="21"/>
  </w:num>
  <w:num w:numId="20" w16cid:durableId="2014644038">
    <w:abstractNumId w:val="3"/>
  </w:num>
  <w:num w:numId="21" w16cid:durableId="498157103">
    <w:abstractNumId w:val="40"/>
  </w:num>
  <w:num w:numId="22" w16cid:durableId="1537236290">
    <w:abstractNumId w:val="25"/>
  </w:num>
  <w:num w:numId="23" w16cid:durableId="206794747">
    <w:abstractNumId w:val="22"/>
  </w:num>
  <w:num w:numId="24" w16cid:durableId="2108114902">
    <w:abstractNumId w:val="35"/>
  </w:num>
  <w:num w:numId="25" w16cid:durableId="73355109">
    <w:abstractNumId w:val="31"/>
  </w:num>
  <w:num w:numId="26" w16cid:durableId="4403813">
    <w:abstractNumId w:val="36"/>
  </w:num>
  <w:num w:numId="27" w16cid:durableId="407777251">
    <w:abstractNumId w:val="30"/>
  </w:num>
  <w:num w:numId="28" w16cid:durableId="1087774435">
    <w:abstractNumId w:val="0"/>
  </w:num>
  <w:num w:numId="29" w16cid:durableId="142281624">
    <w:abstractNumId w:val="45"/>
  </w:num>
  <w:num w:numId="30" w16cid:durableId="41486357">
    <w:abstractNumId w:val="8"/>
  </w:num>
  <w:num w:numId="31" w16cid:durableId="1315991287">
    <w:abstractNumId w:val="7"/>
  </w:num>
  <w:num w:numId="32" w16cid:durableId="1442799854">
    <w:abstractNumId w:val="28"/>
  </w:num>
  <w:num w:numId="33" w16cid:durableId="1376615156">
    <w:abstractNumId w:val="19"/>
  </w:num>
  <w:num w:numId="34" w16cid:durableId="202131865">
    <w:abstractNumId w:val="18"/>
  </w:num>
  <w:num w:numId="35" w16cid:durableId="1274871819">
    <w:abstractNumId w:val="32"/>
  </w:num>
  <w:num w:numId="36" w16cid:durableId="266616267">
    <w:abstractNumId w:val="23"/>
  </w:num>
  <w:num w:numId="37" w16cid:durableId="1237014885">
    <w:abstractNumId w:val="24"/>
  </w:num>
  <w:num w:numId="38" w16cid:durableId="97722031">
    <w:abstractNumId w:val="39"/>
  </w:num>
  <w:num w:numId="39" w16cid:durableId="1915360944">
    <w:abstractNumId w:val="9"/>
  </w:num>
  <w:num w:numId="40" w16cid:durableId="114106708">
    <w:abstractNumId w:val="16"/>
  </w:num>
  <w:num w:numId="41" w16cid:durableId="657882880">
    <w:abstractNumId w:val="43"/>
  </w:num>
  <w:num w:numId="42" w16cid:durableId="1902861528">
    <w:abstractNumId w:val="6"/>
  </w:num>
  <w:num w:numId="43" w16cid:durableId="7602905">
    <w:abstractNumId w:val="34"/>
  </w:num>
  <w:num w:numId="44" w16cid:durableId="794563475">
    <w:abstractNumId w:val="17"/>
  </w:num>
  <w:num w:numId="45" w16cid:durableId="1230113644">
    <w:abstractNumId w:val="29"/>
  </w:num>
  <w:num w:numId="46" w16cid:durableId="1100418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60"/>
    <w:rsid w:val="00000187"/>
    <w:rsid w:val="00005F9E"/>
    <w:rsid w:val="000441AF"/>
    <w:rsid w:val="0006791F"/>
    <w:rsid w:val="00075176"/>
    <w:rsid w:val="000931A6"/>
    <w:rsid w:val="00093BA5"/>
    <w:rsid w:val="000B30BB"/>
    <w:rsid w:val="000C5D89"/>
    <w:rsid w:val="000D7464"/>
    <w:rsid w:val="000E3760"/>
    <w:rsid w:val="000E5B4F"/>
    <w:rsid w:val="000F7F8A"/>
    <w:rsid w:val="00115CB3"/>
    <w:rsid w:val="001319C8"/>
    <w:rsid w:val="00177D3E"/>
    <w:rsid w:val="001D379E"/>
    <w:rsid w:val="002213A6"/>
    <w:rsid w:val="0022539B"/>
    <w:rsid w:val="0023153B"/>
    <w:rsid w:val="00266302"/>
    <w:rsid w:val="00271C13"/>
    <w:rsid w:val="0027752A"/>
    <w:rsid w:val="0028064C"/>
    <w:rsid w:val="0028130E"/>
    <w:rsid w:val="002A013C"/>
    <w:rsid w:val="002F423D"/>
    <w:rsid w:val="00305A21"/>
    <w:rsid w:val="00305D14"/>
    <w:rsid w:val="00354B34"/>
    <w:rsid w:val="00355B74"/>
    <w:rsid w:val="0036794F"/>
    <w:rsid w:val="00374C3E"/>
    <w:rsid w:val="003A579E"/>
    <w:rsid w:val="003A5D81"/>
    <w:rsid w:val="003B1DE4"/>
    <w:rsid w:val="003C0B41"/>
    <w:rsid w:val="003C3887"/>
    <w:rsid w:val="0040210B"/>
    <w:rsid w:val="004F3CAB"/>
    <w:rsid w:val="004F5774"/>
    <w:rsid w:val="00554064"/>
    <w:rsid w:val="0056175D"/>
    <w:rsid w:val="00566D65"/>
    <w:rsid w:val="005F1034"/>
    <w:rsid w:val="00612551"/>
    <w:rsid w:val="00641607"/>
    <w:rsid w:val="00643872"/>
    <w:rsid w:val="00672F76"/>
    <w:rsid w:val="006801A7"/>
    <w:rsid w:val="00695688"/>
    <w:rsid w:val="006B0217"/>
    <w:rsid w:val="006D5105"/>
    <w:rsid w:val="006F4DCF"/>
    <w:rsid w:val="00704351"/>
    <w:rsid w:val="007045F1"/>
    <w:rsid w:val="00755523"/>
    <w:rsid w:val="00787F0B"/>
    <w:rsid w:val="00790B24"/>
    <w:rsid w:val="0079130C"/>
    <w:rsid w:val="007D0248"/>
    <w:rsid w:val="00820CC8"/>
    <w:rsid w:val="008210B0"/>
    <w:rsid w:val="0083028D"/>
    <w:rsid w:val="008473F7"/>
    <w:rsid w:val="00856489"/>
    <w:rsid w:val="00875264"/>
    <w:rsid w:val="00883D77"/>
    <w:rsid w:val="00887046"/>
    <w:rsid w:val="008A361C"/>
    <w:rsid w:val="009338F9"/>
    <w:rsid w:val="00952080"/>
    <w:rsid w:val="00953D60"/>
    <w:rsid w:val="0096732C"/>
    <w:rsid w:val="0097078E"/>
    <w:rsid w:val="009B759A"/>
    <w:rsid w:val="00A504B8"/>
    <w:rsid w:val="00A51850"/>
    <w:rsid w:val="00A621C5"/>
    <w:rsid w:val="00AA0F18"/>
    <w:rsid w:val="00AB1939"/>
    <w:rsid w:val="00B3024A"/>
    <w:rsid w:val="00B312C5"/>
    <w:rsid w:val="00BB2348"/>
    <w:rsid w:val="00BE27A8"/>
    <w:rsid w:val="00BE3D60"/>
    <w:rsid w:val="00C10B11"/>
    <w:rsid w:val="00C150DA"/>
    <w:rsid w:val="00C75F68"/>
    <w:rsid w:val="00C9010B"/>
    <w:rsid w:val="00C97DF7"/>
    <w:rsid w:val="00CA2A5E"/>
    <w:rsid w:val="00CB4D0E"/>
    <w:rsid w:val="00CB67C2"/>
    <w:rsid w:val="00CC73CA"/>
    <w:rsid w:val="00CD5F14"/>
    <w:rsid w:val="00CE4148"/>
    <w:rsid w:val="00D44D66"/>
    <w:rsid w:val="00D6397F"/>
    <w:rsid w:val="00D674E7"/>
    <w:rsid w:val="00D7664F"/>
    <w:rsid w:val="00D77057"/>
    <w:rsid w:val="00D87453"/>
    <w:rsid w:val="00D95E2A"/>
    <w:rsid w:val="00DC0F9C"/>
    <w:rsid w:val="00DF57E3"/>
    <w:rsid w:val="00E07132"/>
    <w:rsid w:val="00E4474A"/>
    <w:rsid w:val="00E52FB5"/>
    <w:rsid w:val="00E70A3E"/>
    <w:rsid w:val="00E71264"/>
    <w:rsid w:val="00E94730"/>
    <w:rsid w:val="00EB0A4C"/>
    <w:rsid w:val="00EB6883"/>
    <w:rsid w:val="00EE2765"/>
    <w:rsid w:val="00F35192"/>
    <w:rsid w:val="00F6034C"/>
    <w:rsid w:val="00F61201"/>
    <w:rsid w:val="00F72A4D"/>
    <w:rsid w:val="00F8543A"/>
    <w:rsid w:val="00FE1781"/>
    <w:rsid w:val="00FE34A7"/>
    <w:rsid w:val="00FE70BC"/>
    <w:rsid w:val="00FE7B5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8B9A"/>
  <w15:chartTrackingRefBased/>
  <w15:docId w15:val="{1EB8ECFD-134D-4E72-B9FF-8453276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4F"/>
    <w:pPr>
      <w:spacing w:after="160" w:line="259" w:lineRule="auto"/>
    </w:pPr>
    <w:rPr>
      <w:kern w:val="0"/>
      <w14:ligatures w14:val="none"/>
    </w:rPr>
  </w:style>
  <w:style w:type="paragraph" w:styleId="Heading1">
    <w:name w:val="heading 1"/>
    <w:basedOn w:val="Normal"/>
    <w:next w:val="Normal"/>
    <w:link w:val="Heading1Char"/>
    <w:uiPriority w:val="9"/>
    <w:qFormat/>
    <w:rsid w:val="00953D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53D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53D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53D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953D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53D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D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D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D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D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53D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53D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3D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953D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5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D60"/>
    <w:rPr>
      <w:rFonts w:eastAsiaTheme="majorEastAsia" w:cstheme="majorBidi"/>
      <w:color w:val="272727" w:themeColor="text1" w:themeTint="D8"/>
    </w:rPr>
  </w:style>
  <w:style w:type="paragraph" w:styleId="Title">
    <w:name w:val="Title"/>
    <w:basedOn w:val="Normal"/>
    <w:next w:val="Normal"/>
    <w:link w:val="TitleChar"/>
    <w:uiPriority w:val="10"/>
    <w:qFormat/>
    <w:rsid w:val="0095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D60"/>
    <w:pPr>
      <w:spacing w:before="160"/>
      <w:jc w:val="center"/>
    </w:pPr>
    <w:rPr>
      <w:i/>
      <w:iCs/>
      <w:color w:val="404040" w:themeColor="text1" w:themeTint="BF"/>
    </w:rPr>
  </w:style>
  <w:style w:type="character" w:customStyle="1" w:styleId="QuoteChar">
    <w:name w:val="Quote Char"/>
    <w:basedOn w:val="DefaultParagraphFont"/>
    <w:link w:val="Quote"/>
    <w:uiPriority w:val="29"/>
    <w:rsid w:val="00953D60"/>
    <w:rPr>
      <w:i/>
      <w:iCs/>
      <w:color w:val="404040" w:themeColor="text1" w:themeTint="BF"/>
    </w:rPr>
  </w:style>
  <w:style w:type="paragraph" w:styleId="ListParagraph">
    <w:name w:val="List Paragraph"/>
    <w:basedOn w:val="Normal"/>
    <w:uiPriority w:val="34"/>
    <w:qFormat/>
    <w:rsid w:val="00953D60"/>
    <w:pPr>
      <w:ind w:left="720"/>
      <w:contextualSpacing/>
    </w:pPr>
  </w:style>
  <w:style w:type="character" w:styleId="IntenseEmphasis">
    <w:name w:val="Intense Emphasis"/>
    <w:basedOn w:val="DefaultParagraphFont"/>
    <w:uiPriority w:val="21"/>
    <w:qFormat/>
    <w:rsid w:val="00953D60"/>
    <w:rPr>
      <w:i/>
      <w:iCs/>
      <w:color w:val="365F91" w:themeColor="accent1" w:themeShade="BF"/>
    </w:rPr>
  </w:style>
  <w:style w:type="paragraph" w:styleId="IntenseQuote">
    <w:name w:val="Intense Quote"/>
    <w:basedOn w:val="Normal"/>
    <w:next w:val="Normal"/>
    <w:link w:val="IntenseQuoteChar"/>
    <w:uiPriority w:val="30"/>
    <w:qFormat/>
    <w:rsid w:val="00953D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3D60"/>
    <w:rPr>
      <w:i/>
      <w:iCs/>
      <w:color w:val="365F91" w:themeColor="accent1" w:themeShade="BF"/>
    </w:rPr>
  </w:style>
  <w:style w:type="character" w:styleId="IntenseReference">
    <w:name w:val="Intense Reference"/>
    <w:basedOn w:val="DefaultParagraphFont"/>
    <w:uiPriority w:val="32"/>
    <w:qFormat/>
    <w:rsid w:val="00953D60"/>
    <w:rPr>
      <w:b/>
      <w:bCs/>
      <w:smallCaps/>
      <w:color w:val="365F91" w:themeColor="accent1" w:themeShade="BF"/>
      <w:spacing w:val="5"/>
    </w:rPr>
  </w:style>
  <w:style w:type="table" w:styleId="TableGrid">
    <w:name w:val="Table Grid"/>
    <w:basedOn w:val="TableNormal"/>
    <w:uiPriority w:val="39"/>
    <w:rsid w:val="00953D6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D60"/>
    <w:rPr>
      <w:kern w:val="0"/>
      <w14:ligatures w14:val="none"/>
    </w:rPr>
  </w:style>
  <w:style w:type="paragraph" w:styleId="Footer">
    <w:name w:val="footer"/>
    <w:basedOn w:val="Normal"/>
    <w:link w:val="FooterChar"/>
    <w:uiPriority w:val="99"/>
    <w:unhideWhenUsed/>
    <w:rsid w:val="0095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D60"/>
    <w:rPr>
      <w:kern w:val="0"/>
      <w14:ligatures w14:val="none"/>
    </w:rPr>
  </w:style>
  <w:style w:type="character" w:styleId="Hyperlink">
    <w:name w:val="Hyperlink"/>
    <w:basedOn w:val="DefaultParagraphFont"/>
    <w:uiPriority w:val="99"/>
    <w:unhideWhenUsed/>
    <w:qFormat/>
    <w:rsid w:val="00953D60"/>
    <w:rPr>
      <w:color w:val="0000FF" w:themeColor="hyperlink"/>
      <w:u w:val="single"/>
    </w:rPr>
  </w:style>
  <w:style w:type="character" w:styleId="CommentReference">
    <w:name w:val="annotation reference"/>
    <w:basedOn w:val="DefaultParagraphFont"/>
    <w:uiPriority w:val="99"/>
    <w:semiHidden/>
    <w:unhideWhenUsed/>
    <w:rsid w:val="00953D60"/>
    <w:rPr>
      <w:sz w:val="16"/>
      <w:szCs w:val="16"/>
    </w:rPr>
  </w:style>
  <w:style w:type="paragraph" w:styleId="CommentText">
    <w:name w:val="annotation text"/>
    <w:basedOn w:val="Normal"/>
    <w:link w:val="CommentTextChar"/>
    <w:uiPriority w:val="99"/>
    <w:unhideWhenUsed/>
    <w:rsid w:val="00953D60"/>
    <w:pPr>
      <w:spacing w:line="240" w:lineRule="auto"/>
    </w:pPr>
    <w:rPr>
      <w:sz w:val="20"/>
      <w:szCs w:val="20"/>
    </w:rPr>
  </w:style>
  <w:style w:type="character" w:customStyle="1" w:styleId="CommentTextChar">
    <w:name w:val="Comment Text Char"/>
    <w:basedOn w:val="DefaultParagraphFont"/>
    <w:link w:val="CommentText"/>
    <w:uiPriority w:val="99"/>
    <w:rsid w:val="00953D6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53D60"/>
    <w:rPr>
      <w:b/>
      <w:bCs/>
    </w:rPr>
  </w:style>
  <w:style w:type="character" w:customStyle="1" w:styleId="CommentSubjectChar">
    <w:name w:val="Comment Subject Char"/>
    <w:basedOn w:val="CommentTextChar"/>
    <w:link w:val="CommentSubject"/>
    <w:uiPriority w:val="99"/>
    <w:semiHidden/>
    <w:rsid w:val="00953D60"/>
    <w:rPr>
      <w:b/>
      <w:bCs/>
      <w:kern w:val="0"/>
      <w:sz w:val="20"/>
      <w:szCs w:val="20"/>
      <w14:ligatures w14:val="none"/>
    </w:rPr>
  </w:style>
  <w:style w:type="paragraph" w:styleId="BalloonText">
    <w:name w:val="Balloon Text"/>
    <w:basedOn w:val="Normal"/>
    <w:link w:val="BalloonTextChar"/>
    <w:uiPriority w:val="99"/>
    <w:semiHidden/>
    <w:unhideWhenUsed/>
    <w:rsid w:val="00953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D60"/>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953D60"/>
    <w:rPr>
      <w:color w:val="800080" w:themeColor="followedHyperlink"/>
      <w:u w:val="single"/>
    </w:rPr>
  </w:style>
  <w:style w:type="paragraph" w:styleId="Revision">
    <w:name w:val="Revision"/>
    <w:hidden/>
    <w:uiPriority w:val="99"/>
    <w:semiHidden/>
    <w:rsid w:val="00953D60"/>
    <w:rPr>
      <w:kern w:val="0"/>
      <w14:ligatures w14:val="none"/>
    </w:rPr>
  </w:style>
  <w:style w:type="paragraph" w:styleId="TOCHeading">
    <w:name w:val="TOC Heading"/>
    <w:basedOn w:val="Heading1"/>
    <w:next w:val="Normal"/>
    <w:uiPriority w:val="39"/>
    <w:unhideWhenUsed/>
    <w:qFormat/>
    <w:rsid w:val="00953D60"/>
    <w:pPr>
      <w:pageBreakBefore/>
      <w:spacing w:before="240" w:after="120"/>
      <w:ind w:left="1080" w:hanging="720"/>
      <w:outlineLvl w:val="9"/>
    </w:pPr>
    <w:rPr>
      <w:sz w:val="32"/>
      <w:szCs w:val="32"/>
    </w:rPr>
  </w:style>
  <w:style w:type="paragraph" w:styleId="TOC1">
    <w:name w:val="toc 1"/>
    <w:basedOn w:val="Normal"/>
    <w:next w:val="Normal"/>
    <w:autoRedefine/>
    <w:uiPriority w:val="39"/>
    <w:unhideWhenUsed/>
    <w:rsid w:val="006D5105"/>
    <w:pPr>
      <w:tabs>
        <w:tab w:val="left" w:pos="440"/>
        <w:tab w:val="right" w:leader="dot" w:pos="9350"/>
      </w:tabs>
      <w:spacing w:after="100"/>
    </w:pPr>
    <w:rPr>
      <w:rFonts w:cstheme="minorHAnsi"/>
      <w:noProof/>
      <w:sz w:val="24"/>
      <w:szCs w:val="24"/>
    </w:rPr>
  </w:style>
  <w:style w:type="paragraph" w:customStyle="1" w:styleId="Default">
    <w:name w:val="Default"/>
    <w:rsid w:val="00953D60"/>
    <w:pPr>
      <w:autoSpaceDE w:val="0"/>
      <w:autoSpaceDN w:val="0"/>
      <w:adjustRightInd w:val="0"/>
    </w:pPr>
    <w:rPr>
      <w:rFonts w:ascii="Times New Roman" w:hAnsi="Times New Roman" w:cs="Times New Roman"/>
      <w:color w:val="000000"/>
      <w:kern w:val="0"/>
      <w:sz w:val="24"/>
      <w:szCs w:val="24"/>
      <w14:ligatures w14:val="none"/>
    </w:rPr>
  </w:style>
  <w:style w:type="paragraph" w:styleId="TOC2">
    <w:name w:val="toc 2"/>
    <w:basedOn w:val="Normal"/>
    <w:next w:val="Normal"/>
    <w:autoRedefine/>
    <w:uiPriority w:val="39"/>
    <w:unhideWhenUsed/>
    <w:rsid w:val="00953D60"/>
    <w:pPr>
      <w:tabs>
        <w:tab w:val="left" w:pos="720"/>
        <w:tab w:val="right" w:leader="dot" w:pos="9350"/>
      </w:tabs>
      <w:spacing w:after="100"/>
      <w:ind w:left="220"/>
    </w:pPr>
  </w:style>
  <w:style w:type="paragraph" w:styleId="FootnoteText">
    <w:name w:val="footnote text"/>
    <w:basedOn w:val="Normal"/>
    <w:link w:val="FootnoteTextChar"/>
    <w:uiPriority w:val="99"/>
    <w:semiHidden/>
    <w:unhideWhenUsed/>
    <w:rsid w:val="00953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D60"/>
    <w:rPr>
      <w:kern w:val="0"/>
      <w:sz w:val="20"/>
      <w:szCs w:val="20"/>
      <w14:ligatures w14:val="none"/>
    </w:rPr>
  </w:style>
  <w:style w:type="character" w:styleId="FootnoteReference">
    <w:name w:val="footnote reference"/>
    <w:basedOn w:val="DefaultParagraphFont"/>
    <w:uiPriority w:val="99"/>
    <w:semiHidden/>
    <w:unhideWhenUsed/>
    <w:rsid w:val="00953D60"/>
    <w:rPr>
      <w:vertAlign w:val="superscript"/>
    </w:rPr>
  </w:style>
  <w:style w:type="character" w:customStyle="1" w:styleId="UnresolvedMention1">
    <w:name w:val="Unresolved Mention1"/>
    <w:basedOn w:val="DefaultParagraphFont"/>
    <w:uiPriority w:val="99"/>
    <w:semiHidden/>
    <w:unhideWhenUsed/>
    <w:rsid w:val="00953D60"/>
    <w:rPr>
      <w:color w:val="605E5C"/>
      <w:shd w:val="clear" w:color="auto" w:fill="E1DFDD"/>
    </w:rPr>
  </w:style>
  <w:style w:type="character" w:styleId="PlaceholderText">
    <w:name w:val="Placeholder Text"/>
    <w:basedOn w:val="DefaultParagraphFont"/>
    <w:uiPriority w:val="99"/>
    <w:semiHidden/>
    <w:rsid w:val="00953D60"/>
    <w:rPr>
      <w:color w:val="808080"/>
    </w:rPr>
  </w:style>
  <w:style w:type="paragraph" w:styleId="NormalWeb">
    <w:name w:val="Normal (Web)"/>
    <w:basedOn w:val="Normal"/>
    <w:uiPriority w:val="99"/>
    <w:unhideWhenUsed/>
    <w:rsid w:val="00953D60"/>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953D60"/>
    <w:pPr>
      <w:spacing w:after="100"/>
      <w:ind w:left="440"/>
    </w:pPr>
  </w:style>
  <w:style w:type="paragraph" w:styleId="BodyText">
    <w:name w:val="Body Text"/>
    <w:basedOn w:val="Normal"/>
    <w:link w:val="BodyTextChar"/>
    <w:uiPriority w:val="1"/>
    <w:qFormat/>
    <w:rsid w:val="00953D6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53D60"/>
    <w:rPr>
      <w:rFonts w:ascii="Times New Roman" w:eastAsia="Times New Roman" w:hAnsi="Times New Roman" w:cs="Times New Roman"/>
      <w:kern w:val="0"/>
      <w:sz w:val="20"/>
      <w:szCs w:val="20"/>
      <w14:ligatures w14:val="none"/>
    </w:rPr>
  </w:style>
  <w:style w:type="paragraph" w:customStyle="1" w:styleId="TableHeader">
    <w:name w:val="Table Header"/>
    <w:basedOn w:val="Normal"/>
    <w:link w:val="TableHeaderChar"/>
    <w:qFormat/>
    <w:rsid w:val="00953D60"/>
    <w:pPr>
      <w:spacing w:after="0" w:line="240" w:lineRule="auto"/>
      <w:jc w:val="center"/>
    </w:pPr>
    <w:rPr>
      <w:b/>
      <w:color w:val="FFFFFF" w:themeColor="background1"/>
      <w:sz w:val="20"/>
      <w:szCs w:val="20"/>
    </w:rPr>
  </w:style>
  <w:style w:type="paragraph" w:styleId="Caption">
    <w:name w:val="caption"/>
    <w:basedOn w:val="Normal"/>
    <w:next w:val="Normal"/>
    <w:uiPriority w:val="35"/>
    <w:unhideWhenUsed/>
    <w:qFormat/>
    <w:rsid w:val="00953D60"/>
    <w:pPr>
      <w:spacing w:after="200" w:line="240" w:lineRule="auto"/>
    </w:pPr>
    <w:rPr>
      <w:i/>
      <w:iCs/>
      <w:color w:val="1F497D" w:themeColor="text2"/>
      <w:sz w:val="18"/>
      <w:szCs w:val="18"/>
    </w:rPr>
  </w:style>
  <w:style w:type="character" w:customStyle="1" w:styleId="TableHeaderChar">
    <w:name w:val="Table Header Char"/>
    <w:basedOn w:val="DefaultParagraphFont"/>
    <w:link w:val="TableHeader"/>
    <w:rsid w:val="00953D60"/>
    <w:rPr>
      <w:b/>
      <w:color w:val="FFFFFF" w:themeColor="background1"/>
      <w:kern w:val="0"/>
      <w:sz w:val="20"/>
      <w:szCs w:val="20"/>
      <w14:ligatures w14:val="none"/>
    </w:rPr>
  </w:style>
  <w:style w:type="paragraph" w:styleId="TableofFigures">
    <w:name w:val="table of figures"/>
    <w:basedOn w:val="Normal"/>
    <w:next w:val="Normal"/>
    <w:uiPriority w:val="99"/>
    <w:unhideWhenUsed/>
    <w:rsid w:val="00953D60"/>
    <w:pPr>
      <w:spacing w:after="0"/>
    </w:pPr>
  </w:style>
  <w:style w:type="paragraph" w:styleId="NoSpacing">
    <w:name w:val="No Spacing"/>
    <w:uiPriority w:val="1"/>
    <w:qFormat/>
    <w:rsid w:val="00953D60"/>
    <w:pPr>
      <w:jc w:val="both"/>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6976">
      <w:bodyDiv w:val="1"/>
      <w:marLeft w:val="0"/>
      <w:marRight w:val="0"/>
      <w:marTop w:val="0"/>
      <w:marBottom w:val="0"/>
      <w:divBdr>
        <w:top w:val="none" w:sz="0" w:space="0" w:color="auto"/>
        <w:left w:val="none" w:sz="0" w:space="0" w:color="auto"/>
        <w:bottom w:val="none" w:sz="0" w:space="0" w:color="auto"/>
        <w:right w:val="none" w:sz="0" w:space="0" w:color="auto"/>
      </w:divBdr>
    </w:div>
    <w:div w:id="651836801">
      <w:bodyDiv w:val="1"/>
      <w:marLeft w:val="0"/>
      <w:marRight w:val="0"/>
      <w:marTop w:val="0"/>
      <w:marBottom w:val="0"/>
      <w:divBdr>
        <w:top w:val="none" w:sz="0" w:space="0" w:color="auto"/>
        <w:left w:val="none" w:sz="0" w:space="0" w:color="auto"/>
        <w:bottom w:val="none" w:sz="0" w:space="0" w:color="auto"/>
        <w:right w:val="none" w:sz="0" w:space="0" w:color="auto"/>
      </w:divBdr>
    </w:div>
    <w:div w:id="879055557">
      <w:bodyDiv w:val="1"/>
      <w:marLeft w:val="0"/>
      <w:marRight w:val="0"/>
      <w:marTop w:val="0"/>
      <w:marBottom w:val="0"/>
      <w:divBdr>
        <w:top w:val="none" w:sz="0" w:space="0" w:color="auto"/>
        <w:left w:val="none" w:sz="0" w:space="0" w:color="auto"/>
        <w:bottom w:val="none" w:sz="0" w:space="0" w:color="auto"/>
        <w:right w:val="none" w:sz="0" w:space="0" w:color="auto"/>
      </w:divBdr>
    </w:div>
    <w:div w:id="1429889406">
      <w:bodyDiv w:val="1"/>
      <w:marLeft w:val="0"/>
      <w:marRight w:val="0"/>
      <w:marTop w:val="0"/>
      <w:marBottom w:val="0"/>
      <w:divBdr>
        <w:top w:val="none" w:sz="0" w:space="0" w:color="auto"/>
        <w:left w:val="none" w:sz="0" w:space="0" w:color="auto"/>
        <w:bottom w:val="none" w:sz="0" w:space="0" w:color="auto"/>
        <w:right w:val="none" w:sz="0" w:space="0" w:color="auto"/>
      </w:divBdr>
    </w:div>
    <w:div w:id="17922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h.virginia.gov/oral-health/"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E0064514E14357B36F411923165FEE"/>
        <w:category>
          <w:name w:val="General"/>
          <w:gallery w:val="placeholder"/>
        </w:category>
        <w:types>
          <w:type w:val="bbPlcHdr"/>
        </w:types>
        <w:behaviors>
          <w:behavior w:val="content"/>
        </w:behaviors>
        <w:guid w:val="{2552E76C-F5BE-4E42-8FE9-A59A3A453B22}"/>
      </w:docPartPr>
      <w:docPartBody>
        <w:p w:rsidR="002F2DB7" w:rsidRDefault="002F2DB7" w:rsidP="002F2DB7">
          <w:pPr>
            <w:pStyle w:val="5CE0064514E14357B36F411923165FEE"/>
          </w:pPr>
          <w:r>
            <w:rPr>
              <w:rStyle w:val="PlaceholderText"/>
              <w:sz w:val="32"/>
              <w:szCs w:val="32"/>
            </w:rPr>
            <w:t>[Name of State Oral Health Program]</w:t>
          </w:r>
        </w:p>
      </w:docPartBody>
    </w:docPart>
    <w:docPart>
      <w:docPartPr>
        <w:name w:val="9E746C8A4D764D81BF16B7EEC637BCBC"/>
        <w:category>
          <w:name w:val="General"/>
          <w:gallery w:val="placeholder"/>
        </w:category>
        <w:types>
          <w:type w:val="bbPlcHdr"/>
        </w:types>
        <w:behaviors>
          <w:behavior w:val="content"/>
        </w:behaviors>
        <w:guid w:val="{E2D28B3E-D8D2-4EF4-A935-52465ACAB4F7}"/>
      </w:docPartPr>
      <w:docPartBody>
        <w:p w:rsidR="002F2DB7" w:rsidRDefault="002F2DB7" w:rsidP="002F2DB7">
          <w:pPr>
            <w:pStyle w:val="9E746C8A4D764D81BF16B7EEC637BCBC"/>
          </w:pPr>
          <w:r>
            <w:rPr>
              <w:rStyle w:val="PlaceholderText"/>
              <w:sz w:val="32"/>
              <w:szCs w:val="32"/>
            </w:rPr>
            <w:t>[State]</w:t>
          </w:r>
        </w:p>
      </w:docPartBody>
    </w:docPart>
    <w:docPart>
      <w:docPartPr>
        <w:name w:val="22FDFEEC17C64D119C43CA4108C5D4B4"/>
        <w:category>
          <w:name w:val="General"/>
          <w:gallery w:val="placeholder"/>
        </w:category>
        <w:types>
          <w:type w:val="bbPlcHdr"/>
        </w:types>
        <w:behaviors>
          <w:behavior w:val="content"/>
        </w:behaviors>
        <w:guid w:val="{5C564B3F-82F8-4CB8-942A-7828E426D9E6}"/>
      </w:docPartPr>
      <w:docPartBody>
        <w:p w:rsidR="002F2DB7" w:rsidRDefault="002F2DB7" w:rsidP="002F2DB7">
          <w:pPr>
            <w:pStyle w:val="22FDFEEC17C64D119C43CA4108C5D4B4"/>
          </w:pPr>
          <w:r w:rsidRPr="00C162C9">
            <w:rPr>
              <w:rStyle w:val="PlaceholderText"/>
              <w:sz w:val="28"/>
              <w:szCs w:val="28"/>
            </w:rPr>
            <w:t>[Names]</w:t>
          </w:r>
        </w:p>
      </w:docPartBody>
    </w:docPart>
    <w:docPart>
      <w:docPartPr>
        <w:name w:val="E02F3CEE2CB8495DA655649408F265A5"/>
        <w:category>
          <w:name w:val="General"/>
          <w:gallery w:val="placeholder"/>
        </w:category>
        <w:types>
          <w:type w:val="bbPlcHdr"/>
        </w:types>
        <w:behaviors>
          <w:behavior w:val="content"/>
        </w:behaviors>
        <w:guid w:val="{F69B1CE5-9324-4972-9665-7B55E9D2CF6E}"/>
      </w:docPartPr>
      <w:docPartBody>
        <w:p w:rsidR="002F2DB7" w:rsidRDefault="002F2DB7" w:rsidP="002F2DB7">
          <w:pPr>
            <w:pStyle w:val="E02F3CEE2CB8495DA655649408F265A5"/>
          </w:pPr>
          <w:r w:rsidRPr="00C162C9">
            <w:rPr>
              <w:rStyle w:val="PlaceholderText"/>
              <w:sz w:val="28"/>
              <w:szCs w:val="28"/>
            </w:rPr>
            <w:t>[Affiliations]</w:t>
          </w:r>
        </w:p>
      </w:docPartBody>
    </w:docPart>
    <w:docPart>
      <w:docPartPr>
        <w:name w:val="A708316BDCEA4742B24E00C0E1CDD676"/>
        <w:category>
          <w:name w:val="General"/>
          <w:gallery w:val="placeholder"/>
        </w:category>
        <w:types>
          <w:type w:val="bbPlcHdr"/>
        </w:types>
        <w:behaviors>
          <w:behavior w:val="content"/>
        </w:behaviors>
        <w:guid w:val="{462054E8-A9DA-4ADF-B853-B138E128EEBD}"/>
      </w:docPartPr>
      <w:docPartBody>
        <w:p w:rsidR="002F2DB7" w:rsidRDefault="002F2DB7" w:rsidP="002F2DB7">
          <w:pPr>
            <w:pStyle w:val="A708316BDCEA4742B24E00C0E1CDD676"/>
          </w:pPr>
          <w:r w:rsidRPr="00713029">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B7"/>
    <w:rsid w:val="00000187"/>
    <w:rsid w:val="00093BA5"/>
    <w:rsid w:val="000F7F8A"/>
    <w:rsid w:val="001B4B53"/>
    <w:rsid w:val="00257F0D"/>
    <w:rsid w:val="002F2DB7"/>
    <w:rsid w:val="00386671"/>
    <w:rsid w:val="00637214"/>
    <w:rsid w:val="00643872"/>
    <w:rsid w:val="00672F76"/>
    <w:rsid w:val="00820CC8"/>
    <w:rsid w:val="00B312C5"/>
    <w:rsid w:val="00B63873"/>
    <w:rsid w:val="00CE5405"/>
    <w:rsid w:val="00F479DF"/>
    <w:rsid w:val="00FE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DB7"/>
    <w:rPr>
      <w:color w:val="808080"/>
    </w:rPr>
  </w:style>
  <w:style w:type="paragraph" w:customStyle="1" w:styleId="5CE0064514E14357B36F411923165FEE">
    <w:name w:val="5CE0064514E14357B36F411923165FEE"/>
    <w:rsid w:val="002F2DB7"/>
  </w:style>
  <w:style w:type="paragraph" w:customStyle="1" w:styleId="9E746C8A4D764D81BF16B7EEC637BCBC">
    <w:name w:val="9E746C8A4D764D81BF16B7EEC637BCBC"/>
    <w:rsid w:val="002F2DB7"/>
  </w:style>
  <w:style w:type="paragraph" w:customStyle="1" w:styleId="22FDFEEC17C64D119C43CA4108C5D4B4">
    <w:name w:val="22FDFEEC17C64D119C43CA4108C5D4B4"/>
    <w:rsid w:val="002F2DB7"/>
  </w:style>
  <w:style w:type="paragraph" w:customStyle="1" w:styleId="E02F3CEE2CB8495DA655649408F265A5">
    <w:name w:val="E02F3CEE2CB8495DA655649408F265A5"/>
    <w:rsid w:val="002F2DB7"/>
  </w:style>
  <w:style w:type="paragraph" w:customStyle="1" w:styleId="A708316BDCEA4742B24E00C0E1CDD676">
    <w:name w:val="A708316BDCEA4742B24E00C0E1CDD676"/>
    <w:rsid w:val="002F2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4571</Words>
  <Characters>26061</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Blankenship, Pamela (VDH)</dc:creator>
  <cp:keywords/>
  <dc:description/>
  <cp:lastModifiedBy>Blankenship, Pamela (VDH)</cp:lastModifiedBy>
  <cp:revision>2</cp:revision>
  <cp:lastPrinted>2025-05-05T23:18:00Z</cp:lastPrinted>
  <dcterms:created xsi:type="dcterms:W3CDTF">2025-08-31T19:15:00Z</dcterms:created>
  <dcterms:modified xsi:type="dcterms:W3CDTF">2025-08-31T19:15:00Z</dcterms:modified>
</cp:coreProperties>
</file>