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0F" w:rsidRPr="0086668C" w:rsidRDefault="00283D5F" w:rsidP="00283D5F">
      <w:pPr>
        <w:tabs>
          <w:tab w:val="left" w:pos="2880"/>
        </w:tabs>
        <w:spacing w:after="0" w:line="240" w:lineRule="auto"/>
        <w:ind w:left="2736"/>
        <w:rPr>
          <w:rFonts w:ascii="Baskerville Old Face" w:hAnsi="Baskerville Old Face" w:cs="Arial"/>
          <w:b/>
          <w:sz w:val="28"/>
          <w:szCs w:val="28"/>
        </w:rPr>
      </w:pPr>
      <w:r w:rsidRPr="00283D5F">
        <w:rPr>
          <w:noProof/>
          <w:szCs w:val="28"/>
        </w:rPr>
        <w:drawing>
          <wp:anchor distT="0" distB="0" distL="114300" distR="114300" simplePos="0" relativeHeight="251695104" behindDoc="0" locked="0" layoutInCell="1" allowOverlap="1">
            <wp:simplePos x="533400" y="342900"/>
            <wp:positionH relativeFrom="margin">
              <wp:align>left</wp:align>
            </wp:positionH>
            <wp:positionV relativeFrom="margin">
              <wp:align>top</wp:align>
            </wp:positionV>
            <wp:extent cx="962025" cy="96202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570F">
        <w:rPr>
          <w:rFonts w:ascii="Baskerville Old Face" w:hAnsi="Baskerville Old Face" w:cs="Arial"/>
          <w:b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-76200</wp:posOffset>
            </wp:positionV>
            <wp:extent cx="1028700" cy="1038225"/>
            <wp:effectExtent l="19050" t="0" r="0" b="0"/>
            <wp:wrapNone/>
            <wp:docPr id="5" name="Picture 5" descr="Virginia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rginia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5F3F">
        <w:rPr>
          <w:rFonts w:ascii="Baskerville Old Face" w:hAnsi="Baskerville Old Face"/>
          <w:noProof/>
          <w:sz w:val="28"/>
          <w:szCs w:val="28"/>
        </w:rPr>
        <w:t xml:space="preserve"> </w:t>
      </w:r>
      <w:r>
        <w:rPr>
          <w:rFonts w:ascii="Baskerville Old Face" w:hAnsi="Baskerville Old Face"/>
          <w:noProof/>
          <w:sz w:val="28"/>
          <w:szCs w:val="28"/>
        </w:rPr>
        <w:t xml:space="preserve"> </w:t>
      </w:r>
      <w:r w:rsidR="0086668C" w:rsidRPr="0086668C">
        <w:rPr>
          <w:rFonts w:ascii="Baskerville Old Face" w:hAnsi="Baskerville Old Face"/>
          <w:noProof/>
          <w:sz w:val="28"/>
          <w:szCs w:val="28"/>
        </w:rPr>
        <w:t>Virginia Department of Health</w:t>
      </w:r>
    </w:p>
    <w:p w:rsidR="00D34915" w:rsidRPr="0086668C" w:rsidRDefault="0086668C" w:rsidP="0086668C">
      <w:pPr>
        <w:spacing w:after="0" w:line="240" w:lineRule="auto"/>
        <w:ind w:left="2880" w:right="2880"/>
        <w:rPr>
          <w:rFonts w:ascii="Baskerville Old Face" w:hAnsi="Baskerville Old Face"/>
        </w:rPr>
      </w:pPr>
      <w:r w:rsidRPr="0086668C">
        <w:rPr>
          <w:rFonts w:ascii="Baskerville Old Face" w:hAnsi="Baskerville Old Face" w:cs="Arial"/>
          <w:sz w:val="28"/>
          <w:szCs w:val="28"/>
        </w:rPr>
        <w:t>Radioactive Materials Program</w:t>
      </w:r>
    </w:p>
    <w:p w:rsidR="00E702F9" w:rsidRPr="00283D5F" w:rsidRDefault="0086668C" w:rsidP="0086668C">
      <w:pPr>
        <w:spacing w:before="120" w:after="0" w:line="240" w:lineRule="auto"/>
        <w:ind w:left="2880" w:right="2880"/>
        <w:rPr>
          <w:rFonts w:ascii="Arial" w:hAnsi="Arial" w:cs="Arial"/>
          <w:b/>
          <w:color w:val="0070C0"/>
          <w:sz w:val="36"/>
          <w:szCs w:val="36"/>
        </w:rPr>
      </w:pPr>
      <w:r w:rsidRPr="00283D5F">
        <w:rPr>
          <w:rFonts w:ascii="Arial" w:hAnsi="Arial" w:cs="Arial"/>
          <w:b/>
          <w:color w:val="0070C0"/>
          <w:sz w:val="36"/>
          <w:szCs w:val="36"/>
        </w:rPr>
        <w:t>12VAC5-481-451</w:t>
      </w:r>
    </w:p>
    <w:p w:rsidR="00D34915" w:rsidRDefault="00283D5F" w:rsidP="00C07543">
      <w:pPr>
        <w:pBdr>
          <w:bottom w:val="single" w:sz="12" w:space="1" w:color="auto"/>
        </w:pBdr>
        <w:spacing w:after="0" w:line="240" w:lineRule="auto"/>
        <w:ind w:left="2880" w:right="2880"/>
        <w:rPr>
          <w:rFonts w:ascii="Arial" w:hAnsi="Arial" w:cs="Arial"/>
          <w:b/>
          <w:color w:val="0070C0"/>
          <w:sz w:val="40"/>
          <w:szCs w:val="40"/>
        </w:rPr>
      </w:pPr>
      <w:r w:rsidRPr="00283D5F">
        <w:rPr>
          <w:rFonts w:ascii="Arial" w:hAnsi="Arial" w:cs="Arial"/>
          <w:b/>
          <w:color w:val="0070C0"/>
          <w:sz w:val="36"/>
          <w:szCs w:val="36"/>
        </w:rPr>
        <w:t>Supplemental Information: Part 37 FAQs</w:t>
      </w:r>
    </w:p>
    <w:p w:rsidR="009C0E4C" w:rsidRPr="009C0E4C" w:rsidRDefault="009C0E4C" w:rsidP="00C0754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70C0"/>
          <w:sz w:val="16"/>
          <w:szCs w:val="16"/>
        </w:rPr>
      </w:pPr>
    </w:p>
    <w:p w:rsidR="009C0E4C" w:rsidRDefault="009C0E4C" w:rsidP="005E6AF0">
      <w:pPr>
        <w:spacing w:before="60" w:after="0" w:line="240" w:lineRule="auto"/>
        <w:rPr>
          <w:rFonts w:ascii="Arial" w:hAnsi="Arial" w:cs="Arial"/>
        </w:rPr>
      </w:pPr>
      <w:r w:rsidRPr="009C0E4C">
        <w:rPr>
          <w:rFonts w:ascii="Arial" w:hAnsi="Arial" w:cs="Arial"/>
        </w:rPr>
        <w:t xml:space="preserve">The </w:t>
      </w:r>
      <w:r w:rsidR="0086668C">
        <w:rPr>
          <w:rFonts w:ascii="Arial" w:hAnsi="Arial" w:cs="Arial"/>
        </w:rPr>
        <w:t>Virginia Department of Health, Radioactive Material Program</w:t>
      </w:r>
      <w:r w:rsidRPr="009C0E4C">
        <w:rPr>
          <w:rFonts w:ascii="Arial" w:hAnsi="Arial" w:cs="Arial"/>
        </w:rPr>
        <w:t xml:space="preserve"> has completed the new rules for the enhanced physical security of radioactive materials, which are found in </w:t>
      </w:r>
      <w:r w:rsidR="0086668C" w:rsidRPr="0086668C">
        <w:rPr>
          <w:rFonts w:ascii="Arial" w:hAnsi="Arial" w:cs="Arial"/>
          <w:b/>
        </w:rPr>
        <w:t>12VAC5-481-451</w:t>
      </w:r>
      <w:r w:rsidR="00F65952">
        <w:rPr>
          <w:rFonts w:ascii="Arial" w:hAnsi="Arial" w:cs="Arial"/>
          <w:b/>
        </w:rPr>
        <w:t xml:space="preserve"> </w:t>
      </w:r>
      <w:r w:rsidR="00F65952" w:rsidRPr="00F65952">
        <w:rPr>
          <w:rFonts w:ascii="Arial" w:hAnsi="Arial" w:cs="Arial"/>
        </w:rPr>
        <w:t>and will be</w:t>
      </w:r>
      <w:r w:rsidR="00F65952">
        <w:rPr>
          <w:rFonts w:ascii="Arial" w:hAnsi="Arial" w:cs="Arial"/>
          <w:b/>
        </w:rPr>
        <w:t xml:space="preserve"> </w:t>
      </w:r>
      <w:r w:rsidRPr="009C0E4C">
        <w:rPr>
          <w:rFonts w:ascii="Arial" w:hAnsi="Arial" w:cs="Arial"/>
        </w:rPr>
        <w:t xml:space="preserve">effective </w:t>
      </w:r>
      <w:r w:rsidR="003D5B66">
        <w:rPr>
          <w:rFonts w:ascii="Arial" w:hAnsi="Arial" w:cs="Arial"/>
        </w:rPr>
        <w:t>January 1, 2015</w:t>
      </w:r>
      <w:r w:rsidR="002D570F">
        <w:rPr>
          <w:rFonts w:ascii="Arial" w:hAnsi="Arial" w:cs="Arial"/>
        </w:rPr>
        <w:t>.</w:t>
      </w:r>
      <w:r w:rsidR="00F50EF6">
        <w:rPr>
          <w:rFonts w:ascii="Arial" w:hAnsi="Arial" w:cs="Arial"/>
        </w:rPr>
        <w:t xml:space="preserve">  </w:t>
      </w:r>
      <w:r w:rsidRPr="009C0E4C">
        <w:rPr>
          <w:rFonts w:ascii="Arial" w:hAnsi="Arial" w:cs="Arial"/>
        </w:rPr>
        <w:t xml:space="preserve">To assist licensees in preparing for the changes, we </w:t>
      </w:r>
      <w:r w:rsidR="00283D5F">
        <w:rPr>
          <w:rFonts w:ascii="Arial" w:hAnsi="Arial" w:cs="Arial"/>
        </w:rPr>
        <w:t xml:space="preserve">are forwarding the Frequently Asked Questions regarding </w:t>
      </w:r>
      <w:r w:rsidR="00F65952">
        <w:rPr>
          <w:rFonts w:ascii="Arial" w:hAnsi="Arial" w:cs="Arial"/>
        </w:rPr>
        <w:t>the enhanced security regulations</w:t>
      </w:r>
      <w:r w:rsidR="00283D5F">
        <w:rPr>
          <w:rFonts w:ascii="Arial" w:hAnsi="Arial" w:cs="Arial"/>
        </w:rPr>
        <w:t xml:space="preserve"> implementation </w:t>
      </w:r>
      <w:r w:rsidR="00F65952">
        <w:rPr>
          <w:rFonts w:ascii="Arial" w:hAnsi="Arial" w:cs="Arial"/>
        </w:rPr>
        <w:t>to conf</w:t>
      </w:r>
      <w:r w:rsidR="003D5B66">
        <w:rPr>
          <w:rFonts w:ascii="Arial" w:hAnsi="Arial" w:cs="Arial"/>
        </w:rPr>
        <w:t>o</w:t>
      </w:r>
      <w:r w:rsidR="00F65952">
        <w:rPr>
          <w:rFonts w:ascii="Arial" w:hAnsi="Arial" w:cs="Arial"/>
        </w:rPr>
        <w:t xml:space="preserve">rm </w:t>
      </w:r>
      <w:r w:rsidR="003D5B66">
        <w:rPr>
          <w:rFonts w:ascii="Arial" w:hAnsi="Arial" w:cs="Arial"/>
        </w:rPr>
        <w:t>to</w:t>
      </w:r>
      <w:r w:rsidR="00283D5F">
        <w:rPr>
          <w:rFonts w:ascii="Arial" w:hAnsi="Arial" w:cs="Arial"/>
        </w:rPr>
        <w:t xml:space="preserve"> NRC</w:t>
      </w:r>
      <w:r w:rsidR="00F65952">
        <w:rPr>
          <w:rFonts w:ascii="Arial" w:hAnsi="Arial" w:cs="Arial"/>
        </w:rPr>
        <w:t xml:space="preserve"> Part 37.</w:t>
      </w:r>
    </w:p>
    <w:p w:rsidR="00E702F9" w:rsidRPr="00283D5F" w:rsidRDefault="00283D5F" w:rsidP="00F65952">
      <w:pPr>
        <w:pBdr>
          <w:top w:val="single" w:sz="12" w:space="6" w:color="auto"/>
          <w:bottom w:val="single" w:sz="12" w:space="1" w:color="auto"/>
        </w:pBdr>
        <w:spacing w:before="120" w:after="120" w:line="240" w:lineRule="auto"/>
        <w:jc w:val="center"/>
        <w:rPr>
          <w:rFonts w:ascii="Arial" w:hAnsi="Arial" w:cs="Arial"/>
          <w:b/>
          <w:color w:val="009A46"/>
          <w:sz w:val="36"/>
          <w:szCs w:val="36"/>
        </w:rPr>
      </w:pPr>
      <w:r w:rsidRPr="00283D5F">
        <w:rPr>
          <w:rFonts w:ascii="Arial" w:hAnsi="Arial" w:cs="Arial"/>
          <w:b/>
          <w:color w:val="009A46"/>
          <w:sz w:val="36"/>
          <w:szCs w:val="36"/>
        </w:rPr>
        <w:t>Part 37 Frequently Asked Questions</w:t>
      </w:r>
    </w:p>
    <w:p w:rsidR="00283D5F" w:rsidRDefault="00283D5F" w:rsidP="00283D5F">
      <w:pPr>
        <w:pStyle w:val="ListParagraph"/>
        <w:numPr>
          <w:ilvl w:val="0"/>
          <w:numId w:val="5"/>
        </w:numPr>
        <w:spacing w:after="0" w:line="240" w:lineRule="auto"/>
        <w:ind w:left="360"/>
      </w:pPr>
      <w:r>
        <w:t>If a T&amp;R Official has already been through the fingerprint and background check process, is it necessary for that individual to undergo a new check/fingerprinting to be named the Reviewing Official?</w:t>
      </w:r>
    </w:p>
    <w:p w:rsidR="00283D5F" w:rsidRDefault="00283D5F" w:rsidP="00283D5F">
      <w:pPr>
        <w:spacing w:after="0" w:line="240" w:lineRule="auto"/>
        <w:ind w:left="360"/>
        <w:rPr>
          <w:b/>
        </w:rPr>
      </w:pPr>
      <w:r w:rsidRPr="00CB049F">
        <w:rPr>
          <w:b/>
        </w:rPr>
        <w:t>ANSWER:  No, that person may be named as the Reviewing Official, but must have the background check re-evaluated within ten years from the date of the original check.</w:t>
      </w:r>
    </w:p>
    <w:p w:rsidR="00283D5F" w:rsidRPr="00283D5F" w:rsidRDefault="00283D5F" w:rsidP="00283D5F">
      <w:pPr>
        <w:spacing w:after="0" w:line="240" w:lineRule="auto"/>
        <w:rPr>
          <w:b/>
          <w:sz w:val="16"/>
          <w:szCs w:val="16"/>
        </w:rPr>
      </w:pPr>
    </w:p>
    <w:p w:rsidR="00283D5F" w:rsidRPr="00CB049F" w:rsidRDefault="00283D5F" w:rsidP="00283D5F">
      <w:pPr>
        <w:pStyle w:val="ListParagraph"/>
        <w:numPr>
          <w:ilvl w:val="0"/>
          <w:numId w:val="5"/>
        </w:numPr>
        <w:spacing w:after="0" w:line="240" w:lineRule="auto"/>
        <w:ind w:left="360"/>
      </w:pPr>
      <w:r w:rsidRPr="00CB049F">
        <w:t>If a background check and fingerprinting is performed by another licensee for a new employee, may that be sufficient to consider someone eligible for unescorted access at my facility?</w:t>
      </w:r>
    </w:p>
    <w:p w:rsidR="00283D5F" w:rsidRDefault="00283D5F" w:rsidP="00283D5F">
      <w:pPr>
        <w:pStyle w:val="ListParagraph"/>
        <w:spacing w:after="0" w:line="240" w:lineRule="auto"/>
        <w:ind w:left="360"/>
        <w:rPr>
          <w:b/>
        </w:rPr>
      </w:pPr>
      <w:r>
        <w:rPr>
          <w:b/>
        </w:rPr>
        <w:t>ANSWER:  The short answer is “YES”; but you as the licensee must ensure that you have received sufficient information to be able to document your decision to grant that person access at your facility.</w:t>
      </w:r>
    </w:p>
    <w:p w:rsidR="00283D5F" w:rsidRPr="00283D5F" w:rsidRDefault="00283D5F" w:rsidP="00283D5F">
      <w:pPr>
        <w:pStyle w:val="ListParagraph"/>
        <w:spacing w:after="0" w:line="240" w:lineRule="auto"/>
        <w:rPr>
          <w:b/>
          <w:sz w:val="16"/>
          <w:szCs w:val="16"/>
        </w:rPr>
      </w:pPr>
      <w:bookmarkStart w:id="0" w:name="_GoBack"/>
      <w:bookmarkEnd w:id="0"/>
    </w:p>
    <w:p w:rsidR="00283D5F" w:rsidRPr="00CB049F" w:rsidRDefault="00283D5F" w:rsidP="00283D5F">
      <w:pPr>
        <w:pStyle w:val="ListParagraph"/>
        <w:numPr>
          <w:ilvl w:val="0"/>
          <w:numId w:val="5"/>
        </w:numPr>
        <w:spacing w:after="0" w:line="240" w:lineRule="auto"/>
        <w:ind w:left="360"/>
      </w:pPr>
      <w:r w:rsidRPr="00CB049F">
        <w:t>We use the TWIC system for verification of our employee’s trustworthiness and reliability.  Are we still able to use this method under the new rules?</w:t>
      </w:r>
    </w:p>
    <w:p w:rsidR="00283D5F" w:rsidRPr="00CB049F" w:rsidRDefault="00283D5F" w:rsidP="00F65952">
      <w:pPr>
        <w:spacing w:after="0" w:line="240" w:lineRule="auto"/>
        <w:ind w:left="360"/>
        <w:rPr>
          <w:b/>
        </w:rPr>
      </w:pPr>
      <w:r>
        <w:rPr>
          <w:b/>
        </w:rPr>
        <w:t xml:space="preserve">ANSWER: Yes, with the understanding that a TWIC certification </w:t>
      </w:r>
      <w:r w:rsidR="00F65952">
        <w:rPr>
          <w:b/>
        </w:rPr>
        <w:t xml:space="preserve">only applies to </w:t>
      </w:r>
      <w:r w:rsidR="00F65952" w:rsidRPr="00F65952">
        <w:rPr>
          <w:b/>
          <w:u w:val="single"/>
        </w:rPr>
        <w:t>fingerprinting</w:t>
      </w:r>
      <w:r w:rsidR="00F65952">
        <w:rPr>
          <w:b/>
        </w:rPr>
        <w:t xml:space="preserve"> requirements and </w:t>
      </w:r>
      <w:r>
        <w:rPr>
          <w:b/>
        </w:rPr>
        <w:t xml:space="preserve">must be renewed every </w:t>
      </w:r>
      <w:proofErr w:type="gramStart"/>
      <w:r>
        <w:rPr>
          <w:b/>
        </w:rPr>
        <w:t>5-years</w:t>
      </w:r>
      <w:proofErr w:type="gramEnd"/>
      <w:r>
        <w:rPr>
          <w:b/>
        </w:rPr>
        <w:t xml:space="preserve"> to remain valid and current. </w:t>
      </w:r>
    </w:p>
    <w:p w:rsidR="00283D5F" w:rsidRPr="00F65952" w:rsidRDefault="00283D5F" w:rsidP="00283D5F">
      <w:pPr>
        <w:spacing w:after="0" w:line="240" w:lineRule="auto"/>
        <w:rPr>
          <w:sz w:val="16"/>
          <w:szCs w:val="16"/>
        </w:rPr>
      </w:pPr>
    </w:p>
    <w:p w:rsidR="00283D5F" w:rsidRDefault="00283D5F" w:rsidP="00283D5F">
      <w:pPr>
        <w:pStyle w:val="ListParagraph"/>
        <w:numPr>
          <w:ilvl w:val="0"/>
          <w:numId w:val="5"/>
        </w:numPr>
        <w:spacing w:after="0" w:line="240" w:lineRule="auto"/>
        <w:ind w:left="360"/>
      </w:pPr>
      <w:r>
        <w:t>Will the security inspections be conducted separate from our regular health and safety inspections?</w:t>
      </w:r>
    </w:p>
    <w:p w:rsidR="00283D5F" w:rsidRDefault="00283D5F" w:rsidP="00F65952">
      <w:pPr>
        <w:pStyle w:val="ListParagraph"/>
        <w:spacing w:after="0" w:line="240" w:lineRule="auto"/>
        <w:ind w:left="360"/>
        <w:rPr>
          <w:b/>
        </w:rPr>
      </w:pPr>
      <w:r w:rsidRPr="00B1000E">
        <w:rPr>
          <w:b/>
        </w:rPr>
        <w:t xml:space="preserve">ANSWER: The inspections of a licensee’s compliance with the new security rules will be conducted at the same time, and as part of, the regular inspections conducted based on the priority for your license category.  </w:t>
      </w:r>
    </w:p>
    <w:p w:rsidR="00283D5F" w:rsidRPr="00F65952" w:rsidRDefault="00283D5F" w:rsidP="00283D5F">
      <w:pPr>
        <w:spacing w:after="0" w:line="240" w:lineRule="auto"/>
        <w:rPr>
          <w:b/>
          <w:sz w:val="16"/>
          <w:szCs w:val="16"/>
        </w:rPr>
      </w:pPr>
    </w:p>
    <w:p w:rsidR="00283D5F" w:rsidRDefault="00283D5F" w:rsidP="00283D5F">
      <w:pPr>
        <w:pStyle w:val="ListParagraph"/>
        <w:numPr>
          <w:ilvl w:val="0"/>
          <w:numId w:val="5"/>
        </w:numPr>
        <w:spacing w:after="0" w:line="240" w:lineRule="auto"/>
        <w:ind w:left="360"/>
      </w:pPr>
      <w:r>
        <w:t xml:space="preserve">The NRC has issued inspection guidance for how to conduct security inspections.  Will </w:t>
      </w:r>
      <w:r w:rsidR="00F65952">
        <w:t>Virginia</w:t>
      </w:r>
      <w:r>
        <w:t xml:space="preserve"> be developing an independent guidance document?</w:t>
      </w:r>
    </w:p>
    <w:p w:rsidR="00283D5F" w:rsidRPr="00F65952" w:rsidRDefault="00283D5F" w:rsidP="00F65952">
      <w:pPr>
        <w:pStyle w:val="ListParagraph"/>
        <w:spacing w:after="0" w:line="240" w:lineRule="auto"/>
        <w:ind w:left="360"/>
        <w:rPr>
          <w:b/>
        </w:rPr>
      </w:pPr>
      <w:r w:rsidRPr="00B1000E">
        <w:rPr>
          <w:b/>
        </w:rPr>
        <w:t xml:space="preserve">ANSWER:  The intent will be to follow the methodology developed by the NRC, allowing for any unique situations that may be present at </w:t>
      </w:r>
      <w:r w:rsidR="00F65952">
        <w:rPr>
          <w:b/>
        </w:rPr>
        <w:t>Virginia</w:t>
      </w:r>
      <w:r w:rsidRPr="00B1000E">
        <w:rPr>
          <w:b/>
        </w:rPr>
        <w:t xml:space="preserve"> licensed locations.  </w:t>
      </w:r>
      <w:r w:rsidR="00F65952">
        <w:rPr>
          <w:b/>
        </w:rPr>
        <w:t>Virginia</w:t>
      </w:r>
      <w:r w:rsidRPr="00B1000E">
        <w:rPr>
          <w:b/>
        </w:rPr>
        <w:t xml:space="preserve"> may develop its own version of security inspection guidance in the future, but there are no plans to work on that as yet.  </w:t>
      </w:r>
      <w:r w:rsidRPr="00F65952">
        <w:rPr>
          <w:b/>
        </w:rPr>
        <w:t>(NOTE: NRC’s inspection guidance available at:</w:t>
      </w:r>
      <w:r w:rsidRPr="002C164F">
        <w:t xml:space="preserve"> </w:t>
      </w:r>
      <w:hyperlink r:id="rId8" w:history="1">
        <w:r w:rsidRPr="00F65952">
          <w:rPr>
            <w:rStyle w:val="Hyperlink"/>
            <w:b/>
          </w:rPr>
          <w:t>http://pbadupws.nrc.gov/docs/ML1403/ML14030A144.pdf</w:t>
        </w:r>
      </w:hyperlink>
      <w:r w:rsidRPr="00F65952">
        <w:rPr>
          <w:b/>
        </w:rPr>
        <w:t>)</w:t>
      </w:r>
    </w:p>
    <w:p w:rsidR="00283D5F" w:rsidRPr="00F65952" w:rsidRDefault="00283D5F" w:rsidP="00283D5F">
      <w:pPr>
        <w:pStyle w:val="ListParagraph"/>
        <w:spacing w:after="0" w:line="240" w:lineRule="auto"/>
        <w:rPr>
          <w:b/>
          <w:sz w:val="16"/>
          <w:szCs w:val="16"/>
        </w:rPr>
      </w:pPr>
    </w:p>
    <w:p w:rsidR="00283D5F" w:rsidRDefault="00283D5F" w:rsidP="00283D5F">
      <w:pPr>
        <w:pStyle w:val="ListParagraph"/>
        <w:numPr>
          <w:ilvl w:val="0"/>
          <w:numId w:val="5"/>
        </w:numPr>
        <w:spacing w:after="0" w:line="240" w:lineRule="auto"/>
        <w:ind w:left="360"/>
      </w:pPr>
      <w:r>
        <w:t>Are we required to test our alarms every three months or every year?</w:t>
      </w:r>
    </w:p>
    <w:p w:rsidR="00283D5F" w:rsidRDefault="00283D5F" w:rsidP="00F65952">
      <w:pPr>
        <w:pStyle w:val="ListParagraph"/>
        <w:spacing w:after="0" w:line="240" w:lineRule="auto"/>
        <w:ind w:left="360"/>
        <w:rPr>
          <w:b/>
        </w:rPr>
      </w:pPr>
      <w:r w:rsidRPr="002C164F">
        <w:rPr>
          <w:b/>
        </w:rPr>
        <w:t xml:space="preserve">ANSWER:  The requirement to test components of the security system </w:t>
      </w:r>
      <w:r w:rsidR="003D5B66">
        <w:rPr>
          <w:b/>
        </w:rPr>
        <w:t>every three months</w:t>
      </w:r>
      <w:r w:rsidRPr="002C164F">
        <w:rPr>
          <w:b/>
        </w:rPr>
        <w:t>.</w:t>
      </w:r>
    </w:p>
    <w:p w:rsidR="00283D5F" w:rsidRPr="00E7507E" w:rsidRDefault="00283D5F" w:rsidP="00283D5F">
      <w:pPr>
        <w:spacing w:after="0" w:line="240" w:lineRule="auto"/>
        <w:rPr>
          <w:sz w:val="16"/>
          <w:szCs w:val="16"/>
        </w:rPr>
      </w:pPr>
    </w:p>
    <w:p w:rsidR="00283D5F" w:rsidRDefault="00283D5F" w:rsidP="00283D5F">
      <w:pPr>
        <w:pStyle w:val="ListParagraph"/>
        <w:numPr>
          <w:ilvl w:val="0"/>
          <w:numId w:val="5"/>
        </w:numPr>
        <w:spacing w:after="0" w:line="240" w:lineRule="auto"/>
        <w:ind w:left="360"/>
      </w:pPr>
      <w:r>
        <w:t>If I have materials located in the same room, but they are separated in different safes or other devices so that no single safe/storage device holds a category 1 or category 2 quantity of materials, would these be considered co-located?</w:t>
      </w:r>
    </w:p>
    <w:p w:rsidR="00943344" w:rsidRPr="00F65952" w:rsidRDefault="00283D5F" w:rsidP="00E7507E">
      <w:pPr>
        <w:pStyle w:val="ListParagraph"/>
        <w:spacing w:after="0" w:line="240" w:lineRule="auto"/>
        <w:ind w:left="360"/>
        <w:rPr>
          <w:b/>
        </w:rPr>
      </w:pPr>
      <w:r w:rsidRPr="00F04E08">
        <w:rPr>
          <w:b/>
        </w:rPr>
        <w:t>ANSWER: No, as long as the storage room had a secure locking device and each individual safe</w:t>
      </w:r>
      <w:r>
        <w:rPr>
          <w:b/>
        </w:rPr>
        <w:t xml:space="preserve"> and</w:t>
      </w:r>
      <w:r w:rsidRPr="00F04E08">
        <w:rPr>
          <w:b/>
        </w:rPr>
        <w:t>/</w:t>
      </w:r>
      <w:r>
        <w:rPr>
          <w:b/>
        </w:rPr>
        <w:t xml:space="preserve">or </w:t>
      </w:r>
      <w:r w:rsidRPr="00F04E08">
        <w:rPr>
          <w:b/>
        </w:rPr>
        <w:t xml:space="preserve">storage container had its own </w:t>
      </w:r>
      <w:r>
        <w:rPr>
          <w:b/>
        </w:rPr>
        <w:t xml:space="preserve">individual </w:t>
      </w:r>
      <w:r w:rsidRPr="00F04E08">
        <w:rPr>
          <w:b/>
        </w:rPr>
        <w:t>secure locking device.</w:t>
      </w:r>
    </w:p>
    <w:sectPr w:rsidR="00943344" w:rsidRPr="00F65952" w:rsidSect="00150BF1">
      <w:pgSz w:w="12240" w:h="15840"/>
      <w:pgMar w:top="540" w:right="720" w:bottom="27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0405A"/>
    <w:multiLevelType w:val="hybridMultilevel"/>
    <w:tmpl w:val="2E9EAA3E"/>
    <w:lvl w:ilvl="0" w:tplc="109A3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7A0FAF"/>
    <w:multiLevelType w:val="hybridMultilevel"/>
    <w:tmpl w:val="727EE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27FDF"/>
    <w:multiLevelType w:val="hybridMultilevel"/>
    <w:tmpl w:val="0AF81E06"/>
    <w:lvl w:ilvl="0" w:tplc="64ACB5FC">
      <w:start w:val="3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6BF145EF"/>
    <w:multiLevelType w:val="hybridMultilevel"/>
    <w:tmpl w:val="49D4E29E"/>
    <w:lvl w:ilvl="0" w:tplc="81FAD93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C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2D42FE"/>
    <w:multiLevelType w:val="hybridMultilevel"/>
    <w:tmpl w:val="B46E82EC"/>
    <w:lvl w:ilvl="0" w:tplc="C4CE8548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D34915"/>
    <w:rsid w:val="00064F36"/>
    <w:rsid w:val="000904EE"/>
    <w:rsid w:val="000C55F4"/>
    <w:rsid w:val="000E0CF1"/>
    <w:rsid w:val="00121ECB"/>
    <w:rsid w:val="00144A13"/>
    <w:rsid w:val="00150BF1"/>
    <w:rsid w:val="001901F7"/>
    <w:rsid w:val="001962B3"/>
    <w:rsid w:val="00283D5F"/>
    <w:rsid w:val="002D570F"/>
    <w:rsid w:val="003434DA"/>
    <w:rsid w:val="00357261"/>
    <w:rsid w:val="00376E62"/>
    <w:rsid w:val="003B43FF"/>
    <w:rsid w:val="003D5B66"/>
    <w:rsid w:val="004A5F3F"/>
    <w:rsid w:val="004B7FCB"/>
    <w:rsid w:val="004F5142"/>
    <w:rsid w:val="005E6AF0"/>
    <w:rsid w:val="00643FFA"/>
    <w:rsid w:val="00666B16"/>
    <w:rsid w:val="007F49DC"/>
    <w:rsid w:val="00805331"/>
    <w:rsid w:val="0086668C"/>
    <w:rsid w:val="008E3780"/>
    <w:rsid w:val="00943344"/>
    <w:rsid w:val="00963A16"/>
    <w:rsid w:val="009B2CDC"/>
    <w:rsid w:val="009C0E4C"/>
    <w:rsid w:val="00A96FF3"/>
    <w:rsid w:val="00AC297F"/>
    <w:rsid w:val="00BA4A46"/>
    <w:rsid w:val="00BA7B57"/>
    <w:rsid w:val="00BE2068"/>
    <w:rsid w:val="00C07543"/>
    <w:rsid w:val="00C57768"/>
    <w:rsid w:val="00CF200F"/>
    <w:rsid w:val="00D34915"/>
    <w:rsid w:val="00DD1CC8"/>
    <w:rsid w:val="00E702F9"/>
    <w:rsid w:val="00E7507E"/>
    <w:rsid w:val="00F33455"/>
    <w:rsid w:val="00F50EF6"/>
    <w:rsid w:val="00F638EC"/>
    <w:rsid w:val="00F6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e8d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9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49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3344"/>
    <w:rPr>
      <w:color w:val="00A3D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38E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9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49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3344"/>
    <w:rPr>
      <w:color w:val="00A3D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18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single" w:sz="6" w:space="0" w:color="999999"/>
          </w:divBdr>
          <w:divsChild>
            <w:div w:id="16888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1091">
                  <w:marLeft w:val="2775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badupws.nrc.gov/docs/ML1403/ML14030A144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D3771-4397-4194-9D88-D222AA8F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Department of Health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James</dc:creator>
  <cp:lastModifiedBy>Mike Welling</cp:lastModifiedBy>
  <cp:revision>4</cp:revision>
  <cp:lastPrinted>2014-06-12T12:49:00Z</cp:lastPrinted>
  <dcterms:created xsi:type="dcterms:W3CDTF">2015-09-03T15:50:00Z</dcterms:created>
  <dcterms:modified xsi:type="dcterms:W3CDTF">2015-10-16T19:02:00Z</dcterms:modified>
</cp:coreProperties>
</file>