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2327A" w14:textId="77777777" w:rsidR="007249FA" w:rsidRDefault="007249FA" w:rsidP="007249FA">
      <w:pPr>
        <w:pStyle w:val="Title"/>
      </w:pPr>
      <w:r>
        <w:t>Frequently</w:t>
      </w:r>
      <w:r>
        <w:rPr>
          <w:spacing w:val="-3"/>
        </w:rPr>
        <w:t xml:space="preserve"> </w:t>
      </w:r>
      <w:r>
        <w:t>Asked</w:t>
      </w:r>
      <w:r>
        <w:rPr>
          <w:spacing w:val="-4"/>
        </w:rPr>
        <w:t xml:space="preserve"> </w:t>
      </w:r>
      <w:r>
        <w:t>Questions</w:t>
      </w:r>
    </w:p>
    <w:p w14:paraId="397731EF" w14:textId="77777777" w:rsidR="007249FA" w:rsidRDefault="007249FA" w:rsidP="007249FA">
      <w:pPr>
        <w:pStyle w:val="BodyText"/>
        <w:ind w:left="2584" w:right="2246" w:firstLine="0"/>
        <w:jc w:val="center"/>
      </w:pPr>
      <w:r>
        <w:t>SHIP ARP</w:t>
      </w:r>
      <w:r>
        <w:rPr>
          <w:spacing w:val="-3"/>
        </w:rPr>
        <w:t xml:space="preserve"> </w:t>
      </w:r>
      <w:r>
        <w:t>Testing and Mitigation</w:t>
      </w:r>
    </w:p>
    <w:p w14:paraId="2CC37FD5" w14:textId="77777777" w:rsidR="007249FA" w:rsidRDefault="007249FA" w:rsidP="007249FA">
      <w:pPr>
        <w:pStyle w:val="BodyText"/>
        <w:ind w:left="0" w:firstLine="0"/>
      </w:pPr>
    </w:p>
    <w:p w14:paraId="630BD855" w14:textId="77777777" w:rsidR="007249FA" w:rsidRDefault="007249FA" w:rsidP="007249FA">
      <w:pPr>
        <w:pStyle w:val="Heading1"/>
        <w:rPr>
          <w:u w:val="none"/>
        </w:rPr>
      </w:pPr>
      <w:r>
        <w:t>Administrative</w:t>
      </w:r>
      <w:r>
        <w:rPr>
          <w:spacing w:val="-5"/>
        </w:rPr>
        <w:t xml:space="preserve"> </w:t>
      </w:r>
      <w:r>
        <w:t>&amp;</w:t>
      </w:r>
      <w:r>
        <w:rPr>
          <w:spacing w:val="-5"/>
        </w:rPr>
        <w:t xml:space="preserve"> </w:t>
      </w:r>
      <w:r>
        <w:t>Grants</w:t>
      </w:r>
      <w:r>
        <w:rPr>
          <w:spacing w:val="-5"/>
        </w:rPr>
        <w:t xml:space="preserve"> </w:t>
      </w:r>
      <w:r>
        <w:t>Management:</w:t>
      </w:r>
    </w:p>
    <w:p w14:paraId="5877196E" w14:textId="77777777" w:rsidR="007249FA" w:rsidRDefault="007249FA" w:rsidP="007249FA">
      <w:pPr>
        <w:pStyle w:val="BodyText"/>
        <w:spacing w:before="3"/>
        <w:ind w:left="0" w:firstLine="0"/>
        <w:rPr>
          <w:b/>
          <w:sz w:val="17"/>
        </w:rPr>
      </w:pPr>
    </w:p>
    <w:p w14:paraId="6C178805" w14:textId="77777777" w:rsidR="007249FA" w:rsidRDefault="007249FA" w:rsidP="007249FA">
      <w:pPr>
        <w:pStyle w:val="ListParagraph"/>
        <w:widowControl w:val="0"/>
        <w:numPr>
          <w:ilvl w:val="0"/>
          <w:numId w:val="4"/>
        </w:numPr>
        <w:tabs>
          <w:tab w:val="left" w:pos="821"/>
        </w:tabs>
        <w:autoSpaceDE w:val="0"/>
        <w:autoSpaceDN w:val="0"/>
        <w:spacing w:before="56" w:after="0" w:line="240" w:lineRule="auto"/>
        <w:ind w:right="308"/>
        <w:contextualSpacing w:val="0"/>
        <w:rPr>
          <w:i/>
        </w:rPr>
      </w:pPr>
      <w:r>
        <w:t>Is there a hospital application similar to COVID SHIP and SHIP?</w:t>
      </w:r>
      <w:r>
        <w:rPr>
          <w:spacing w:val="1"/>
        </w:rPr>
        <w:t xml:space="preserve"> </w:t>
      </w:r>
      <w:r>
        <w:rPr>
          <w:i/>
          <w:color w:val="006FC0"/>
        </w:rPr>
        <w:t>No.</w:t>
      </w:r>
      <w:r>
        <w:rPr>
          <w:i/>
          <w:color w:val="006FC0"/>
          <w:spacing w:val="1"/>
        </w:rPr>
        <w:t xml:space="preserve"> </w:t>
      </w:r>
      <w:r>
        <w:rPr>
          <w:i/>
          <w:color w:val="006FC0"/>
        </w:rPr>
        <w:t>Grantees will complete the ARP</w:t>
      </w:r>
      <w:r>
        <w:rPr>
          <w:i/>
          <w:color w:val="006FC0"/>
          <w:spacing w:val="-1"/>
        </w:rPr>
        <w:t xml:space="preserve"> </w:t>
      </w:r>
      <w:r>
        <w:rPr>
          <w:i/>
          <w:color w:val="006FC0"/>
        </w:rPr>
        <w:t>Hospital</w:t>
      </w:r>
      <w:r>
        <w:rPr>
          <w:i/>
          <w:color w:val="006FC0"/>
          <w:spacing w:val="-4"/>
        </w:rPr>
        <w:t xml:space="preserve"> </w:t>
      </w:r>
      <w:r>
        <w:rPr>
          <w:i/>
          <w:color w:val="006FC0"/>
        </w:rPr>
        <w:t>Spreadsheet</w:t>
      </w:r>
      <w:r>
        <w:rPr>
          <w:i/>
          <w:color w:val="006FC0"/>
          <w:spacing w:val="-3"/>
        </w:rPr>
        <w:t xml:space="preserve"> </w:t>
      </w:r>
      <w:r>
        <w:rPr>
          <w:i/>
          <w:color w:val="006FC0"/>
        </w:rPr>
        <w:t>to</w:t>
      </w:r>
      <w:r>
        <w:rPr>
          <w:i/>
          <w:color w:val="006FC0"/>
          <w:spacing w:val="-1"/>
        </w:rPr>
        <w:t xml:space="preserve"> </w:t>
      </w:r>
      <w:r>
        <w:rPr>
          <w:i/>
          <w:color w:val="006FC0"/>
        </w:rPr>
        <w:t>provide</w:t>
      </w:r>
      <w:r>
        <w:rPr>
          <w:i/>
          <w:color w:val="006FC0"/>
          <w:spacing w:val="-1"/>
        </w:rPr>
        <w:t xml:space="preserve"> </w:t>
      </w:r>
      <w:r>
        <w:rPr>
          <w:i/>
          <w:color w:val="006FC0"/>
        </w:rPr>
        <w:t>a</w:t>
      </w:r>
      <w:r>
        <w:rPr>
          <w:i/>
          <w:color w:val="006FC0"/>
          <w:spacing w:val="-1"/>
        </w:rPr>
        <w:t xml:space="preserve"> </w:t>
      </w:r>
      <w:r>
        <w:rPr>
          <w:i/>
          <w:color w:val="006FC0"/>
        </w:rPr>
        <w:t>count</w:t>
      </w:r>
      <w:r>
        <w:rPr>
          <w:i/>
          <w:color w:val="006FC0"/>
          <w:spacing w:val="-1"/>
        </w:rPr>
        <w:t xml:space="preserve"> </w:t>
      </w:r>
      <w:r>
        <w:rPr>
          <w:i/>
          <w:color w:val="006FC0"/>
        </w:rPr>
        <w:t>of</w:t>
      </w:r>
      <w:r>
        <w:rPr>
          <w:i/>
          <w:color w:val="006FC0"/>
          <w:spacing w:val="-4"/>
        </w:rPr>
        <w:t xml:space="preserve"> </w:t>
      </w:r>
      <w:r>
        <w:rPr>
          <w:i/>
          <w:color w:val="006FC0"/>
        </w:rPr>
        <w:t>all</w:t>
      </w:r>
      <w:r>
        <w:rPr>
          <w:i/>
          <w:color w:val="006FC0"/>
          <w:spacing w:val="-2"/>
        </w:rPr>
        <w:t xml:space="preserve"> </w:t>
      </w:r>
      <w:r>
        <w:rPr>
          <w:i/>
          <w:color w:val="006FC0"/>
        </w:rPr>
        <w:t>hospitals</w:t>
      </w:r>
      <w:r>
        <w:rPr>
          <w:i/>
          <w:color w:val="006FC0"/>
          <w:spacing w:val="1"/>
        </w:rPr>
        <w:t xml:space="preserve"> </w:t>
      </w:r>
      <w:r>
        <w:rPr>
          <w:i/>
          <w:color w:val="006FC0"/>
        </w:rPr>
        <w:t>that</w:t>
      </w:r>
      <w:r>
        <w:rPr>
          <w:i/>
          <w:color w:val="006FC0"/>
          <w:spacing w:val="-1"/>
        </w:rPr>
        <w:t xml:space="preserve"> </w:t>
      </w:r>
      <w:r>
        <w:rPr>
          <w:i/>
          <w:color w:val="006FC0"/>
        </w:rPr>
        <w:t>have</w:t>
      </w:r>
      <w:r>
        <w:rPr>
          <w:i/>
          <w:color w:val="006FC0"/>
          <w:spacing w:val="-3"/>
        </w:rPr>
        <w:t xml:space="preserve"> </w:t>
      </w:r>
      <w:r>
        <w:rPr>
          <w:i/>
          <w:color w:val="006FC0"/>
        </w:rPr>
        <w:t>requested</w:t>
      </w:r>
      <w:r>
        <w:rPr>
          <w:i/>
          <w:color w:val="006FC0"/>
          <w:spacing w:val="-2"/>
        </w:rPr>
        <w:t xml:space="preserve"> </w:t>
      </w:r>
      <w:r>
        <w:rPr>
          <w:i/>
          <w:color w:val="006FC0"/>
        </w:rPr>
        <w:t>funding.</w:t>
      </w:r>
    </w:p>
    <w:p w14:paraId="5DCA19B5" w14:textId="77777777" w:rsidR="007249FA" w:rsidRDefault="007249FA" w:rsidP="007249FA">
      <w:pPr>
        <w:pStyle w:val="ListParagraph"/>
        <w:widowControl w:val="0"/>
        <w:numPr>
          <w:ilvl w:val="0"/>
          <w:numId w:val="4"/>
        </w:numPr>
        <w:tabs>
          <w:tab w:val="left" w:pos="821"/>
        </w:tabs>
        <w:autoSpaceDE w:val="0"/>
        <w:autoSpaceDN w:val="0"/>
        <w:spacing w:before="1" w:after="0" w:line="240" w:lineRule="auto"/>
        <w:ind w:right="192"/>
        <w:contextualSpacing w:val="0"/>
        <w:rPr>
          <w:i/>
        </w:rPr>
      </w:pPr>
      <w:r>
        <w:t>What happens if a hospital initially agrees to participate, but later on, changes its mind? What</w:t>
      </w:r>
      <w:r>
        <w:rPr>
          <w:spacing w:val="1"/>
        </w:rPr>
        <w:t xml:space="preserve"> </w:t>
      </w:r>
      <w:r>
        <w:t>would be the procedure for that</w:t>
      </w:r>
      <w:r>
        <w:rPr>
          <w:i/>
        </w:rPr>
        <w:t xml:space="preserve">? </w:t>
      </w:r>
      <w:r>
        <w:rPr>
          <w:i/>
          <w:color w:val="006FC0"/>
        </w:rPr>
        <w:t>If a hospital later decides not to participate, funds will be</w:t>
      </w:r>
      <w:r>
        <w:rPr>
          <w:i/>
          <w:color w:val="006FC0"/>
          <w:spacing w:val="1"/>
        </w:rPr>
        <w:t xml:space="preserve"> </w:t>
      </w:r>
      <w:r>
        <w:rPr>
          <w:i/>
          <w:color w:val="006FC0"/>
        </w:rPr>
        <w:t>returned to HRSA. Grantees will notify the Project Officer to identify the hospitals and the</w:t>
      </w:r>
      <w:r>
        <w:rPr>
          <w:i/>
          <w:color w:val="006FC0"/>
          <w:spacing w:val="1"/>
        </w:rPr>
        <w:t xml:space="preserve"> </w:t>
      </w:r>
      <w:r>
        <w:rPr>
          <w:i/>
          <w:color w:val="006FC0"/>
        </w:rPr>
        <w:t>amount of funds. It may be done through an updated Notice of Award with a reduced total or as</w:t>
      </w:r>
      <w:r>
        <w:rPr>
          <w:i/>
          <w:color w:val="006FC0"/>
          <w:spacing w:val="-47"/>
        </w:rPr>
        <w:t xml:space="preserve"> </w:t>
      </w:r>
      <w:r>
        <w:rPr>
          <w:i/>
          <w:color w:val="006FC0"/>
        </w:rPr>
        <w:t>part</w:t>
      </w:r>
      <w:r>
        <w:rPr>
          <w:i/>
          <w:color w:val="006FC0"/>
          <w:spacing w:val="-1"/>
        </w:rPr>
        <w:t xml:space="preserve"> </w:t>
      </w:r>
      <w:r>
        <w:rPr>
          <w:i/>
          <w:color w:val="006FC0"/>
        </w:rPr>
        <w:t>of the close out</w:t>
      </w:r>
      <w:r>
        <w:rPr>
          <w:i/>
          <w:color w:val="006FC0"/>
          <w:spacing w:val="-2"/>
        </w:rPr>
        <w:t xml:space="preserve"> </w:t>
      </w:r>
      <w:r>
        <w:rPr>
          <w:i/>
          <w:color w:val="006FC0"/>
        </w:rPr>
        <w:t>process.</w:t>
      </w:r>
    </w:p>
    <w:p w14:paraId="2D491231" w14:textId="77777777" w:rsidR="007249FA" w:rsidRDefault="007249FA" w:rsidP="007249FA">
      <w:pPr>
        <w:pStyle w:val="ListParagraph"/>
        <w:widowControl w:val="0"/>
        <w:numPr>
          <w:ilvl w:val="0"/>
          <w:numId w:val="4"/>
        </w:numPr>
        <w:tabs>
          <w:tab w:val="left" w:pos="821"/>
        </w:tabs>
        <w:autoSpaceDE w:val="0"/>
        <w:autoSpaceDN w:val="0"/>
        <w:spacing w:before="1" w:after="0" w:line="240" w:lineRule="auto"/>
        <w:ind w:right="282"/>
        <w:contextualSpacing w:val="0"/>
        <w:rPr>
          <w:i/>
        </w:rPr>
      </w:pPr>
      <w:r>
        <w:t xml:space="preserve">Are you going to request any validation expenses back to 6/1/2020 that have not already been reimbursed under the previous COVID funding? </w:t>
      </w:r>
      <w:r>
        <w:rPr>
          <w:i/>
          <w:color w:val="006FC0"/>
        </w:rPr>
        <w:t>No, however, hospitals should maintain</w:t>
      </w:r>
      <w:r>
        <w:rPr>
          <w:i/>
          <w:color w:val="006FC0"/>
          <w:spacing w:val="1"/>
        </w:rPr>
        <w:t xml:space="preserve"> </w:t>
      </w:r>
      <w:r>
        <w:rPr>
          <w:i/>
          <w:color w:val="006FC0"/>
        </w:rPr>
        <w:t>appropriate documentation. ARP funds may be used to cover pre-award cost dating back to</w:t>
      </w:r>
      <w:r>
        <w:rPr>
          <w:i/>
          <w:color w:val="006FC0"/>
          <w:spacing w:val="1"/>
        </w:rPr>
        <w:t xml:space="preserve"> </w:t>
      </w:r>
      <w:r>
        <w:rPr>
          <w:i/>
          <w:color w:val="006FC0"/>
        </w:rPr>
        <w:t>January 1, 2021.</w:t>
      </w:r>
      <w:r>
        <w:rPr>
          <w:i/>
          <w:color w:val="006FC0"/>
          <w:spacing w:val="1"/>
        </w:rPr>
        <w:t xml:space="preserve"> </w:t>
      </w:r>
      <w:r>
        <w:rPr>
          <w:i/>
          <w:color w:val="006FC0"/>
        </w:rPr>
        <w:t>Grant funds cannot be used to cover costs already supported by other sources</w:t>
      </w:r>
      <w:r>
        <w:rPr>
          <w:i/>
          <w:color w:val="006FC0"/>
          <w:spacing w:val="-47"/>
        </w:rPr>
        <w:t xml:space="preserve"> </w:t>
      </w:r>
      <w:r>
        <w:rPr>
          <w:i/>
          <w:color w:val="006FC0"/>
        </w:rPr>
        <w:t>of</w:t>
      </w:r>
      <w:r>
        <w:rPr>
          <w:i/>
          <w:color w:val="006FC0"/>
          <w:spacing w:val="-1"/>
        </w:rPr>
        <w:t xml:space="preserve"> </w:t>
      </w:r>
      <w:r>
        <w:rPr>
          <w:i/>
          <w:color w:val="006FC0"/>
        </w:rPr>
        <w:t>funding.</w:t>
      </w:r>
    </w:p>
    <w:p w14:paraId="674BA8AE" w14:textId="77777777" w:rsidR="007249FA" w:rsidRDefault="007249FA" w:rsidP="007249FA">
      <w:pPr>
        <w:pStyle w:val="ListParagraph"/>
        <w:widowControl w:val="0"/>
        <w:numPr>
          <w:ilvl w:val="0"/>
          <w:numId w:val="4"/>
        </w:numPr>
        <w:tabs>
          <w:tab w:val="left" w:pos="821"/>
        </w:tabs>
        <w:autoSpaceDE w:val="0"/>
        <w:autoSpaceDN w:val="0"/>
        <w:spacing w:after="0" w:line="240" w:lineRule="auto"/>
        <w:ind w:right="352"/>
        <w:contextualSpacing w:val="0"/>
        <w:rPr>
          <w:i/>
        </w:rPr>
      </w:pPr>
      <w:r>
        <w:t>Is it recommended to give the hospitals all the money up front or should it be done in</w:t>
      </w:r>
      <w:r>
        <w:rPr>
          <w:spacing w:val="1"/>
        </w:rPr>
        <w:t xml:space="preserve"> </w:t>
      </w:r>
      <w:r>
        <w:t>increments or possibly on a cost reimbursement bases? Since this is a large amount of money,</w:t>
      </w:r>
      <w:r>
        <w:rPr>
          <w:spacing w:val="-47"/>
        </w:rPr>
        <w:t xml:space="preserve"> </w:t>
      </w:r>
      <w:r>
        <w:t>what would be best practice?</w:t>
      </w:r>
      <w:r>
        <w:rPr>
          <w:spacing w:val="1"/>
        </w:rPr>
        <w:t xml:space="preserve"> </w:t>
      </w:r>
      <w:r>
        <w:rPr>
          <w:i/>
          <w:color w:val="006FC0"/>
        </w:rPr>
        <w:t>Distribution of funds will be based on internal policies and</w:t>
      </w:r>
      <w:r>
        <w:rPr>
          <w:i/>
          <w:color w:val="006FC0"/>
          <w:spacing w:val="1"/>
        </w:rPr>
        <w:t xml:space="preserve"> </w:t>
      </w:r>
      <w:r>
        <w:rPr>
          <w:i/>
          <w:color w:val="006FC0"/>
        </w:rPr>
        <w:t>procedures</w:t>
      </w:r>
      <w:r>
        <w:rPr>
          <w:i/>
          <w:color w:val="006FC0"/>
          <w:spacing w:val="-3"/>
        </w:rPr>
        <w:t xml:space="preserve"> </w:t>
      </w:r>
      <w:r>
        <w:rPr>
          <w:i/>
          <w:color w:val="006FC0"/>
        </w:rPr>
        <w:t>for distributing</w:t>
      </w:r>
      <w:r>
        <w:rPr>
          <w:i/>
          <w:color w:val="006FC0"/>
          <w:spacing w:val="-4"/>
        </w:rPr>
        <w:t xml:space="preserve"> </w:t>
      </w:r>
      <w:r>
        <w:rPr>
          <w:i/>
          <w:color w:val="006FC0"/>
        </w:rPr>
        <w:t>subawards.</w:t>
      </w:r>
    </w:p>
    <w:p w14:paraId="5C9314F8" w14:textId="77777777" w:rsidR="007249FA" w:rsidRDefault="007249FA" w:rsidP="007249FA">
      <w:pPr>
        <w:pStyle w:val="ListParagraph"/>
        <w:widowControl w:val="0"/>
        <w:numPr>
          <w:ilvl w:val="0"/>
          <w:numId w:val="4"/>
        </w:numPr>
        <w:tabs>
          <w:tab w:val="left" w:pos="821"/>
        </w:tabs>
        <w:autoSpaceDE w:val="0"/>
        <w:autoSpaceDN w:val="0"/>
        <w:spacing w:after="0" w:line="240" w:lineRule="auto"/>
        <w:ind w:right="344"/>
        <w:contextualSpacing w:val="0"/>
        <w:rPr>
          <w:i/>
        </w:rPr>
      </w:pPr>
      <w:r>
        <w:t>Can hospitals submit their applications as a group or do they need to submit their applications</w:t>
      </w:r>
      <w:r>
        <w:rPr>
          <w:spacing w:val="-47"/>
        </w:rPr>
        <w:t xml:space="preserve"> </w:t>
      </w:r>
      <w:r>
        <w:t>separately?</w:t>
      </w:r>
      <w:r>
        <w:rPr>
          <w:spacing w:val="48"/>
        </w:rPr>
        <w:t xml:space="preserve"> </w:t>
      </w:r>
      <w:r>
        <w:rPr>
          <w:i/>
          <w:color w:val="006FC0"/>
        </w:rPr>
        <w:t>Hospital</w:t>
      </w:r>
      <w:r>
        <w:rPr>
          <w:i/>
          <w:color w:val="006FC0"/>
          <w:spacing w:val="-1"/>
        </w:rPr>
        <w:t xml:space="preserve"> </w:t>
      </w:r>
      <w:r>
        <w:rPr>
          <w:i/>
          <w:color w:val="006FC0"/>
        </w:rPr>
        <w:t>applications</w:t>
      </w:r>
      <w:r>
        <w:rPr>
          <w:i/>
          <w:color w:val="006FC0"/>
          <w:spacing w:val="1"/>
        </w:rPr>
        <w:t xml:space="preserve"> </w:t>
      </w:r>
      <w:r>
        <w:rPr>
          <w:i/>
          <w:color w:val="006FC0"/>
        </w:rPr>
        <w:t>should</w:t>
      </w:r>
      <w:r>
        <w:rPr>
          <w:i/>
          <w:color w:val="006FC0"/>
          <w:spacing w:val="-2"/>
        </w:rPr>
        <w:t xml:space="preserve"> </w:t>
      </w:r>
      <w:r>
        <w:rPr>
          <w:i/>
          <w:color w:val="006FC0"/>
        </w:rPr>
        <w:t>be submitted</w:t>
      </w:r>
      <w:r>
        <w:rPr>
          <w:i/>
          <w:color w:val="006FC0"/>
          <w:spacing w:val="-4"/>
        </w:rPr>
        <w:t xml:space="preserve"> </w:t>
      </w:r>
      <w:r>
        <w:rPr>
          <w:i/>
          <w:color w:val="006FC0"/>
        </w:rPr>
        <w:t>to the</w:t>
      </w:r>
      <w:r>
        <w:rPr>
          <w:i/>
          <w:color w:val="006FC0"/>
          <w:spacing w:val="-3"/>
        </w:rPr>
        <w:t xml:space="preserve"> </w:t>
      </w:r>
      <w:r>
        <w:rPr>
          <w:i/>
          <w:color w:val="006FC0"/>
        </w:rPr>
        <w:t>state</w:t>
      </w:r>
      <w:r>
        <w:rPr>
          <w:i/>
          <w:color w:val="006FC0"/>
          <w:spacing w:val="-1"/>
        </w:rPr>
        <w:t xml:space="preserve"> </w:t>
      </w:r>
      <w:r>
        <w:rPr>
          <w:i/>
          <w:color w:val="006FC0"/>
        </w:rPr>
        <w:t>separately.</w:t>
      </w:r>
    </w:p>
    <w:p w14:paraId="11984E4E" w14:textId="77777777" w:rsidR="007249FA" w:rsidRDefault="007249FA" w:rsidP="007249FA">
      <w:pPr>
        <w:pStyle w:val="ListParagraph"/>
        <w:widowControl w:val="0"/>
        <w:numPr>
          <w:ilvl w:val="0"/>
          <w:numId w:val="4"/>
        </w:numPr>
        <w:tabs>
          <w:tab w:val="left" w:pos="821"/>
        </w:tabs>
        <w:autoSpaceDE w:val="0"/>
        <w:autoSpaceDN w:val="0"/>
        <w:spacing w:before="3" w:after="0" w:line="240" w:lineRule="auto"/>
        <w:ind w:right="286"/>
        <w:contextualSpacing w:val="0"/>
        <w:rPr>
          <w:i/>
        </w:rPr>
      </w:pPr>
      <w:r>
        <w:t>Is there a cap on the amount of indirect?</w:t>
      </w:r>
      <w:r>
        <w:rPr>
          <w:spacing w:val="1"/>
        </w:rPr>
        <w:t xml:space="preserve"> </w:t>
      </w:r>
      <w:r>
        <w:rPr>
          <w:i/>
          <w:color w:val="006FC0"/>
        </w:rPr>
        <w:t>No cap, but given the purpose of this funding to</w:t>
      </w:r>
      <w:r>
        <w:rPr>
          <w:i/>
          <w:color w:val="006FC0"/>
          <w:spacing w:val="1"/>
        </w:rPr>
        <w:t xml:space="preserve"> </w:t>
      </w:r>
      <w:r>
        <w:rPr>
          <w:i/>
          <w:color w:val="006FC0"/>
        </w:rPr>
        <w:t>support rural hospital reporting and mitigation efforts, HRSA encourages states to fund at least</w:t>
      </w:r>
      <w:r>
        <w:rPr>
          <w:i/>
          <w:color w:val="006FC0"/>
          <w:spacing w:val="-47"/>
        </w:rPr>
        <w:t xml:space="preserve"> </w:t>
      </w:r>
      <w:r>
        <w:rPr>
          <w:i/>
          <w:color w:val="006FC0"/>
        </w:rPr>
        <w:t>85% of the</w:t>
      </w:r>
      <w:r>
        <w:rPr>
          <w:i/>
          <w:color w:val="006FC0"/>
          <w:spacing w:val="-2"/>
        </w:rPr>
        <w:t xml:space="preserve"> </w:t>
      </w:r>
      <w:r>
        <w:rPr>
          <w:i/>
          <w:color w:val="006FC0"/>
        </w:rPr>
        <w:t>grant award</w:t>
      </w:r>
      <w:r>
        <w:rPr>
          <w:i/>
          <w:color w:val="006FC0"/>
          <w:spacing w:val="-3"/>
        </w:rPr>
        <w:t xml:space="preserve"> </w:t>
      </w:r>
      <w:r>
        <w:rPr>
          <w:i/>
          <w:color w:val="006FC0"/>
        </w:rPr>
        <w:t>to</w:t>
      </w:r>
      <w:r>
        <w:rPr>
          <w:i/>
          <w:color w:val="006FC0"/>
          <w:spacing w:val="-2"/>
        </w:rPr>
        <w:t xml:space="preserve"> </w:t>
      </w:r>
      <w:r>
        <w:rPr>
          <w:i/>
          <w:color w:val="006FC0"/>
        </w:rPr>
        <w:t>hospitals.</w:t>
      </w:r>
    </w:p>
    <w:p w14:paraId="1B00C282" w14:textId="77777777" w:rsidR="007249FA" w:rsidRDefault="007249FA" w:rsidP="007249FA">
      <w:pPr>
        <w:pStyle w:val="ListParagraph"/>
        <w:widowControl w:val="0"/>
        <w:numPr>
          <w:ilvl w:val="0"/>
          <w:numId w:val="4"/>
        </w:numPr>
        <w:tabs>
          <w:tab w:val="left" w:pos="821"/>
        </w:tabs>
        <w:autoSpaceDE w:val="0"/>
        <w:autoSpaceDN w:val="0"/>
        <w:spacing w:after="0" w:line="240" w:lineRule="auto"/>
        <w:ind w:right="653"/>
        <w:contextualSpacing w:val="0"/>
        <w:rPr>
          <w:i/>
        </w:rPr>
      </w:pPr>
      <w:r>
        <w:t>Are SORH salaries and fringe allowed; or do we have to staff this with our existing program</w:t>
      </w:r>
      <w:r>
        <w:rPr>
          <w:spacing w:val="-47"/>
        </w:rPr>
        <w:t xml:space="preserve"> </w:t>
      </w:r>
      <w:r>
        <w:t>staff?</w:t>
      </w:r>
      <w:r>
        <w:rPr>
          <w:spacing w:val="48"/>
        </w:rPr>
        <w:t xml:space="preserve"> </w:t>
      </w:r>
      <w:r>
        <w:rPr>
          <w:i/>
          <w:color w:val="006FC0"/>
        </w:rPr>
        <w:t>Yes, salaries and</w:t>
      </w:r>
      <w:r>
        <w:rPr>
          <w:i/>
          <w:color w:val="006FC0"/>
          <w:spacing w:val="-2"/>
        </w:rPr>
        <w:t xml:space="preserve"> </w:t>
      </w:r>
      <w:r>
        <w:rPr>
          <w:i/>
          <w:color w:val="006FC0"/>
        </w:rPr>
        <w:t>fringe are allowed.</w:t>
      </w:r>
    </w:p>
    <w:p w14:paraId="0732A33D" w14:textId="3D5ABB6B" w:rsidR="007249FA" w:rsidRDefault="007249FA" w:rsidP="007249FA">
      <w:pPr>
        <w:pStyle w:val="ListParagraph"/>
        <w:widowControl w:val="0"/>
        <w:numPr>
          <w:ilvl w:val="0"/>
          <w:numId w:val="4"/>
        </w:numPr>
        <w:tabs>
          <w:tab w:val="left" w:pos="821"/>
        </w:tabs>
        <w:autoSpaceDE w:val="0"/>
        <w:autoSpaceDN w:val="0"/>
        <w:spacing w:after="0" w:line="240" w:lineRule="auto"/>
        <w:ind w:right="188"/>
        <w:contextualSpacing w:val="0"/>
        <w:rPr>
          <w:i/>
        </w:rPr>
      </w:pPr>
      <w:r>
        <w:t>The "up to" $230,000 per hospital language was concerning to hospitals</w:t>
      </w:r>
      <w:r w:rsidR="003A257A">
        <w:t xml:space="preserve"> in the program instructions</w:t>
      </w:r>
      <w:r>
        <w:t xml:space="preserve"> - what would bring tha</w:t>
      </w:r>
      <w:r w:rsidR="00510FED" w:rsidRPr="00510FED">
        <w:t xml:space="preserve">t </w:t>
      </w:r>
      <w:r>
        <w:t>down?</w:t>
      </w:r>
      <w:r>
        <w:rPr>
          <w:spacing w:val="1"/>
        </w:rPr>
        <w:t xml:space="preserve"> </w:t>
      </w:r>
      <w:r>
        <w:rPr>
          <w:i/>
          <w:color w:val="006FC0"/>
        </w:rPr>
        <w:t>HRSA used this wording because of the formula used for setting the award to states</w:t>
      </w:r>
      <w:r>
        <w:rPr>
          <w:i/>
          <w:color w:val="006FC0"/>
          <w:spacing w:val="1"/>
        </w:rPr>
        <w:t xml:space="preserve"> </w:t>
      </w:r>
      <w:r>
        <w:rPr>
          <w:i/>
          <w:color w:val="006FC0"/>
        </w:rPr>
        <w:t>based on participating hospitals. Depending on what costs the states take, the hospital awards</w:t>
      </w:r>
      <w:r>
        <w:rPr>
          <w:i/>
          <w:color w:val="006FC0"/>
          <w:spacing w:val="1"/>
        </w:rPr>
        <w:t xml:space="preserve"> </w:t>
      </w:r>
      <w:r>
        <w:rPr>
          <w:i/>
          <w:color w:val="006FC0"/>
        </w:rPr>
        <w:t>would be less once the state subcontracts.</w:t>
      </w:r>
      <w:r>
        <w:rPr>
          <w:i/>
          <w:color w:val="006FC0"/>
          <w:spacing w:val="1"/>
        </w:rPr>
        <w:t xml:space="preserve"> </w:t>
      </w:r>
      <w:r w:rsidR="003A257A">
        <w:rPr>
          <w:i/>
          <w:color w:val="006FC0"/>
        </w:rPr>
        <w:t xml:space="preserve">In the final NoA states received $258,376 </w:t>
      </w:r>
      <w:r>
        <w:rPr>
          <w:i/>
          <w:color w:val="006FC0"/>
        </w:rPr>
        <w:t>for each participating,</w:t>
      </w:r>
      <w:r>
        <w:rPr>
          <w:i/>
          <w:color w:val="006FC0"/>
          <w:spacing w:val="1"/>
        </w:rPr>
        <w:t xml:space="preserve"> </w:t>
      </w:r>
      <w:r>
        <w:rPr>
          <w:i/>
          <w:color w:val="006FC0"/>
        </w:rPr>
        <w:t>but</w:t>
      </w:r>
      <w:r>
        <w:rPr>
          <w:i/>
          <w:color w:val="006FC0"/>
          <w:spacing w:val="-1"/>
        </w:rPr>
        <w:t xml:space="preserve"> </w:t>
      </w:r>
      <w:r>
        <w:rPr>
          <w:i/>
          <w:color w:val="006FC0"/>
        </w:rPr>
        <w:t>hospitals may</w:t>
      </w:r>
      <w:r>
        <w:rPr>
          <w:i/>
          <w:color w:val="006FC0"/>
          <w:spacing w:val="-4"/>
        </w:rPr>
        <w:t xml:space="preserve"> </w:t>
      </w:r>
      <w:r>
        <w:rPr>
          <w:i/>
          <w:color w:val="006FC0"/>
        </w:rPr>
        <w:t>request an</w:t>
      </w:r>
      <w:r>
        <w:rPr>
          <w:i/>
          <w:color w:val="006FC0"/>
          <w:spacing w:val="-1"/>
        </w:rPr>
        <w:t xml:space="preserve"> </w:t>
      </w:r>
      <w:r>
        <w:rPr>
          <w:i/>
          <w:color w:val="006FC0"/>
        </w:rPr>
        <w:t>amount</w:t>
      </w:r>
      <w:r>
        <w:rPr>
          <w:i/>
          <w:color w:val="006FC0"/>
          <w:spacing w:val="-1"/>
        </w:rPr>
        <w:t xml:space="preserve"> </w:t>
      </w:r>
      <w:r>
        <w:rPr>
          <w:i/>
          <w:color w:val="006FC0"/>
        </w:rPr>
        <w:t>less</w:t>
      </w:r>
      <w:r>
        <w:rPr>
          <w:i/>
          <w:color w:val="006FC0"/>
          <w:spacing w:val="-1"/>
        </w:rPr>
        <w:t xml:space="preserve"> </w:t>
      </w:r>
      <w:r>
        <w:rPr>
          <w:i/>
          <w:color w:val="006FC0"/>
        </w:rPr>
        <w:t>than</w:t>
      </w:r>
      <w:r>
        <w:rPr>
          <w:i/>
          <w:color w:val="006FC0"/>
          <w:spacing w:val="-2"/>
        </w:rPr>
        <w:t xml:space="preserve"> </w:t>
      </w:r>
      <w:r>
        <w:rPr>
          <w:i/>
          <w:color w:val="006FC0"/>
        </w:rPr>
        <w:t>that from the</w:t>
      </w:r>
      <w:r>
        <w:rPr>
          <w:i/>
          <w:color w:val="006FC0"/>
          <w:spacing w:val="-3"/>
        </w:rPr>
        <w:t xml:space="preserve"> </w:t>
      </w:r>
      <w:r>
        <w:rPr>
          <w:i/>
          <w:color w:val="006FC0"/>
        </w:rPr>
        <w:t>state</w:t>
      </w:r>
      <w:r>
        <w:rPr>
          <w:i/>
          <w:color w:val="006FC0"/>
          <w:spacing w:val="-2"/>
        </w:rPr>
        <w:t xml:space="preserve"> </w:t>
      </w:r>
      <w:r>
        <w:rPr>
          <w:i/>
          <w:color w:val="006FC0"/>
        </w:rPr>
        <w:t>sub</w:t>
      </w:r>
      <w:r>
        <w:rPr>
          <w:i/>
          <w:color w:val="006FC0"/>
          <w:spacing w:val="-2"/>
        </w:rPr>
        <w:t xml:space="preserve"> </w:t>
      </w:r>
      <w:r>
        <w:rPr>
          <w:i/>
          <w:color w:val="006FC0"/>
        </w:rPr>
        <w:t>awards.</w:t>
      </w:r>
    </w:p>
    <w:p w14:paraId="3CACFC81" w14:textId="77777777" w:rsidR="007249FA" w:rsidRDefault="007249FA" w:rsidP="007249FA">
      <w:pPr>
        <w:pStyle w:val="ListParagraph"/>
        <w:widowControl w:val="0"/>
        <w:numPr>
          <w:ilvl w:val="0"/>
          <w:numId w:val="4"/>
        </w:numPr>
        <w:tabs>
          <w:tab w:val="left" w:pos="821"/>
        </w:tabs>
        <w:autoSpaceDE w:val="0"/>
        <w:autoSpaceDN w:val="0"/>
        <w:spacing w:after="0" w:line="259" w:lineRule="auto"/>
        <w:ind w:right="249"/>
        <w:contextualSpacing w:val="0"/>
        <w:rPr>
          <w:i/>
        </w:rPr>
      </w:pPr>
      <w:r>
        <w:rPr>
          <w:i/>
        </w:rPr>
        <w:t>Many of the funding example activities are not something that will actually generate some type</w:t>
      </w:r>
      <w:r>
        <w:rPr>
          <w:i/>
          <w:spacing w:val="-47"/>
        </w:rPr>
        <w:t xml:space="preserve"> </w:t>
      </w:r>
      <w:r>
        <w:rPr>
          <w:i/>
        </w:rPr>
        <w:t>of invoice and payment – how will they be required to report the cost?</w:t>
      </w:r>
      <w:r>
        <w:rPr>
          <w:i/>
          <w:spacing w:val="1"/>
        </w:rPr>
        <w:t xml:space="preserve"> </w:t>
      </w:r>
      <w:r>
        <w:rPr>
          <w:i/>
          <w:color w:val="006FC0"/>
        </w:rPr>
        <w:t>The examples are</w:t>
      </w:r>
      <w:r>
        <w:rPr>
          <w:i/>
          <w:color w:val="006FC0"/>
          <w:spacing w:val="1"/>
        </w:rPr>
        <w:t xml:space="preserve"> </w:t>
      </w:r>
      <w:r>
        <w:rPr>
          <w:i/>
          <w:color w:val="006FC0"/>
        </w:rPr>
        <w:t>illustrative of measures to consider.</w:t>
      </w:r>
      <w:r>
        <w:rPr>
          <w:i/>
          <w:color w:val="006FC0"/>
          <w:spacing w:val="1"/>
        </w:rPr>
        <w:t xml:space="preserve"> </w:t>
      </w:r>
      <w:r>
        <w:rPr>
          <w:i/>
          <w:color w:val="006FC0"/>
        </w:rPr>
        <w:t>Using the Examples as a framework, hospitals can design</w:t>
      </w:r>
      <w:r>
        <w:rPr>
          <w:i/>
          <w:color w:val="006FC0"/>
          <w:spacing w:val="1"/>
        </w:rPr>
        <w:t xml:space="preserve"> </w:t>
      </w:r>
      <w:r>
        <w:rPr>
          <w:i/>
          <w:color w:val="006FC0"/>
        </w:rPr>
        <w:t>program activities that best meet the needs of the communities they serve.</w:t>
      </w:r>
      <w:r>
        <w:rPr>
          <w:i/>
          <w:color w:val="006FC0"/>
          <w:spacing w:val="1"/>
        </w:rPr>
        <w:t xml:space="preserve"> </w:t>
      </w:r>
      <w:r>
        <w:rPr>
          <w:i/>
          <w:color w:val="006FC0"/>
        </w:rPr>
        <w:t>Re: reporting of</w:t>
      </w:r>
      <w:r>
        <w:rPr>
          <w:i/>
          <w:color w:val="006FC0"/>
          <w:spacing w:val="1"/>
        </w:rPr>
        <w:t xml:space="preserve"> </w:t>
      </w:r>
      <w:r>
        <w:rPr>
          <w:i/>
          <w:color w:val="006FC0"/>
        </w:rPr>
        <w:t>costs, all allowable expenditures must have appropriate supporting documentation, but could</w:t>
      </w:r>
      <w:r>
        <w:rPr>
          <w:i/>
          <w:color w:val="006FC0"/>
          <w:spacing w:val="1"/>
        </w:rPr>
        <w:t xml:space="preserve"> </w:t>
      </w:r>
      <w:r>
        <w:rPr>
          <w:i/>
          <w:color w:val="006FC0"/>
        </w:rPr>
        <w:t>just</w:t>
      </w:r>
      <w:r>
        <w:rPr>
          <w:i/>
          <w:color w:val="006FC0"/>
          <w:spacing w:val="-1"/>
        </w:rPr>
        <w:t xml:space="preserve"> </w:t>
      </w:r>
      <w:r>
        <w:rPr>
          <w:i/>
          <w:color w:val="006FC0"/>
        </w:rPr>
        <w:t>be a</w:t>
      </w:r>
      <w:r>
        <w:rPr>
          <w:i/>
          <w:color w:val="006FC0"/>
          <w:spacing w:val="-3"/>
        </w:rPr>
        <w:t xml:space="preserve"> </w:t>
      </w:r>
      <w:r>
        <w:rPr>
          <w:i/>
          <w:color w:val="006FC0"/>
        </w:rPr>
        <w:t>summary</w:t>
      </w:r>
      <w:r>
        <w:rPr>
          <w:i/>
          <w:color w:val="006FC0"/>
          <w:spacing w:val="-1"/>
        </w:rPr>
        <w:t xml:space="preserve"> </w:t>
      </w:r>
      <w:r>
        <w:rPr>
          <w:i/>
          <w:color w:val="006FC0"/>
        </w:rPr>
        <w:t>of</w:t>
      </w:r>
      <w:r>
        <w:rPr>
          <w:i/>
          <w:color w:val="006FC0"/>
          <w:spacing w:val="-3"/>
        </w:rPr>
        <w:t xml:space="preserve"> </w:t>
      </w:r>
      <w:r>
        <w:rPr>
          <w:i/>
          <w:color w:val="006FC0"/>
        </w:rPr>
        <w:t>the activity and</w:t>
      </w:r>
      <w:r>
        <w:rPr>
          <w:i/>
          <w:color w:val="006FC0"/>
          <w:spacing w:val="-2"/>
        </w:rPr>
        <w:t xml:space="preserve"> </w:t>
      </w:r>
      <w:r>
        <w:rPr>
          <w:i/>
          <w:color w:val="006FC0"/>
        </w:rPr>
        <w:t>associated costs</w:t>
      </w:r>
      <w:r>
        <w:rPr>
          <w:i/>
          <w:color w:val="006FC0"/>
          <w:spacing w:val="-2"/>
        </w:rPr>
        <w:t xml:space="preserve"> </w:t>
      </w:r>
      <w:r>
        <w:rPr>
          <w:i/>
          <w:color w:val="006FC0"/>
        </w:rPr>
        <w:t>if</w:t>
      </w:r>
      <w:r>
        <w:rPr>
          <w:i/>
          <w:color w:val="006FC0"/>
          <w:spacing w:val="-1"/>
        </w:rPr>
        <w:t xml:space="preserve"> </w:t>
      </w:r>
      <w:r>
        <w:rPr>
          <w:i/>
          <w:color w:val="006FC0"/>
        </w:rPr>
        <w:t>there is</w:t>
      </w:r>
      <w:r>
        <w:rPr>
          <w:i/>
          <w:color w:val="006FC0"/>
          <w:spacing w:val="-2"/>
        </w:rPr>
        <w:t xml:space="preserve"> </w:t>
      </w:r>
      <w:r>
        <w:rPr>
          <w:i/>
          <w:color w:val="006FC0"/>
        </w:rPr>
        <w:t>not an</w:t>
      </w:r>
      <w:r>
        <w:rPr>
          <w:i/>
          <w:color w:val="006FC0"/>
          <w:spacing w:val="-2"/>
        </w:rPr>
        <w:t xml:space="preserve"> </w:t>
      </w:r>
      <w:r>
        <w:rPr>
          <w:i/>
          <w:color w:val="006FC0"/>
        </w:rPr>
        <w:t>invoice.</w:t>
      </w:r>
    </w:p>
    <w:p w14:paraId="535FB42F" w14:textId="77777777" w:rsidR="007249FA" w:rsidRDefault="007249FA" w:rsidP="007249FA">
      <w:pPr>
        <w:pStyle w:val="ListParagraph"/>
        <w:widowControl w:val="0"/>
        <w:numPr>
          <w:ilvl w:val="0"/>
          <w:numId w:val="4"/>
        </w:numPr>
        <w:tabs>
          <w:tab w:val="left" w:pos="821"/>
        </w:tabs>
        <w:autoSpaceDE w:val="0"/>
        <w:autoSpaceDN w:val="0"/>
        <w:spacing w:after="0" w:line="240" w:lineRule="auto"/>
        <w:ind w:right="260"/>
        <w:contextualSpacing w:val="0"/>
        <w:rPr>
          <w:i/>
        </w:rPr>
      </w:pPr>
      <w:r>
        <w:t>Are Indian Health Services hospitals eligible for the ARP funding? I know they were not for the</w:t>
      </w:r>
      <w:r>
        <w:rPr>
          <w:spacing w:val="1"/>
        </w:rPr>
        <w:t xml:space="preserve"> </w:t>
      </w:r>
      <w:r>
        <w:t>COVID funds.</w:t>
      </w:r>
      <w:r>
        <w:rPr>
          <w:spacing w:val="1"/>
        </w:rPr>
        <w:t xml:space="preserve"> </w:t>
      </w:r>
      <w:r>
        <w:rPr>
          <w:i/>
          <w:color w:val="006FC0"/>
        </w:rPr>
        <w:t>IHS hospitals are not eligible for this funding (this funding uses the same SHIP</w:t>
      </w:r>
      <w:r>
        <w:rPr>
          <w:i/>
          <w:color w:val="006FC0"/>
          <w:spacing w:val="1"/>
        </w:rPr>
        <w:t xml:space="preserve"> </w:t>
      </w:r>
      <w:r>
        <w:rPr>
          <w:i/>
          <w:color w:val="006FC0"/>
        </w:rPr>
        <w:t>hospital eligibility). However, tribal hospitals, as non-federal entities, are eligible for funding (as</w:t>
      </w:r>
      <w:r>
        <w:rPr>
          <w:i/>
          <w:color w:val="006FC0"/>
          <w:spacing w:val="-47"/>
        </w:rPr>
        <w:t xml:space="preserve"> </w:t>
      </w:r>
      <w:r>
        <w:rPr>
          <w:i/>
          <w:color w:val="006FC0"/>
        </w:rPr>
        <w:t>with</w:t>
      </w:r>
      <w:r>
        <w:rPr>
          <w:i/>
          <w:color w:val="006FC0"/>
          <w:spacing w:val="-1"/>
        </w:rPr>
        <w:t xml:space="preserve"> </w:t>
      </w:r>
      <w:r>
        <w:rPr>
          <w:i/>
          <w:color w:val="006FC0"/>
        </w:rPr>
        <w:t>SHIP).</w:t>
      </w:r>
    </w:p>
    <w:p w14:paraId="19904851" w14:textId="77777777" w:rsidR="007249FA" w:rsidRPr="007249FA" w:rsidRDefault="007249FA" w:rsidP="007249FA">
      <w:pPr>
        <w:pStyle w:val="ListParagraph"/>
        <w:widowControl w:val="0"/>
        <w:numPr>
          <w:ilvl w:val="0"/>
          <w:numId w:val="4"/>
        </w:numPr>
        <w:tabs>
          <w:tab w:val="left" w:pos="821"/>
        </w:tabs>
        <w:autoSpaceDE w:val="0"/>
        <w:autoSpaceDN w:val="0"/>
        <w:spacing w:after="0" w:line="240" w:lineRule="auto"/>
        <w:ind w:right="260"/>
        <w:contextualSpacing w:val="0"/>
      </w:pPr>
      <w:r>
        <w:t>If</w:t>
      </w:r>
      <w:r>
        <w:rPr>
          <w:spacing w:val="-2"/>
        </w:rPr>
        <w:t xml:space="preserve"> </w:t>
      </w:r>
      <w:r>
        <w:t>a</w:t>
      </w:r>
      <w:r>
        <w:rPr>
          <w:spacing w:val="-1"/>
        </w:rPr>
        <w:t xml:space="preserve"> </w:t>
      </w:r>
      <w:r>
        <w:t>hospital</w:t>
      </w:r>
      <w:r>
        <w:rPr>
          <w:spacing w:val="-4"/>
        </w:rPr>
        <w:t xml:space="preserve"> </w:t>
      </w:r>
      <w:r>
        <w:t>that</w:t>
      </w:r>
      <w:r>
        <w:rPr>
          <w:spacing w:val="-1"/>
        </w:rPr>
        <w:t xml:space="preserve"> </w:t>
      </w:r>
      <w:r>
        <w:t>does</w:t>
      </w:r>
      <w:r>
        <w:rPr>
          <w:spacing w:val="-3"/>
        </w:rPr>
        <w:t xml:space="preserve"> </w:t>
      </w:r>
      <w:r>
        <w:t>not</w:t>
      </w:r>
      <w:r>
        <w:rPr>
          <w:spacing w:val="-3"/>
        </w:rPr>
        <w:t xml:space="preserve"> </w:t>
      </w:r>
      <w:r>
        <w:t>currently</w:t>
      </w:r>
      <w:r>
        <w:rPr>
          <w:spacing w:val="-2"/>
        </w:rPr>
        <w:t xml:space="preserve"> </w:t>
      </w:r>
      <w:r>
        <w:t>participate</w:t>
      </w:r>
      <w:r>
        <w:rPr>
          <w:spacing w:val="-1"/>
        </w:rPr>
        <w:t xml:space="preserve"> </w:t>
      </w:r>
      <w:r>
        <w:t>in</w:t>
      </w:r>
      <w:r>
        <w:rPr>
          <w:spacing w:val="-4"/>
        </w:rPr>
        <w:t xml:space="preserve"> </w:t>
      </w:r>
      <w:r>
        <w:t>SHIP</w:t>
      </w:r>
      <w:r>
        <w:rPr>
          <w:spacing w:val="-3"/>
        </w:rPr>
        <w:t xml:space="preserve"> </w:t>
      </w:r>
      <w:r>
        <w:t>or</w:t>
      </w:r>
      <w:r>
        <w:rPr>
          <w:spacing w:val="-1"/>
        </w:rPr>
        <w:t xml:space="preserve"> </w:t>
      </w:r>
      <w:r>
        <w:t>SHIP</w:t>
      </w:r>
      <w:r>
        <w:rPr>
          <w:spacing w:val="-1"/>
        </w:rPr>
        <w:t xml:space="preserve"> </w:t>
      </w:r>
      <w:r>
        <w:t>COVID (CARES</w:t>
      </w:r>
      <w:r>
        <w:rPr>
          <w:spacing w:val="-1"/>
        </w:rPr>
        <w:t xml:space="preserve"> </w:t>
      </w:r>
      <w:r>
        <w:t>Round</w:t>
      </w:r>
      <w:r>
        <w:rPr>
          <w:spacing w:val="-2"/>
        </w:rPr>
        <w:t xml:space="preserve"> </w:t>
      </w:r>
      <w:r>
        <w:t>1),</w:t>
      </w:r>
      <w:r>
        <w:rPr>
          <w:spacing w:val="-3"/>
        </w:rPr>
        <w:t xml:space="preserve"> </w:t>
      </w:r>
      <w:r>
        <w:lastRenderedPageBreak/>
        <w:t>wants</w:t>
      </w:r>
      <w:r>
        <w:rPr>
          <w:spacing w:val="-1"/>
        </w:rPr>
        <w:t xml:space="preserve"> </w:t>
      </w:r>
      <w:r>
        <w:t>to</w:t>
      </w:r>
      <w:r>
        <w:rPr>
          <w:spacing w:val="-47"/>
        </w:rPr>
        <w:t xml:space="preserve"> </w:t>
      </w:r>
      <w:r>
        <w:t>participate in SHIP COVID (Round 2), are they eligible to participate (1) if they are rural and (2)</w:t>
      </w:r>
      <w:r>
        <w:rPr>
          <w:spacing w:val="1"/>
        </w:rPr>
        <w:t xml:space="preserve"> </w:t>
      </w:r>
      <w:r>
        <w:t>have</w:t>
      </w:r>
      <w:r>
        <w:rPr>
          <w:spacing w:val="-3"/>
        </w:rPr>
        <w:t xml:space="preserve"> </w:t>
      </w:r>
      <w:r>
        <w:t>49</w:t>
      </w:r>
      <w:r>
        <w:rPr>
          <w:spacing w:val="-2"/>
        </w:rPr>
        <w:t xml:space="preserve"> </w:t>
      </w:r>
      <w:r>
        <w:t>beds</w:t>
      </w:r>
      <w:r>
        <w:rPr>
          <w:spacing w:val="-4"/>
        </w:rPr>
        <w:t xml:space="preserve"> </w:t>
      </w:r>
      <w:r>
        <w:t>or less</w:t>
      </w:r>
      <w:r>
        <w:rPr>
          <w:spacing w:val="-2"/>
        </w:rPr>
        <w:t xml:space="preserve"> </w:t>
      </w:r>
      <w:r>
        <w:rPr>
          <w:u w:val="single"/>
        </w:rPr>
        <w:t xml:space="preserve">or </w:t>
      </w:r>
      <w:r>
        <w:t>provide a letter</w:t>
      </w:r>
      <w:r>
        <w:rPr>
          <w:spacing w:val="-1"/>
        </w:rPr>
        <w:t xml:space="preserve"> </w:t>
      </w:r>
      <w:r>
        <w:t>that they</w:t>
      </w:r>
      <w:r>
        <w:rPr>
          <w:spacing w:val="-1"/>
        </w:rPr>
        <w:t xml:space="preserve"> </w:t>
      </w:r>
      <w:r>
        <w:t>staff</w:t>
      </w:r>
      <w:r>
        <w:rPr>
          <w:spacing w:val="-2"/>
        </w:rPr>
        <w:t xml:space="preserve"> </w:t>
      </w:r>
      <w:r>
        <w:t>for</w:t>
      </w:r>
      <w:r>
        <w:rPr>
          <w:spacing w:val="-3"/>
        </w:rPr>
        <w:t xml:space="preserve"> </w:t>
      </w:r>
      <w:r>
        <w:t>49 beds or</w:t>
      </w:r>
      <w:r>
        <w:rPr>
          <w:spacing w:val="-1"/>
        </w:rPr>
        <w:t xml:space="preserve"> </w:t>
      </w:r>
      <w:r>
        <w:t>less</w:t>
      </w:r>
      <w:r>
        <w:rPr>
          <w:spacing w:val="-2"/>
        </w:rPr>
        <w:t xml:space="preserve"> </w:t>
      </w:r>
      <w:r>
        <w:t>if</w:t>
      </w:r>
      <w:r>
        <w:rPr>
          <w:spacing w:val="-1"/>
        </w:rPr>
        <w:t xml:space="preserve"> </w:t>
      </w:r>
      <w:r>
        <w:t>the</w:t>
      </w:r>
      <w:r>
        <w:rPr>
          <w:spacing w:val="-2"/>
        </w:rPr>
        <w:t xml:space="preserve"> </w:t>
      </w:r>
      <w:r>
        <w:t>hospital's</w:t>
      </w:r>
      <w:r>
        <w:rPr>
          <w:spacing w:val="-1"/>
        </w:rPr>
        <w:t xml:space="preserve"> </w:t>
      </w:r>
      <w:r>
        <w:t>cost report lists more beds?</w:t>
      </w:r>
      <w:r w:rsidRPr="007249FA">
        <w:rPr>
          <w:spacing w:val="1"/>
        </w:rPr>
        <w:t xml:space="preserve"> </w:t>
      </w:r>
      <w:r w:rsidRPr="007249FA">
        <w:rPr>
          <w:i/>
          <w:color w:val="006FC0"/>
        </w:rPr>
        <w:t>Yes, any hospital that meets the eligibility criteria for SHIP is eligible to</w:t>
      </w:r>
      <w:r w:rsidRPr="007249FA">
        <w:rPr>
          <w:i/>
          <w:color w:val="006FC0"/>
          <w:spacing w:val="-47"/>
        </w:rPr>
        <w:t xml:space="preserve"> </w:t>
      </w:r>
      <w:r w:rsidRPr="007249FA">
        <w:rPr>
          <w:i/>
          <w:color w:val="006FC0"/>
        </w:rPr>
        <w:t>receive these ARP funds.</w:t>
      </w:r>
      <w:r w:rsidRPr="007249FA">
        <w:rPr>
          <w:i/>
          <w:color w:val="006FC0"/>
          <w:spacing w:val="1"/>
        </w:rPr>
        <w:t xml:space="preserve"> </w:t>
      </w:r>
      <w:r w:rsidRPr="007249FA">
        <w:rPr>
          <w:i/>
          <w:color w:val="006FC0"/>
        </w:rPr>
        <w:t>The hospital does not have to currently participate in SHIP or COVID-</w:t>
      </w:r>
      <w:r w:rsidRPr="007249FA">
        <w:rPr>
          <w:i/>
          <w:color w:val="006FC0"/>
          <w:spacing w:val="1"/>
        </w:rPr>
        <w:t xml:space="preserve"> </w:t>
      </w:r>
      <w:r w:rsidRPr="007249FA">
        <w:rPr>
          <w:i/>
          <w:color w:val="006FC0"/>
        </w:rPr>
        <w:t>SHIP.</w:t>
      </w:r>
    </w:p>
    <w:p w14:paraId="4F330BB7" w14:textId="77777777" w:rsidR="007249FA" w:rsidRDefault="007249FA" w:rsidP="007249FA">
      <w:pPr>
        <w:pStyle w:val="ListParagraph"/>
        <w:widowControl w:val="0"/>
        <w:numPr>
          <w:ilvl w:val="0"/>
          <w:numId w:val="4"/>
        </w:numPr>
        <w:tabs>
          <w:tab w:val="left" w:pos="821"/>
        </w:tabs>
        <w:autoSpaceDE w:val="0"/>
        <w:autoSpaceDN w:val="0"/>
        <w:spacing w:after="0" w:line="240" w:lineRule="auto"/>
        <w:ind w:right="158"/>
        <w:contextualSpacing w:val="0"/>
        <w:rPr>
          <w:i/>
        </w:rPr>
      </w:pPr>
      <w:r>
        <w:t>If a hospital is part of a group, does education have to be specifically branded with the awarded</w:t>
      </w:r>
      <w:r>
        <w:rPr>
          <w:spacing w:val="-47"/>
        </w:rPr>
        <w:t xml:space="preserve"> </w:t>
      </w:r>
      <w:r>
        <w:t>hospital information, or can it only like the group?</w:t>
      </w:r>
      <w:r>
        <w:rPr>
          <w:spacing w:val="1"/>
        </w:rPr>
        <w:t xml:space="preserve"> </w:t>
      </w:r>
      <w:r>
        <w:rPr>
          <w:i/>
          <w:color w:val="006FC0"/>
        </w:rPr>
        <w:t>Education can be branded in whatever way</w:t>
      </w:r>
      <w:r>
        <w:rPr>
          <w:i/>
          <w:color w:val="006FC0"/>
          <w:spacing w:val="1"/>
        </w:rPr>
        <w:t xml:space="preserve"> </w:t>
      </w:r>
      <w:r>
        <w:rPr>
          <w:i/>
          <w:color w:val="006FC0"/>
        </w:rPr>
        <w:t>makes</w:t>
      </w:r>
      <w:r>
        <w:rPr>
          <w:i/>
          <w:color w:val="006FC0"/>
          <w:spacing w:val="-3"/>
        </w:rPr>
        <w:t xml:space="preserve"> </w:t>
      </w:r>
      <w:r>
        <w:rPr>
          <w:i/>
          <w:color w:val="006FC0"/>
        </w:rPr>
        <w:t>sense</w:t>
      </w:r>
      <w:r>
        <w:rPr>
          <w:i/>
          <w:color w:val="006FC0"/>
          <w:spacing w:val="-2"/>
        </w:rPr>
        <w:t xml:space="preserve"> </w:t>
      </w:r>
      <w:r>
        <w:rPr>
          <w:i/>
          <w:color w:val="006FC0"/>
        </w:rPr>
        <w:t>for</w:t>
      </w:r>
      <w:r>
        <w:rPr>
          <w:i/>
          <w:color w:val="006FC0"/>
          <w:spacing w:val="-2"/>
        </w:rPr>
        <w:t xml:space="preserve"> </w:t>
      </w:r>
      <w:r>
        <w:rPr>
          <w:i/>
          <w:color w:val="006FC0"/>
        </w:rPr>
        <w:t>the hospital and</w:t>
      </w:r>
      <w:r>
        <w:rPr>
          <w:i/>
          <w:color w:val="006FC0"/>
          <w:spacing w:val="-2"/>
        </w:rPr>
        <w:t xml:space="preserve"> </w:t>
      </w:r>
      <w:r>
        <w:rPr>
          <w:i/>
          <w:color w:val="006FC0"/>
        </w:rPr>
        <w:t>system</w:t>
      </w:r>
      <w:r>
        <w:rPr>
          <w:i/>
          <w:color w:val="006FC0"/>
          <w:spacing w:val="1"/>
        </w:rPr>
        <w:t xml:space="preserve"> </w:t>
      </w:r>
      <w:r>
        <w:rPr>
          <w:i/>
          <w:color w:val="006FC0"/>
        </w:rPr>
        <w:t>and</w:t>
      </w:r>
      <w:r>
        <w:rPr>
          <w:i/>
          <w:color w:val="006FC0"/>
          <w:spacing w:val="-1"/>
        </w:rPr>
        <w:t xml:space="preserve"> </w:t>
      </w:r>
      <w:r>
        <w:rPr>
          <w:i/>
          <w:color w:val="006FC0"/>
        </w:rPr>
        <w:t>for</w:t>
      </w:r>
      <w:r>
        <w:rPr>
          <w:i/>
          <w:color w:val="006FC0"/>
          <w:spacing w:val="-2"/>
        </w:rPr>
        <w:t xml:space="preserve"> </w:t>
      </w:r>
      <w:r>
        <w:rPr>
          <w:i/>
          <w:color w:val="006FC0"/>
        </w:rPr>
        <w:t>community impact.</w:t>
      </w:r>
    </w:p>
    <w:p w14:paraId="74553F79" w14:textId="77777777" w:rsidR="007249FA" w:rsidRPr="007249FA" w:rsidRDefault="007249FA" w:rsidP="007249FA">
      <w:pPr>
        <w:numPr>
          <w:ilvl w:val="0"/>
          <w:numId w:val="4"/>
        </w:numPr>
        <w:spacing w:after="0" w:line="240" w:lineRule="auto"/>
        <w:rPr>
          <w:rFonts w:ascii="Calibri" w:hAnsi="Calibri" w:cs="Calibri"/>
          <w:i/>
          <w:color w:val="006FC0"/>
        </w:rPr>
      </w:pPr>
      <w:r w:rsidRPr="00327DBD">
        <w:rPr>
          <w:rFonts w:eastAsia="Times New Roman"/>
        </w:rPr>
        <w:t xml:space="preserve">Can projects occur within a facility’s “network”- for example, to benefit COVID  testing and mitigation efforts at a hospital’s PB RHC, or overflow/add on treatment sites? </w:t>
      </w:r>
      <w:r w:rsidRPr="007249FA">
        <w:rPr>
          <w:rFonts w:ascii="Calibri" w:hAnsi="Calibri" w:cs="Calibri"/>
          <w:i/>
          <w:color w:val="006FC0"/>
        </w:rPr>
        <w:t>Hospitals are allowed to support testing and mitigation activities at other sites. However, there are grants for testing and mitigation going to RHCs, so you may want to better understand the need for the support if the PB RHCs are also getting that funding. Feel free to call if you need further clarification.</w:t>
      </w:r>
    </w:p>
    <w:p w14:paraId="0570F68D" w14:textId="77777777" w:rsidR="007249FA" w:rsidRDefault="007249FA" w:rsidP="007249FA">
      <w:pPr>
        <w:pStyle w:val="BodyText"/>
        <w:spacing w:before="11"/>
        <w:ind w:left="0" w:firstLine="0"/>
        <w:rPr>
          <w:i/>
        </w:rPr>
      </w:pPr>
    </w:p>
    <w:p w14:paraId="59AF40C9" w14:textId="77777777" w:rsidR="007249FA" w:rsidRDefault="007249FA" w:rsidP="007249FA">
      <w:pPr>
        <w:pStyle w:val="Heading1"/>
        <w:rPr>
          <w:u w:val="none"/>
        </w:rPr>
      </w:pPr>
      <w:r>
        <w:t>Reporting:</w:t>
      </w:r>
    </w:p>
    <w:p w14:paraId="33553663" w14:textId="77777777" w:rsidR="007249FA" w:rsidRDefault="007249FA" w:rsidP="007249FA">
      <w:pPr>
        <w:pStyle w:val="BodyText"/>
        <w:spacing w:before="57"/>
        <w:ind w:left="460" w:right="183" w:firstLine="0"/>
      </w:pPr>
      <w:r>
        <w:t>NOTE: We appreciated getting the comments on the hospital level reporting plan on the June 4 pre</w:t>
      </w:r>
      <w:r>
        <w:rPr>
          <w:spacing w:val="1"/>
        </w:rPr>
        <w:t xml:space="preserve"> </w:t>
      </w:r>
      <w:r>
        <w:t>award call. The overwhelming response was that it is important for hospital accountability to states</w:t>
      </w:r>
      <w:r>
        <w:rPr>
          <w:spacing w:val="1"/>
        </w:rPr>
        <w:t xml:space="preserve"> </w:t>
      </w:r>
      <w:r>
        <w:t>and for state grant program integrity that hospitals not report directly to a portal but that states</w:t>
      </w:r>
      <w:r>
        <w:rPr>
          <w:spacing w:val="1"/>
        </w:rPr>
        <w:t xml:space="preserve"> </w:t>
      </w:r>
      <w:r>
        <w:t>consolidate the information from their hospitals and enter it themselves. For timing, the preference</w:t>
      </w:r>
      <w:r>
        <w:rPr>
          <w:spacing w:val="-47"/>
        </w:rPr>
        <w:t xml:space="preserve"> </w:t>
      </w:r>
      <w:r>
        <w:t>is no more than quarterly.</w:t>
      </w:r>
      <w:r>
        <w:rPr>
          <w:spacing w:val="1"/>
        </w:rPr>
        <w:t xml:space="preserve"> </w:t>
      </w:r>
      <w:r>
        <w:t>If you have other questions, ideas, concerns on reporting – please email</w:t>
      </w:r>
      <w:r>
        <w:rPr>
          <w:spacing w:val="1"/>
        </w:rPr>
        <w:t xml:space="preserve"> </w:t>
      </w:r>
      <w:hyperlink r:id="rId13">
        <w:r>
          <w:rPr>
            <w:u w:val="single"/>
          </w:rPr>
          <w:t>SHIPTesting@hrsa.gov</w:t>
        </w:r>
      </w:hyperlink>
      <w:r>
        <w:rPr>
          <w:spacing w:val="49"/>
        </w:rPr>
        <w:t xml:space="preserve"> </w:t>
      </w:r>
      <w:r>
        <w:t>with</w:t>
      </w:r>
      <w:r>
        <w:rPr>
          <w:spacing w:val="-1"/>
        </w:rPr>
        <w:t xml:space="preserve"> </w:t>
      </w:r>
      <w:r>
        <w:t>your</w:t>
      </w:r>
      <w:r>
        <w:rPr>
          <w:spacing w:val="-3"/>
        </w:rPr>
        <w:t xml:space="preserve"> </w:t>
      </w:r>
      <w:r>
        <w:t>thoughts</w:t>
      </w:r>
      <w:r>
        <w:rPr>
          <w:spacing w:val="-2"/>
        </w:rPr>
        <w:t xml:space="preserve"> </w:t>
      </w:r>
      <w:r>
        <w:t>and in</w:t>
      </w:r>
      <w:r>
        <w:rPr>
          <w:spacing w:val="-1"/>
        </w:rPr>
        <w:t xml:space="preserve"> </w:t>
      </w:r>
      <w:r>
        <w:t>the</w:t>
      </w:r>
      <w:r>
        <w:rPr>
          <w:spacing w:val="-3"/>
        </w:rPr>
        <w:t xml:space="preserve"> </w:t>
      </w:r>
      <w:r>
        <w:t>subject</w:t>
      </w:r>
      <w:r>
        <w:rPr>
          <w:spacing w:val="-2"/>
        </w:rPr>
        <w:t xml:space="preserve"> </w:t>
      </w:r>
      <w:r>
        <w:t>of the</w:t>
      </w:r>
      <w:r>
        <w:rPr>
          <w:spacing w:val="1"/>
        </w:rPr>
        <w:t xml:space="preserve"> </w:t>
      </w:r>
      <w:r>
        <w:t>email</w:t>
      </w:r>
      <w:r>
        <w:rPr>
          <w:spacing w:val="-4"/>
        </w:rPr>
        <w:t xml:space="preserve"> </w:t>
      </w:r>
      <w:r>
        <w:t>“reporting.”</w:t>
      </w:r>
    </w:p>
    <w:p w14:paraId="671445DC" w14:textId="77777777" w:rsidR="007249FA" w:rsidRDefault="007249FA" w:rsidP="007249FA">
      <w:pPr>
        <w:pStyle w:val="BodyText"/>
        <w:spacing w:before="4"/>
        <w:ind w:left="0" w:firstLine="0"/>
        <w:rPr>
          <w:sz w:val="17"/>
        </w:rPr>
      </w:pPr>
    </w:p>
    <w:p w14:paraId="0FC8F738" w14:textId="77777777" w:rsidR="007249FA" w:rsidRDefault="007249FA" w:rsidP="007249FA">
      <w:pPr>
        <w:pStyle w:val="ListParagraph"/>
        <w:widowControl w:val="0"/>
        <w:numPr>
          <w:ilvl w:val="0"/>
          <w:numId w:val="4"/>
        </w:numPr>
        <w:tabs>
          <w:tab w:val="left" w:pos="821"/>
        </w:tabs>
        <w:autoSpaceDE w:val="0"/>
        <w:autoSpaceDN w:val="0"/>
        <w:spacing w:before="56" w:after="0" w:line="240" w:lineRule="auto"/>
        <w:ind w:right="621"/>
        <w:contextualSpacing w:val="0"/>
        <w:rPr>
          <w:i/>
        </w:rPr>
      </w:pPr>
      <w:r>
        <w:t>Is there a template for states to use for the equipment list and the minor A/R?</w:t>
      </w:r>
      <w:r>
        <w:rPr>
          <w:spacing w:val="1"/>
        </w:rPr>
        <w:t xml:space="preserve"> </w:t>
      </w:r>
      <w:r>
        <w:rPr>
          <w:i/>
          <w:color w:val="006FC0"/>
        </w:rPr>
        <w:t>Yes. For</w:t>
      </w:r>
      <w:r>
        <w:rPr>
          <w:i/>
          <w:color w:val="006FC0"/>
          <w:spacing w:val="1"/>
        </w:rPr>
        <w:t xml:space="preserve"> </w:t>
      </w:r>
      <w:r>
        <w:rPr>
          <w:i/>
          <w:color w:val="006FC0"/>
        </w:rPr>
        <w:t>equipment, within 90 days after the project end date, submit the SF-428 (Tangible Personal</w:t>
      </w:r>
      <w:r>
        <w:rPr>
          <w:i/>
          <w:color w:val="006FC0"/>
          <w:spacing w:val="-47"/>
        </w:rPr>
        <w:t xml:space="preserve"> </w:t>
      </w:r>
      <w:r>
        <w:rPr>
          <w:i/>
          <w:color w:val="006FC0"/>
        </w:rPr>
        <w:t>Property Report) with the SF-428B (Final Report Attachment) and, if applicable, the SF-428S</w:t>
      </w:r>
      <w:r>
        <w:rPr>
          <w:i/>
          <w:color w:val="006FC0"/>
          <w:spacing w:val="-47"/>
        </w:rPr>
        <w:t xml:space="preserve"> </w:t>
      </w:r>
      <w:r>
        <w:rPr>
          <w:i/>
          <w:color w:val="006FC0"/>
        </w:rPr>
        <w:t>(Supplemental Sheet). These documents must be completed using the HRSA Electronic</w:t>
      </w:r>
      <w:r>
        <w:rPr>
          <w:i/>
          <w:color w:val="006FC0"/>
          <w:spacing w:val="1"/>
        </w:rPr>
        <w:t xml:space="preserve"> </w:t>
      </w:r>
      <w:r>
        <w:rPr>
          <w:i/>
          <w:color w:val="006FC0"/>
        </w:rPr>
        <w:t>Handbooks</w:t>
      </w:r>
      <w:r>
        <w:rPr>
          <w:i/>
          <w:color w:val="006FC0"/>
          <w:spacing w:val="-1"/>
        </w:rPr>
        <w:t xml:space="preserve"> </w:t>
      </w:r>
      <w:r>
        <w:rPr>
          <w:i/>
          <w:color w:val="006FC0"/>
        </w:rPr>
        <w:t>(EHBs).</w:t>
      </w:r>
      <w:r>
        <w:rPr>
          <w:i/>
          <w:color w:val="006FC0"/>
          <w:spacing w:val="47"/>
        </w:rPr>
        <w:t xml:space="preserve"> </w:t>
      </w:r>
      <w:r>
        <w:rPr>
          <w:i/>
          <w:color w:val="006FC0"/>
        </w:rPr>
        <w:t>Additional</w:t>
      </w:r>
      <w:r>
        <w:rPr>
          <w:i/>
          <w:color w:val="006FC0"/>
          <w:spacing w:val="-1"/>
        </w:rPr>
        <w:t xml:space="preserve"> </w:t>
      </w:r>
      <w:r>
        <w:rPr>
          <w:i/>
          <w:color w:val="006FC0"/>
        </w:rPr>
        <w:t>detail</w:t>
      </w:r>
      <w:r>
        <w:rPr>
          <w:i/>
          <w:color w:val="006FC0"/>
          <w:spacing w:val="-1"/>
        </w:rPr>
        <w:t xml:space="preserve"> </w:t>
      </w:r>
      <w:r>
        <w:rPr>
          <w:i/>
          <w:color w:val="006FC0"/>
        </w:rPr>
        <w:t>to</w:t>
      </w:r>
      <w:r>
        <w:rPr>
          <w:i/>
          <w:color w:val="006FC0"/>
          <w:spacing w:val="-1"/>
        </w:rPr>
        <w:t xml:space="preserve"> </w:t>
      </w:r>
      <w:r>
        <w:rPr>
          <w:i/>
          <w:color w:val="006FC0"/>
        </w:rPr>
        <w:t>follow.</w:t>
      </w:r>
      <w:r>
        <w:rPr>
          <w:i/>
          <w:color w:val="006FC0"/>
          <w:spacing w:val="47"/>
        </w:rPr>
        <w:t xml:space="preserve"> </w:t>
      </w:r>
      <w:r>
        <w:rPr>
          <w:i/>
          <w:color w:val="006FC0"/>
        </w:rPr>
        <w:t>The</w:t>
      </w:r>
      <w:r>
        <w:rPr>
          <w:i/>
          <w:color w:val="006FC0"/>
          <w:spacing w:val="-1"/>
        </w:rPr>
        <w:t xml:space="preserve"> </w:t>
      </w:r>
      <w:r>
        <w:rPr>
          <w:i/>
          <w:color w:val="006FC0"/>
        </w:rPr>
        <w:t>A/R template</w:t>
      </w:r>
      <w:r>
        <w:rPr>
          <w:i/>
          <w:color w:val="006FC0"/>
          <w:spacing w:val="-1"/>
        </w:rPr>
        <w:t xml:space="preserve"> </w:t>
      </w:r>
      <w:r>
        <w:rPr>
          <w:i/>
          <w:color w:val="006FC0"/>
        </w:rPr>
        <w:t>will</w:t>
      </w:r>
      <w:r>
        <w:rPr>
          <w:i/>
          <w:color w:val="006FC0"/>
          <w:spacing w:val="-4"/>
        </w:rPr>
        <w:t xml:space="preserve"> </w:t>
      </w:r>
      <w:r>
        <w:rPr>
          <w:i/>
          <w:color w:val="006FC0"/>
        </w:rPr>
        <w:t>be provided.</w:t>
      </w:r>
    </w:p>
    <w:p w14:paraId="2BC0E135" w14:textId="77777777" w:rsidR="007249FA" w:rsidRDefault="007249FA" w:rsidP="007249FA">
      <w:pPr>
        <w:pStyle w:val="ListParagraph"/>
        <w:widowControl w:val="0"/>
        <w:numPr>
          <w:ilvl w:val="0"/>
          <w:numId w:val="4"/>
        </w:numPr>
        <w:tabs>
          <w:tab w:val="left" w:pos="821"/>
        </w:tabs>
        <w:autoSpaceDE w:val="0"/>
        <w:autoSpaceDN w:val="0"/>
        <w:spacing w:before="2" w:after="0" w:line="240" w:lineRule="auto"/>
        <w:ind w:hanging="361"/>
        <w:contextualSpacing w:val="0"/>
      </w:pPr>
      <w:r>
        <w:t>Will</w:t>
      </w:r>
      <w:r>
        <w:rPr>
          <w:spacing w:val="-2"/>
        </w:rPr>
        <w:t xml:space="preserve"> </w:t>
      </w:r>
      <w:r>
        <w:t>there be any</w:t>
      </w:r>
      <w:r>
        <w:rPr>
          <w:spacing w:val="-1"/>
        </w:rPr>
        <w:t xml:space="preserve"> </w:t>
      </w:r>
      <w:r>
        <w:t>training</w:t>
      </w:r>
      <w:r>
        <w:rPr>
          <w:spacing w:val="-4"/>
        </w:rPr>
        <w:t xml:space="preserve"> </w:t>
      </w:r>
      <w:r>
        <w:t>or</w:t>
      </w:r>
      <w:r>
        <w:rPr>
          <w:spacing w:val="-1"/>
        </w:rPr>
        <w:t xml:space="preserve"> </w:t>
      </w:r>
      <w:r>
        <w:t>instructions</w:t>
      </w:r>
      <w:r>
        <w:rPr>
          <w:spacing w:val="-1"/>
        </w:rPr>
        <w:t xml:space="preserve"> </w:t>
      </w:r>
      <w:r>
        <w:t>offered</w:t>
      </w:r>
      <w:r>
        <w:rPr>
          <w:spacing w:val="-4"/>
        </w:rPr>
        <w:t xml:space="preserve"> </w:t>
      </w:r>
      <w:r>
        <w:t>on</w:t>
      </w:r>
      <w:r>
        <w:rPr>
          <w:spacing w:val="-2"/>
        </w:rPr>
        <w:t xml:space="preserve"> </w:t>
      </w:r>
      <w:r>
        <w:t>how to use</w:t>
      </w:r>
      <w:r>
        <w:rPr>
          <w:spacing w:val="-4"/>
        </w:rPr>
        <w:t xml:space="preserve"> </w:t>
      </w:r>
      <w:r>
        <w:t>and</w:t>
      </w:r>
      <w:r>
        <w:rPr>
          <w:spacing w:val="-2"/>
        </w:rPr>
        <w:t xml:space="preserve"> </w:t>
      </w:r>
      <w:r>
        <w:t>the portal</w:t>
      </w:r>
      <w:r>
        <w:rPr>
          <w:spacing w:val="-4"/>
        </w:rPr>
        <w:t xml:space="preserve"> </w:t>
      </w:r>
      <w:r>
        <w:t>for</w:t>
      </w:r>
      <w:r>
        <w:rPr>
          <w:spacing w:val="-6"/>
        </w:rPr>
        <w:t xml:space="preserve"> </w:t>
      </w:r>
      <w:r>
        <w:t>reporting?</w:t>
      </w:r>
    </w:p>
    <w:p w14:paraId="218C7B22" w14:textId="77777777" w:rsidR="007249FA" w:rsidRDefault="007249FA" w:rsidP="007249FA">
      <w:pPr>
        <w:ind w:left="820"/>
        <w:rPr>
          <w:i/>
        </w:rPr>
      </w:pPr>
      <w:r>
        <w:rPr>
          <w:i/>
          <w:color w:val="006FC0"/>
        </w:rPr>
        <w:t>Yes.</w:t>
      </w:r>
    </w:p>
    <w:p w14:paraId="255C88C4" w14:textId="37416799" w:rsidR="007249FA" w:rsidRPr="007249FA" w:rsidRDefault="007249FA" w:rsidP="007249FA">
      <w:pPr>
        <w:pStyle w:val="ListParagraph"/>
        <w:widowControl w:val="0"/>
        <w:numPr>
          <w:ilvl w:val="0"/>
          <w:numId w:val="4"/>
        </w:numPr>
        <w:tabs>
          <w:tab w:val="left" w:pos="821"/>
        </w:tabs>
        <w:autoSpaceDE w:val="0"/>
        <w:autoSpaceDN w:val="0"/>
        <w:spacing w:after="0" w:line="240" w:lineRule="auto"/>
        <w:ind w:right="126"/>
        <w:contextualSpacing w:val="0"/>
        <w:rPr>
          <w:i/>
        </w:rPr>
      </w:pPr>
      <w:r>
        <w:t>To verify, the only reporting required by the hospitals, is on the HRSA developed portal, correct?</w:t>
      </w:r>
      <w:r>
        <w:rPr>
          <w:spacing w:val="-47"/>
        </w:rPr>
        <w:t xml:space="preserve"> </w:t>
      </w:r>
      <w:r>
        <w:rPr>
          <w:i/>
          <w:color w:val="006FC0"/>
        </w:rPr>
        <w:t>No.</w:t>
      </w:r>
      <w:r>
        <w:rPr>
          <w:i/>
          <w:color w:val="006FC0"/>
          <w:spacing w:val="1"/>
        </w:rPr>
        <w:t xml:space="preserve"> </w:t>
      </w:r>
      <w:r>
        <w:rPr>
          <w:i/>
          <w:color w:val="006FC0"/>
        </w:rPr>
        <w:t>Grantee reporting is required for equipment purchases and Alternation/Renovation (A/R), a</w:t>
      </w:r>
      <w:r w:rsidR="00510FED">
        <w:rPr>
          <w:i/>
          <w:color w:val="006FC0"/>
        </w:rPr>
        <w:t>s a</w:t>
      </w:r>
      <w:r>
        <w:rPr>
          <w:i/>
          <w:color w:val="006FC0"/>
        </w:rPr>
        <w:t xml:space="preserve">pplicable. </w:t>
      </w:r>
    </w:p>
    <w:p w14:paraId="69F790A1" w14:textId="3B732FA1" w:rsidR="007249FA" w:rsidRPr="007249FA" w:rsidRDefault="007249FA" w:rsidP="007249FA">
      <w:pPr>
        <w:pStyle w:val="xmsonormal"/>
        <w:numPr>
          <w:ilvl w:val="0"/>
          <w:numId w:val="4"/>
        </w:numPr>
      </w:pPr>
      <w:r>
        <w:t xml:space="preserve">Will hospitals need to report to the portal by filling out the files and uploading them or inputting the data directly? </w:t>
      </w:r>
      <w:r w:rsidRPr="007249FA">
        <w:rPr>
          <w:i/>
          <w:color w:val="006FC0"/>
        </w:rPr>
        <w:t>Hospitals will report by inputting data directly into the portal</w:t>
      </w:r>
      <w:r w:rsidR="00213CC2">
        <w:rPr>
          <w:i/>
          <w:color w:val="006FC0"/>
        </w:rPr>
        <w:t xml:space="preserve"> or states may choose to report on behalf of the hospitals. FORHP will schedule a webinar to demonstrate the data portal and states will be able to decide which reporting option works best for their state</w:t>
      </w:r>
      <w:r w:rsidRPr="007249FA">
        <w:rPr>
          <w:i/>
          <w:color w:val="006FC0"/>
        </w:rPr>
        <w:t>.</w:t>
      </w:r>
    </w:p>
    <w:p w14:paraId="597470FD" w14:textId="77777777" w:rsidR="007249FA" w:rsidRPr="007249FA" w:rsidRDefault="007249FA" w:rsidP="007249FA">
      <w:pPr>
        <w:pStyle w:val="ListParagraph"/>
        <w:numPr>
          <w:ilvl w:val="0"/>
          <w:numId w:val="4"/>
        </w:numPr>
        <w:spacing w:after="0" w:line="240" w:lineRule="auto"/>
        <w:contextualSpacing w:val="0"/>
        <w:rPr>
          <w:i/>
          <w:color w:val="006FC0"/>
        </w:rPr>
      </w:pPr>
      <w:r>
        <w:rPr>
          <w:color w:val="000000"/>
          <w:sz w:val="24"/>
          <w:szCs w:val="24"/>
        </w:rPr>
        <w:t>When reporting number of tests, should we be counting all administered tests back to January 1, 2021 in respect to their expenses?</w:t>
      </w:r>
      <w:r>
        <w:rPr>
          <w:color w:val="1F497D"/>
          <w:sz w:val="24"/>
          <w:szCs w:val="24"/>
        </w:rPr>
        <w:t xml:space="preserve"> </w:t>
      </w:r>
      <w:r w:rsidRPr="007249FA">
        <w:rPr>
          <w:i/>
          <w:color w:val="006FC0"/>
        </w:rPr>
        <w:t>Hospitals should provide their best estimate.</w:t>
      </w:r>
    </w:p>
    <w:p w14:paraId="631F8774" w14:textId="77777777" w:rsidR="007249FA" w:rsidRPr="007249FA" w:rsidRDefault="007249FA" w:rsidP="007249FA">
      <w:pPr>
        <w:pStyle w:val="ListParagraph"/>
        <w:widowControl w:val="0"/>
        <w:numPr>
          <w:ilvl w:val="0"/>
          <w:numId w:val="4"/>
        </w:numPr>
        <w:tabs>
          <w:tab w:val="left" w:pos="821"/>
        </w:tabs>
        <w:autoSpaceDE w:val="0"/>
        <w:autoSpaceDN w:val="0"/>
        <w:spacing w:after="0" w:line="240" w:lineRule="auto"/>
        <w:ind w:right="126"/>
        <w:contextualSpacing w:val="0"/>
      </w:pPr>
      <w:r>
        <w:rPr>
          <w:color w:val="000000"/>
          <w:sz w:val="24"/>
          <w:szCs w:val="24"/>
        </w:rPr>
        <w:t xml:space="preserve">Can the hospital staff testing be included in the data for this grant or not. </w:t>
      </w:r>
      <w:r w:rsidRPr="007249FA">
        <w:rPr>
          <w:i/>
          <w:color w:val="006FC0"/>
        </w:rPr>
        <w:t>Yes</w:t>
      </w:r>
    </w:p>
    <w:p w14:paraId="4B9C5C69" w14:textId="77777777" w:rsidR="007249FA" w:rsidRDefault="007249FA" w:rsidP="007249FA">
      <w:pPr>
        <w:pStyle w:val="BodyText"/>
        <w:spacing w:before="11"/>
        <w:ind w:left="0" w:firstLine="0"/>
        <w:rPr>
          <w:i/>
          <w:sz w:val="21"/>
        </w:rPr>
      </w:pPr>
    </w:p>
    <w:p w14:paraId="4891F7DE" w14:textId="77777777" w:rsidR="007249FA" w:rsidRDefault="007249FA" w:rsidP="007249FA">
      <w:pPr>
        <w:pStyle w:val="Heading1"/>
        <w:rPr>
          <w:u w:val="none"/>
        </w:rPr>
      </w:pPr>
      <w:r>
        <w:t>Allowable</w:t>
      </w:r>
      <w:r>
        <w:rPr>
          <w:spacing w:val="-5"/>
        </w:rPr>
        <w:t xml:space="preserve"> </w:t>
      </w:r>
      <w:r>
        <w:t>Costs:</w:t>
      </w:r>
    </w:p>
    <w:p w14:paraId="22DEE3AE" w14:textId="77777777" w:rsidR="007249FA" w:rsidRDefault="007249FA" w:rsidP="007249FA">
      <w:pPr>
        <w:pStyle w:val="ListParagraph"/>
        <w:widowControl w:val="0"/>
        <w:numPr>
          <w:ilvl w:val="0"/>
          <w:numId w:val="4"/>
        </w:numPr>
        <w:tabs>
          <w:tab w:val="left" w:pos="821"/>
        </w:tabs>
        <w:autoSpaceDE w:val="0"/>
        <w:autoSpaceDN w:val="0"/>
        <w:spacing w:before="56" w:after="0" w:line="240" w:lineRule="auto"/>
        <w:ind w:right="216"/>
        <w:contextualSpacing w:val="0"/>
        <w:rPr>
          <w:i/>
        </w:rPr>
      </w:pPr>
      <w:r>
        <w:t xml:space="preserve">If a hospital is part of a group, does education have to be specifically branded with the </w:t>
      </w:r>
      <w:r>
        <w:lastRenderedPageBreak/>
        <w:t>awarded</w:t>
      </w:r>
      <w:r>
        <w:rPr>
          <w:spacing w:val="-47"/>
        </w:rPr>
        <w:t xml:space="preserve"> </w:t>
      </w:r>
      <w:r>
        <w:t>hospital information, or can it only like the group?</w:t>
      </w:r>
      <w:r>
        <w:rPr>
          <w:spacing w:val="1"/>
        </w:rPr>
        <w:t xml:space="preserve"> </w:t>
      </w:r>
      <w:r>
        <w:rPr>
          <w:i/>
          <w:color w:val="006FC0"/>
        </w:rPr>
        <w:t>Education can be branded in whatever way</w:t>
      </w:r>
      <w:r>
        <w:rPr>
          <w:i/>
          <w:color w:val="006FC0"/>
          <w:spacing w:val="1"/>
        </w:rPr>
        <w:t xml:space="preserve"> </w:t>
      </w:r>
      <w:r>
        <w:rPr>
          <w:i/>
          <w:color w:val="006FC0"/>
        </w:rPr>
        <w:t>makes</w:t>
      </w:r>
      <w:r>
        <w:rPr>
          <w:i/>
          <w:color w:val="006FC0"/>
          <w:spacing w:val="-3"/>
        </w:rPr>
        <w:t xml:space="preserve"> </w:t>
      </w:r>
      <w:r>
        <w:rPr>
          <w:i/>
          <w:color w:val="006FC0"/>
        </w:rPr>
        <w:t>sense</w:t>
      </w:r>
      <w:r>
        <w:rPr>
          <w:i/>
          <w:color w:val="006FC0"/>
          <w:spacing w:val="-2"/>
        </w:rPr>
        <w:t xml:space="preserve"> </w:t>
      </w:r>
      <w:r>
        <w:rPr>
          <w:i/>
          <w:color w:val="006FC0"/>
        </w:rPr>
        <w:t>for</w:t>
      </w:r>
      <w:r>
        <w:rPr>
          <w:i/>
          <w:color w:val="006FC0"/>
          <w:spacing w:val="-2"/>
        </w:rPr>
        <w:t xml:space="preserve"> </w:t>
      </w:r>
      <w:r>
        <w:rPr>
          <w:i/>
          <w:color w:val="006FC0"/>
        </w:rPr>
        <w:t>the hospital and</w:t>
      </w:r>
      <w:r>
        <w:rPr>
          <w:i/>
          <w:color w:val="006FC0"/>
          <w:spacing w:val="-2"/>
        </w:rPr>
        <w:t xml:space="preserve"> </w:t>
      </w:r>
      <w:r>
        <w:rPr>
          <w:i/>
          <w:color w:val="006FC0"/>
        </w:rPr>
        <w:t>system</w:t>
      </w:r>
      <w:r>
        <w:rPr>
          <w:i/>
          <w:color w:val="006FC0"/>
          <w:spacing w:val="1"/>
        </w:rPr>
        <w:t xml:space="preserve"> </w:t>
      </w:r>
      <w:r>
        <w:rPr>
          <w:i/>
          <w:color w:val="006FC0"/>
        </w:rPr>
        <w:t>and</w:t>
      </w:r>
      <w:r>
        <w:rPr>
          <w:i/>
          <w:color w:val="006FC0"/>
          <w:spacing w:val="-1"/>
        </w:rPr>
        <w:t xml:space="preserve"> </w:t>
      </w:r>
      <w:r>
        <w:rPr>
          <w:i/>
          <w:color w:val="006FC0"/>
        </w:rPr>
        <w:t>for</w:t>
      </w:r>
      <w:r>
        <w:rPr>
          <w:i/>
          <w:color w:val="006FC0"/>
          <w:spacing w:val="-2"/>
        </w:rPr>
        <w:t xml:space="preserve"> </w:t>
      </w:r>
      <w:r>
        <w:rPr>
          <w:i/>
          <w:color w:val="006FC0"/>
        </w:rPr>
        <w:t>community impact.</w:t>
      </w:r>
    </w:p>
    <w:p w14:paraId="5BD1507E" w14:textId="77777777" w:rsidR="007249FA" w:rsidRDefault="007249FA" w:rsidP="007249FA">
      <w:pPr>
        <w:numPr>
          <w:ilvl w:val="0"/>
          <w:numId w:val="4"/>
        </w:numPr>
        <w:spacing w:after="0" w:line="240" w:lineRule="auto"/>
        <w:rPr>
          <w:rFonts w:ascii="Calibri" w:hAnsi="Calibri" w:cs="Calibri"/>
          <w:i/>
          <w:color w:val="006FC0"/>
        </w:rPr>
      </w:pPr>
      <w:r w:rsidRPr="00327DBD">
        <w:rPr>
          <w:rFonts w:eastAsia="Times New Roman"/>
        </w:rPr>
        <w:t xml:space="preserve">Can projects occur within a facility’s “network”- for example, to benefit COVID  testing and mitigation efforts at a hospital’s PB RHC, or overflow/add on treatment sites? </w:t>
      </w:r>
      <w:r w:rsidRPr="007249FA">
        <w:rPr>
          <w:rFonts w:ascii="Calibri" w:hAnsi="Calibri" w:cs="Calibri"/>
          <w:i/>
          <w:color w:val="006FC0"/>
        </w:rPr>
        <w:t>Hospitals are allowed to support testing and mitigation activities at other sites. However, there are grants for testing and mitigation going to RHCs, so you may want to better understand the need for the support if the PB RHCs are also getting that funding. Feel free to call if you need further clarification.</w:t>
      </w:r>
    </w:p>
    <w:p w14:paraId="0809DA27" w14:textId="77777777" w:rsidR="007249FA" w:rsidRPr="007249FA" w:rsidRDefault="007249FA" w:rsidP="007249FA">
      <w:pPr>
        <w:pStyle w:val="ListParagraph"/>
        <w:numPr>
          <w:ilvl w:val="0"/>
          <w:numId w:val="4"/>
        </w:numPr>
      </w:pPr>
      <w:r>
        <w:t>What are the rules about using funds for vaccine education across shared service areas? The larger entity asking about how they can use these funds is not a SHIP eligible facility but share patient population and staff. Could they do vaccine education for all staff or does it have to be limited to the staff that don’t float between facilities?</w:t>
      </w:r>
      <w:r w:rsidRPr="007249FA">
        <w:rPr>
          <w:color w:val="1F497D"/>
        </w:rPr>
        <w:t xml:space="preserve"> </w:t>
      </w:r>
      <w:r w:rsidRPr="007249FA">
        <w:rPr>
          <w:i/>
          <w:color w:val="006FC0"/>
        </w:rPr>
        <w:t xml:space="preserve">If the funding is used to support the education for rural hospital employees, and then others in the system are able to benefit at no additional cost, that is fine, but if they are doing a larger education initiative and adding extra people does add to the cost, they should not use the rural targeted funds to cover the entire cost and should allocate funds proportionally. </w:t>
      </w:r>
    </w:p>
    <w:p w14:paraId="7D02BE9D" w14:textId="77777777" w:rsidR="007249FA" w:rsidRDefault="007249FA" w:rsidP="007249FA">
      <w:pPr>
        <w:pStyle w:val="BodyText"/>
        <w:spacing w:before="1"/>
        <w:ind w:left="0" w:firstLine="0"/>
        <w:rPr>
          <w:i/>
        </w:rPr>
      </w:pPr>
    </w:p>
    <w:p w14:paraId="6D5792EE" w14:textId="77777777" w:rsidR="007249FA" w:rsidRDefault="007249FA" w:rsidP="007249FA">
      <w:pPr>
        <w:pStyle w:val="Heading1"/>
        <w:ind w:left="100"/>
        <w:rPr>
          <w:u w:val="none"/>
        </w:rPr>
      </w:pPr>
      <w:r>
        <w:t>Alteration/Renovation</w:t>
      </w:r>
      <w:r>
        <w:rPr>
          <w:spacing w:val="-5"/>
        </w:rPr>
        <w:t xml:space="preserve"> </w:t>
      </w:r>
      <w:r>
        <w:t>(A/R):</w:t>
      </w:r>
    </w:p>
    <w:p w14:paraId="53ACA514" w14:textId="52FCF638" w:rsidR="007249FA" w:rsidRDefault="007249FA" w:rsidP="007249FA">
      <w:pPr>
        <w:pStyle w:val="ListParagraph"/>
        <w:widowControl w:val="0"/>
        <w:numPr>
          <w:ilvl w:val="0"/>
          <w:numId w:val="4"/>
        </w:numPr>
        <w:tabs>
          <w:tab w:val="left" w:pos="821"/>
        </w:tabs>
        <w:autoSpaceDE w:val="0"/>
        <w:autoSpaceDN w:val="0"/>
        <w:spacing w:after="0" w:line="240" w:lineRule="auto"/>
        <w:ind w:right="174"/>
        <w:contextualSpacing w:val="0"/>
        <w:rPr>
          <w:i/>
        </w:rPr>
      </w:pPr>
      <w:r>
        <w:rPr>
          <w:color w:val="000000"/>
        </w:rPr>
        <w:t>Can ED renovations to accommodate positive patients, more negative</w:t>
      </w:r>
      <w:r>
        <w:rPr>
          <w:color w:val="000000"/>
          <w:spacing w:val="1"/>
        </w:rPr>
        <w:t xml:space="preserve"> </w:t>
      </w:r>
      <w:r>
        <w:rPr>
          <w:color w:val="000000"/>
        </w:rPr>
        <w:t>pressure rooms, be a use for this funding if it expands square footage</w:t>
      </w:r>
      <w:r w:rsidR="008C1E72">
        <w:rPr>
          <w:color w:val="000000"/>
        </w:rPr>
        <w:t xml:space="preserve"> of the building</w:t>
      </w:r>
      <w:r>
        <w:rPr>
          <w:color w:val="000000"/>
        </w:rPr>
        <w:t xml:space="preserve">? </w:t>
      </w:r>
      <w:r>
        <w:rPr>
          <w:i/>
          <w:color w:val="006FC0"/>
        </w:rPr>
        <w:t>No, this is not a</w:t>
      </w:r>
      <w:r>
        <w:rPr>
          <w:i/>
          <w:color w:val="006FC0"/>
          <w:spacing w:val="1"/>
        </w:rPr>
        <w:t xml:space="preserve"> </w:t>
      </w:r>
      <w:r>
        <w:rPr>
          <w:i/>
          <w:color w:val="006FC0"/>
        </w:rPr>
        <w:t>construction grant.</w:t>
      </w:r>
      <w:r>
        <w:rPr>
          <w:i/>
          <w:color w:val="006FC0"/>
          <w:spacing w:val="1"/>
        </w:rPr>
        <w:t xml:space="preserve"> </w:t>
      </w:r>
      <w:r>
        <w:rPr>
          <w:i/>
          <w:color w:val="006FC0"/>
        </w:rPr>
        <w:t xml:space="preserve">A/R is allowable but it </w:t>
      </w:r>
      <w:r>
        <w:rPr>
          <w:i/>
          <w:color w:val="006FC0"/>
          <w:u w:val="single" w:color="006FC0"/>
        </w:rPr>
        <w:t>does not</w:t>
      </w:r>
      <w:r>
        <w:rPr>
          <w:i/>
          <w:color w:val="006FC0"/>
        </w:rPr>
        <w:t xml:space="preserve"> permit the expansion of </w:t>
      </w:r>
      <w:r w:rsidR="008C1E72">
        <w:rPr>
          <w:i/>
          <w:color w:val="006FC0"/>
        </w:rPr>
        <w:t xml:space="preserve">the building’s </w:t>
      </w:r>
      <w:r>
        <w:rPr>
          <w:i/>
          <w:color w:val="006FC0"/>
        </w:rPr>
        <w:t xml:space="preserve">square footage. </w:t>
      </w:r>
      <w:bookmarkStart w:id="0" w:name="_GoBack"/>
      <w:r w:rsidR="008C1E72">
        <w:rPr>
          <w:i/>
          <w:color w:val="006FC0"/>
        </w:rPr>
        <w:t>These renovations would be allowable if it renovated the current building for less than $500,000 and without expanding the building’s square footage.</w:t>
      </w:r>
      <w:bookmarkEnd w:id="0"/>
    </w:p>
    <w:p w14:paraId="2145CA68" w14:textId="58C8E544" w:rsidR="007249FA" w:rsidRDefault="007249FA" w:rsidP="007249FA">
      <w:pPr>
        <w:pStyle w:val="ListParagraph"/>
        <w:widowControl w:val="0"/>
        <w:numPr>
          <w:ilvl w:val="0"/>
          <w:numId w:val="4"/>
        </w:numPr>
        <w:tabs>
          <w:tab w:val="left" w:pos="821"/>
        </w:tabs>
        <w:autoSpaceDE w:val="0"/>
        <w:autoSpaceDN w:val="0"/>
        <w:spacing w:after="0" w:line="240" w:lineRule="auto"/>
        <w:ind w:right="270"/>
        <w:contextualSpacing w:val="0"/>
        <w:rPr>
          <w:i/>
        </w:rPr>
      </w:pPr>
      <w:r>
        <w:t>Can need &amp; use for negative pressure space be considered as a mitigation activity?</w:t>
      </w:r>
      <w:r>
        <w:rPr>
          <w:spacing w:val="1"/>
        </w:rPr>
        <w:t xml:space="preserve"> </w:t>
      </w:r>
      <w:r>
        <w:rPr>
          <w:i/>
          <w:color w:val="006FC0"/>
        </w:rPr>
        <w:t>Yes,</w:t>
      </w:r>
      <w:r>
        <w:rPr>
          <w:i/>
          <w:color w:val="006FC0"/>
          <w:spacing w:val="1"/>
        </w:rPr>
        <w:t xml:space="preserve"> </w:t>
      </w:r>
      <w:r>
        <w:rPr>
          <w:i/>
          <w:color w:val="006FC0"/>
        </w:rPr>
        <w:t>funds may be used to create negative pressure environments</w:t>
      </w:r>
      <w:r w:rsidR="00597A29">
        <w:rPr>
          <w:i/>
          <w:color w:val="006FC0"/>
        </w:rPr>
        <w:t xml:space="preserve"> in common areas or patient treatment areas</w:t>
      </w:r>
      <w:r>
        <w:rPr>
          <w:i/>
          <w:color w:val="006FC0"/>
        </w:rPr>
        <w:t>.</w:t>
      </w:r>
      <w:r>
        <w:rPr>
          <w:i/>
          <w:color w:val="006FC0"/>
          <w:spacing w:val="1"/>
        </w:rPr>
        <w:t xml:space="preserve"> </w:t>
      </w:r>
      <w:r>
        <w:rPr>
          <w:i/>
          <w:color w:val="006FC0"/>
        </w:rPr>
        <w:t xml:space="preserve">For example, </w:t>
      </w:r>
      <w:r w:rsidR="00597A29">
        <w:rPr>
          <w:i/>
          <w:color w:val="006FC0"/>
        </w:rPr>
        <w:t xml:space="preserve">common areas may include </w:t>
      </w:r>
      <w:r>
        <w:rPr>
          <w:i/>
          <w:color w:val="006FC0"/>
        </w:rPr>
        <w:t>waiting</w:t>
      </w:r>
      <w:r>
        <w:rPr>
          <w:i/>
          <w:color w:val="006FC0"/>
          <w:spacing w:val="1"/>
        </w:rPr>
        <w:t xml:space="preserve"> </w:t>
      </w:r>
      <w:r>
        <w:rPr>
          <w:i/>
          <w:color w:val="006FC0"/>
        </w:rPr>
        <w:t>areas—especially ED, bathrooms, and triage areas where infections can easily be spread..</w:t>
      </w:r>
    </w:p>
    <w:p w14:paraId="0D72BEF7" w14:textId="77777777" w:rsidR="007249FA" w:rsidRDefault="007249FA" w:rsidP="007249FA">
      <w:pPr>
        <w:pStyle w:val="ListParagraph"/>
        <w:widowControl w:val="0"/>
        <w:numPr>
          <w:ilvl w:val="0"/>
          <w:numId w:val="4"/>
        </w:numPr>
        <w:tabs>
          <w:tab w:val="left" w:pos="821"/>
        </w:tabs>
        <w:autoSpaceDE w:val="0"/>
        <w:autoSpaceDN w:val="0"/>
        <w:spacing w:before="3" w:after="0" w:line="237" w:lineRule="auto"/>
        <w:ind w:right="303"/>
        <w:contextualSpacing w:val="0"/>
      </w:pPr>
      <w:r>
        <w:t>Can hospitals use funds for a negative pressure space for patients whose COVID status is</w:t>
      </w:r>
      <w:r>
        <w:rPr>
          <w:spacing w:val="-47"/>
        </w:rPr>
        <w:t xml:space="preserve"> </w:t>
      </w:r>
      <w:r>
        <w:t>not</w:t>
      </w:r>
      <w:r>
        <w:rPr>
          <w:spacing w:val="-2"/>
        </w:rPr>
        <w:t xml:space="preserve"> </w:t>
      </w:r>
      <w:r>
        <w:t>yet</w:t>
      </w:r>
      <w:r>
        <w:rPr>
          <w:spacing w:val="-2"/>
        </w:rPr>
        <w:t xml:space="preserve"> </w:t>
      </w:r>
      <w:r>
        <w:t>known?</w:t>
      </w:r>
      <w:r>
        <w:rPr>
          <w:spacing w:val="2"/>
        </w:rPr>
        <w:t xml:space="preserve"> </w:t>
      </w:r>
      <w:r>
        <w:rPr>
          <w:color w:val="006FC0"/>
        </w:rPr>
        <w:t>Yes.</w:t>
      </w:r>
    </w:p>
    <w:p w14:paraId="0614D2A4" w14:textId="77777777" w:rsidR="007249FA" w:rsidRDefault="007249FA" w:rsidP="007249FA">
      <w:pPr>
        <w:pStyle w:val="ListParagraph"/>
        <w:widowControl w:val="0"/>
        <w:numPr>
          <w:ilvl w:val="0"/>
          <w:numId w:val="4"/>
        </w:numPr>
        <w:tabs>
          <w:tab w:val="left" w:pos="821"/>
        </w:tabs>
        <w:autoSpaceDE w:val="0"/>
        <w:autoSpaceDN w:val="0"/>
        <w:spacing w:before="1" w:after="0" w:line="240" w:lineRule="auto"/>
        <w:ind w:right="641"/>
        <w:contextualSpacing w:val="0"/>
        <w:rPr>
          <w:i/>
        </w:rPr>
      </w:pPr>
      <w:r>
        <w:t>Can A/R be used to isolate COVID-positive patients?</w:t>
      </w:r>
      <w:r>
        <w:rPr>
          <w:spacing w:val="1"/>
        </w:rPr>
        <w:t xml:space="preserve"> </w:t>
      </w:r>
      <w:r>
        <w:rPr>
          <w:i/>
          <w:color w:val="006FC0"/>
        </w:rPr>
        <w:t>Yes, A/R for isolation of positive</w:t>
      </w:r>
      <w:r>
        <w:rPr>
          <w:i/>
          <w:color w:val="006FC0"/>
          <w:spacing w:val="-47"/>
        </w:rPr>
        <w:t xml:space="preserve"> </w:t>
      </w:r>
      <w:r>
        <w:rPr>
          <w:i/>
          <w:color w:val="006FC0"/>
        </w:rPr>
        <w:t>patients</w:t>
      </w:r>
      <w:r>
        <w:rPr>
          <w:i/>
          <w:color w:val="006FC0"/>
          <w:spacing w:val="-1"/>
        </w:rPr>
        <w:t xml:space="preserve"> </w:t>
      </w:r>
      <w:r>
        <w:rPr>
          <w:i/>
          <w:color w:val="006FC0"/>
        </w:rPr>
        <w:t>is</w:t>
      </w:r>
      <w:r>
        <w:rPr>
          <w:i/>
          <w:color w:val="006FC0"/>
          <w:spacing w:val="-2"/>
        </w:rPr>
        <w:t xml:space="preserve"> </w:t>
      </w:r>
      <w:r>
        <w:rPr>
          <w:i/>
          <w:color w:val="006FC0"/>
        </w:rPr>
        <w:t>allowed as</w:t>
      </w:r>
      <w:r>
        <w:rPr>
          <w:i/>
          <w:color w:val="006FC0"/>
          <w:spacing w:val="-2"/>
        </w:rPr>
        <w:t xml:space="preserve"> </w:t>
      </w:r>
      <w:r>
        <w:rPr>
          <w:i/>
          <w:color w:val="006FC0"/>
        </w:rPr>
        <w:t>a mitigation</w:t>
      </w:r>
      <w:r>
        <w:rPr>
          <w:i/>
          <w:color w:val="006FC0"/>
          <w:spacing w:val="-1"/>
        </w:rPr>
        <w:t xml:space="preserve"> </w:t>
      </w:r>
      <w:r>
        <w:rPr>
          <w:i/>
          <w:color w:val="006FC0"/>
        </w:rPr>
        <w:t>activity.</w:t>
      </w:r>
    </w:p>
    <w:p w14:paraId="67E186F0" w14:textId="77777777" w:rsidR="007249FA" w:rsidRPr="007249FA" w:rsidRDefault="007249FA" w:rsidP="007249FA">
      <w:pPr>
        <w:pStyle w:val="ListParagraph"/>
        <w:widowControl w:val="0"/>
        <w:numPr>
          <w:ilvl w:val="0"/>
          <w:numId w:val="4"/>
        </w:numPr>
        <w:tabs>
          <w:tab w:val="left" w:pos="821"/>
        </w:tabs>
        <w:autoSpaceDE w:val="0"/>
        <w:autoSpaceDN w:val="0"/>
        <w:spacing w:before="39" w:after="0" w:line="240" w:lineRule="auto"/>
        <w:ind w:right="317"/>
        <w:contextualSpacing w:val="0"/>
        <w:rPr>
          <w:i/>
        </w:rPr>
      </w:pPr>
      <w:r>
        <w:t>Alteration &amp; Renovation Projects- If a hospitals does not use a contractor for AR and uses their</w:t>
      </w:r>
      <w:r>
        <w:rPr>
          <w:spacing w:val="-47"/>
        </w:rPr>
        <w:t xml:space="preserve"> </w:t>
      </w:r>
      <w:r>
        <w:t>own maintenance department for the AR, do they still need to fill out the template</w:t>
      </w:r>
      <w:r>
        <w:rPr>
          <w:spacing w:val="1"/>
        </w:rPr>
        <w:t xml:space="preserve"> </w:t>
      </w:r>
      <w:r>
        <w:t>forms/certifications?</w:t>
      </w:r>
      <w:r>
        <w:rPr>
          <w:spacing w:val="1"/>
        </w:rPr>
        <w:t xml:space="preserve"> </w:t>
      </w:r>
      <w:r>
        <w:rPr>
          <w:i/>
          <w:color w:val="006FC0"/>
        </w:rPr>
        <w:t>Yes.</w:t>
      </w:r>
      <w:r>
        <w:rPr>
          <w:i/>
          <w:color w:val="006FC0"/>
          <w:spacing w:val="48"/>
        </w:rPr>
        <w:t xml:space="preserve"> </w:t>
      </w:r>
      <w:r>
        <w:rPr>
          <w:i/>
          <w:color w:val="006FC0"/>
        </w:rPr>
        <w:t>The A/R</w:t>
      </w:r>
      <w:r>
        <w:rPr>
          <w:i/>
          <w:color w:val="006FC0"/>
          <w:spacing w:val="-3"/>
        </w:rPr>
        <w:t xml:space="preserve"> </w:t>
      </w:r>
      <w:r>
        <w:rPr>
          <w:i/>
          <w:color w:val="006FC0"/>
        </w:rPr>
        <w:t>forms</w:t>
      </w:r>
      <w:r>
        <w:rPr>
          <w:i/>
          <w:color w:val="006FC0"/>
          <w:spacing w:val="1"/>
        </w:rPr>
        <w:t xml:space="preserve"> </w:t>
      </w:r>
      <w:r>
        <w:rPr>
          <w:i/>
          <w:color w:val="006FC0"/>
        </w:rPr>
        <w:t>are</w:t>
      </w:r>
      <w:r>
        <w:rPr>
          <w:i/>
          <w:color w:val="006FC0"/>
          <w:spacing w:val="-2"/>
        </w:rPr>
        <w:t xml:space="preserve"> </w:t>
      </w:r>
      <w:r>
        <w:rPr>
          <w:i/>
          <w:color w:val="006FC0"/>
        </w:rPr>
        <w:t>required.</w:t>
      </w:r>
    </w:p>
    <w:p w14:paraId="52028937" w14:textId="77777777" w:rsidR="007249FA" w:rsidRDefault="007249FA" w:rsidP="007249FA">
      <w:pPr>
        <w:pStyle w:val="ListParagraph"/>
        <w:numPr>
          <w:ilvl w:val="0"/>
          <w:numId w:val="4"/>
        </w:numPr>
      </w:pPr>
      <w:r>
        <w:t xml:space="preserve">What is the dollar threshold that would separate a project from being a minor alteration/renovation vs. construction? </w:t>
      </w:r>
      <w:r w:rsidRPr="007249FA">
        <w:rPr>
          <w:i/>
          <w:color w:val="006FC0"/>
        </w:rPr>
        <w:t>$500,000 total cost</w:t>
      </w:r>
    </w:p>
    <w:p w14:paraId="4656EFA0" w14:textId="77777777" w:rsidR="007249FA" w:rsidRDefault="007249FA" w:rsidP="007249FA">
      <w:pPr>
        <w:pStyle w:val="Heading1"/>
        <w:ind w:left="100"/>
      </w:pPr>
      <w:r w:rsidRPr="007249FA">
        <w:t>Equipment</w:t>
      </w:r>
    </w:p>
    <w:p w14:paraId="1033B581" w14:textId="77777777" w:rsidR="007249FA" w:rsidRPr="007249FA" w:rsidRDefault="007249FA" w:rsidP="007249FA">
      <w:pPr>
        <w:pStyle w:val="ListParagraph"/>
        <w:numPr>
          <w:ilvl w:val="0"/>
          <w:numId w:val="4"/>
        </w:numPr>
        <w:spacing w:after="0" w:line="240" w:lineRule="auto"/>
        <w:rPr>
          <w:i/>
          <w:color w:val="006FC0"/>
        </w:rPr>
      </w:pPr>
      <w:r>
        <w:t xml:space="preserve">If the equipment were only going to be used in an isolation room from which it would not be removed, would it be considered “moveable equipment”? </w:t>
      </w:r>
      <w:r w:rsidRPr="007249FA">
        <w:rPr>
          <w:i/>
          <w:color w:val="006FC0"/>
        </w:rPr>
        <w:t>Moveable equipment can be moved, the intention to move the equipment is irrelevant. If it affixed when installed in the isolation room, it would not be considered moveable equipment.</w:t>
      </w:r>
    </w:p>
    <w:p w14:paraId="2AC6CA51" w14:textId="77777777" w:rsidR="007249FA" w:rsidRPr="007249FA" w:rsidRDefault="007249FA" w:rsidP="007249FA">
      <w:pPr>
        <w:pStyle w:val="ListParagraph"/>
        <w:numPr>
          <w:ilvl w:val="0"/>
          <w:numId w:val="4"/>
        </w:numPr>
        <w:rPr>
          <w:i/>
          <w:color w:val="006FC0"/>
        </w:rPr>
      </w:pPr>
      <w:r>
        <w:t xml:space="preserve">Can a piece of equipment purchased by a hospital be shared throughout their hospital system? </w:t>
      </w:r>
      <w:r w:rsidRPr="007249FA">
        <w:rPr>
          <w:i/>
          <w:color w:val="006FC0"/>
        </w:rPr>
        <w:t>Equipment could be shared among a hospital system, but it must be used primarily for activities under this grant. This funding is intended to support hospitals and the rural communities in which they are located, so if hospital systems are sharing equipment among other eligible SHIP hospitals that is fine for efficiency in operation. If other hospitals in the system are not SHIP eligible, the equipment should be primarily used for hospitals that are SHIP eligible. Feel free to reach out if you have any questions.</w:t>
      </w:r>
    </w:p>
    <w:p w14:paraId="274C3E99" w14:textId="77777777" w:rsidR="007249FA" w:rsidRDefault="007249FA" w:rsidP="007249FA">
      <w:pPr>
        <w:pStyle w:val="Heading1"/>
        <w:ind w:left="100"/>
        <w:rPr>
          <w:u w:val="none"/>
        </w:rPr>
      </w:pPr>
      <w:r>
        <w:lastRenderedPageBreak/>
        <w:t>Resources:</w:t>
      </w:r>
    </w:p>
    <w:p w14:paraId="330A3DC3" w14:textId="77777777" w:rsidR="007249FA" w:rsidRDefault="007249FA" w:rsidP="007249FA">
      <w:pPr>
        <w:pStyle w:val="ListParagraph"/>
        <w:widowControl w:val="0"/>
        <w:numPr>
          <w:ilvl w:val="0"/>
          <w:numId w:val="4"/>
        </w:numPr>
        <w:tabs>
          <w:tab w:val="left" w:pos="821"/>
        </w:tabs>
        <w:autoSpaceDE w:val="0"/>
        <w:autoSpaceDN w:val="0"/>
        <w:spacing w:after="0" w:line="240" w:lineRule="auto"/>
        <w:ind w:right="455"/>
        <w:contextualSpacing w:val="0"/>
      </w:pPr>
      <w:r>
        <w:t>New webpage for COVID Testing underway on the SHIP website.</w:t>
      </w:r>
      <w:r>
        <w:rPr>
          <w:spacing w:val="1"/>
        </w:rPr>
        <w:t xml:space="preserve"> </w:t>
      </w:r>
      <w:r>
        <w:t xml:space="preserve">All program updates will be </w:t>
      </w:r>
      <w:r>
        <w:rPr>
          <w:spacing w:val="-47"/>
        </w:rPr>
        <w:t xml:space="preserve">    </w:t>
      </w:r>
      <w:r>
        <w:t>available</w:t>
      </w:r>
      <w:r>
        <w:rPr>
          <w:spacing w:val="-1"/>
        </w:rPr>
        <w:t xml:space="preserve"> </w:t>
      </w:r>
      <w:r>
        <w:t>at:</w:t>
      </w:r>
      <w:r>
        <w:rPr>
          <w:color w:val="0462C1"/>
          <w:spacing w:val="2"/>
        </w:rPr>
        <w:t xml:space="preserve"> </w:t>
      </w:r>
      <w:hyperlink r:id="rId14">
        <w:r>
          <w:rPr>
            <w:color w:val="0462C1"/>
            <w:u w:val="single" w:color="0462C1"/>
          </w:rPr>
          <w:t>https://www.ruralcenter.org/ship/american-rescue-plan</w:t>
        </w:r>
      </w:hyperlink>
    </w:p>
    <w:p w14:paraId="2AF034F0" w14:textId="77777777" w:rsidR="007249FA" w:rsidRDefault="007249FA" w:rsidP="007249FA"/>
    <w:p w14:paraId="059F3155" w14:textId="77777777" w:rsidR="00597A29" w:rsidRDefault="00597A29">
      <w:pPr>
        <w:sectPr w:rsidR="00597A29">
          <w:headerReference w:type="default" r:id="rId15"/>
          <w:pgSz w:w="12240" w:h="15840"/>
          <w:pgMar w:top="1440" w:right="1440" w:bottom="1440" w:left="1440" w:header="720" w:footer="720" w:gutter="0"/>
          <w:cols w:space="720"/>
          <w:docGrid w:linePitch="360"/>
        </w:sectPr>
      </w:pPr>
    </w:p>
    <w:p w14:paraId="5C2B9F85" w14:textId="1E85DCC4" w:rsidR="008E33DA" w:rsidRPr="008C1E72" w:rsidRDefault="008C1E72">
      <w:pPr>
        <w:rPr>
          <w:b/>
        </w:rPr>
      </w:pPr>
      <w:r w:rsidRPr="008C1E72">
        <w:rPr>
          <w:b/>
        </w:rPr>
        <w:lastRenderedPageBreak/>
        <w:t>Version History</w:t>
      </w:r>
    </w:p>
    <w:tbl>
      <w:tblPr>
        <w:tblStyle w:val="TableGrid"/>
        <w:tblW w:w="0" w:type="auto"/>
        <w:tblLook w:val="04A0" w:firstRow="1" w:lastRow="0" w:firstColumn="1" w:lastColumn="0" w:noHBand="0" w:noVBand="1"/>
      </w:tblPr>
      <w:tblGrid>
        <w:gridCol w:w="1345"/>
        <w:gridCol w:w="8005"/>
        <w:tblGridChange w:id="1">
          <w:tblGrid>
            <w:gridCol w:w="1345"/>
            <w:gridCol w:w="8005"/>
          </w:tblGrid>
        </w:tblGridChange>
      </w:tblGrid>
      <w:tr w:rsidR="008C1E72" w14:paraId="6B82D83F" w14:textId="77777777" w:rsidTr="008C1E72">
        <w:tc>
          <w:tcPr>
            <w:tcW w:w="1345" w:type="dxa"/>
          </w:tcPr>
          <w:p w14:paraId="6A1EA265" w14:textId="55BF08D6" w:rsidR="008C1E72" w:rsidRPr="008C1E72" w:rsidRDefault="008C1E72">
            <w:pPr>
              <w:rPr>
                <w:b/>
              </w:rPr>
            </w:pPr>
            <w:r w:rsidRPr="008C1E72">
              <w:rPr>
                <w:b/>
              </w:rPr>
              <w:t>Date</w:t>
            </w:r>
          </w:p>
        </w:tc>
        <w:tc>
          <w:tcPr>
            <w:tcW w:w="8005" w:type="dxa"/>
          </w:tcPr>
          <w:p w14:paraId="3448E4EB" w14:textId="56233F19" w:rsidR="008C1E72" w:rsidRPr="008C1E72" w:rsidRDefault="008C1E72">
            <w:pPr>
              <w:rPr>
                <w:b/>
              </w:rPr>
            </w:pPr>
            <w:r w:rsidRPr="008C1E72">
              <w:rPr>
                <w:b/>
              </w:rPr>
              <w:t>Changes</w:t>
            </w:r>
          </w:p>
        </w:tc>
      </w:tr>
      <w:tr w:rsidR="008C1E72" w14:paraId="26D4C1E1" w14:textId="77777777" w:rsidTr="008C1E72">
        <w:tc>
          <w:tcPr>
            <w:tcW w:w="1345" w:type="dxa"/>
          </w:tcPr>
          <w:p w14:paraId="09ACCBD2" w14:textId="0104B92A" w:rsidR="008C1E72" w:rsidRDefault="008C1E72">
            <w:r>
              <w:t>9.10.21</w:t>
            </w:r>
          </w:p>
        </w:tc>
        <w:tc>
          <w:tcPr>
            <w:tcW w:w="8005" w:type="dxa"/>
          </w:tcPr>
          <w:p w14:paraId="4513E213" w14:textId="708C280B" w:rsidR="008C1E72" w:rsidRDefault="008C1E72" w:rsidP="008C1E72">
            <w:r>
              <w:t>Removed allowable cost questions</w:t>
            </w:r>
          </w:p>
        </w:tc>
      </w:tr>
      <w:tr w:rsidR="008C1E72" w14:paraId="1139C6CC" w14:textId="77777777" w:rsidTr="008C1E72">
        <w:tc>
          <w:tcPr>
            <w:tcW w:w="1345" w:type="dxa"/>
          </w:tcPr>
          <w:p w14:paraId="0B7E918A" w14:textId="30D0F757" w:rsidR="008C1E72" w:rsidRDefault="008C1E72">
            <w:r>
              <w:t>10.7.21</w:t>
            </w:r>
          </w:p>
        </w:tc>
        <w:tc>
          <w:tcPr>
            <w:tcW w:w="8005" w:type="dxa"/>
          </w:tcPr>
          <w:p w14:paraId="11A20F83" w14:textId="0042F3B2" w:rsidR="008C1E72" w:rsidRDefault="008C1E72">
            <w:r>
              <w:t>Reflects policy change that allows negative pressure space in rooms where single patients are treated</w:t>
            </w:r>
          </w:p>
        </w:tc>
      </w:tr>
    </w:tbl>
    <w:p w14:paraId="1073190F" w14:textId="77777777" w:rsidR="008C1E72" w:rsidRDefault="008C1E72"/>
    <w:sectPr w:rsidR="008C1E7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CD12B8" w14:textId="77777777" w:rsidR="007249FA" w:rsidRDefault="007249FA" w:rsidP="007249FA">
      <w:pPr>
        <w:spacing w:after="0" w:line="240" w:lineRule="auto"/>
      </w:pPr>
      <w:r>
        <w:separator/>
      </w:r>
    </w:p>
  </w:endnote>
  <w:endnote w:type="continuationSeparator" w:id="0">
    <w:p w14:paraId="64B7EBE3" w14:textId="77777777" w:rsidR="007249FA" w:rsidRDefault="007249FA" w:rsidP="00724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02C54B" w14:textId="77777777" w:rsidR="007249FA" w:rsidRDefault="007249FA" w:rsidP="007249FA">
      <w:pPr>
        <w:spacing w:after="0" w:line="240" w:lineRule="auto"/>
      </w:pPr>
      <w:r>
        <w:separator/>
      </w:r>
    </w:p>
  </w:footnote>
  <w:footnote w:type="continuationSeparator" w:id="0">
    <w:p w14:paraId="03577987" w14:textId="77777777" w:rsidR="007249FA" w:rsidRDefault="007249FA" w:rsidP="007249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1E30C" w14:textId="77777777" w:rsidR="007249FA" w:rsidRDefault="007249FA">
    <w:pPr>
      <w:pStyle w:val="Header"/>
    </w:pPr>
    <w:r>
      <w:tab/>
    </w:r>
    <w:r>
      <w:tab/>
      <w:t>REVISED: 9/10/2021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F7C5E"/>
    <w:multiLevelType w:val="hybridMultilevel"/>
    <w:tmpl w:val="D9E81AD0"/>
    <w:lvl w:ilvl="0" w:tplc="0F849C0A">
      <w:numFmt w:val="bullet"/>
      <w:lvlText w:val=""/>
      <w:lvlJc w:val="left"/>
      <w:pPr>
        <w:ind w:left="720" w:hanging="360"/>
      </w:pPr>
      <w:rPr>
        <w:rFonts w:ascii="Wingdings" w:eastAsia="Calibri" w:hAnsi="Wingdings"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6640AF6"/>
    <w:multiLevelType w:val="hybridMultilevel"/>
    <w:tmpl w:val="078AAE88"/>
    <w:lvl w:ilvl="0" w:tplc="04090001">
      <w:start w:val="1"/>
      <w:numFmt w:val="bullet"/>
      <w:lvlText w:val=""/>
      <w:lvlJc w:val="left"/>
      <w:pPr>
        <w:ind w:left="270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89B04AF"/>
    <w:multiLevelType w:val="hybridMultilevel"/>
    <w:tmpl w:val="77E4D56C"/>
    <w:lvl w:ilvl="0" w:tplc="4BB27CD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DC01207"/>
    <w:multiLevelType w:val="hybridMultilevel"/>
    <w:tmpl w:val="167A9C92"/>
    <w:lvl w:ilvl="0" w:tplc="F4748B78">
      <w:start w:val="1"/>
      <w:numFmt w:val="decimal"/>
      <w:lvlText w:val="%1."/>
      <w:lvlJc w:val="left"/>
      <w:pPr>
        <w:ind w:left="820" w:hanging="360"/>
      </w:pPr>
      <w:rPr>
        <w:rFonts w:ascii="Calibri" w:eastAsia="Calibri" w:hAnsi="Calibri" w:cs="Calibri" w:hint="default"/>
        <w:b w:val="0"/>
        <w:bCs w:val="0"/>
        <w:i w:val="0"/>
        <w:iCs w:val="0"/>
        <w:color w:val="auto"/>
        <w:w w:val="100"/>
        <w:sz w:val="22"/>
        <w:szCs w:val="22"/>
        <w:lang w:val="en-US" w:eastAsia="en-US" w:bidi="ar-SA"/>
      </w:rPr>
    </w:lvl>
    <w:lvl w:ilvl="1" w:tplc="47227A84">
      <w:numFmt w:val="bullet"/>
      <w:lvlText w:val="•"/>
      <w:lvlJc w:val="left"/>
      <w:pPr>
        <w:ind w:left="1696" w:hanging="360"/>
      </w:pPr>
      <w:rPr>
        <w:rFonts w:hint="default"/>
        <w:lang w:val="en-US" w:eastAsia="en-US" w:bidi="ar-SA"/>
      </w:rPr>
    </w:lvl>
    <w:lvl w:ilvl="2" w:tplc="93B03C60">
      <w:numFmt w:val="bullet"/>
      <w:lvlText w:val="•"/>
      <w:lvlJc w:val="left"/>
      <w:pPr>
        <w:ind w:left="2572" w:hanging="360"/>
      </w:pPr>
      <w:rPr>
        <w:rFonts w:hint="default"/>
        <w:lang w:val="en-US" w:eastAsia="en-US" w:bidi="ar-SA"/>
      </w:rPr>
    </w:lvl>
    <w:lvl w:ilvl="3" w:tplc="817CD472">
      <w:numFmt w:val="bullet"/>
      <w:lvlText w:val="•"/>
      <w:lvlJc w:val="left"/>
      <w:pPr>
        <w:ind w:left="3448" w:hanging="360"/>
      </w:pPr>
      <w:rPr>
        <w:rFonts w:hint="default"/>
        <w:lang w:val="en-US" w:eastAsia="en-US" w:bidi="ar-SA"/>
      </w:rPr>
    </w:lvl>
    <w:lvl w:ilvl="4" w:tplc="B5E21B84">
      <w:numFmt w:val="bullet"/>
      <w:lvlText w:val="•"/>
      <w:lvlJc w:val="left"/>
      <w:pPr>
        <w:ind w:left="4324" w:hanging="360"/>
      </w:pPr>
      <w:rPr>
        <w:rFonts w:hint="default"/>
        <w:lang w:val="en-US" w:eastAsia="en-US" w:bidi="ar-SA"/>
      </w:rPr>
    </w:lvl>
    <w:lvl w:ilvl="5" w:tplc="1520DED8">
      <w:numFmt w:val="bullet"/>
      <w:lvlText w:val="•"/>
      <w:lvlJc w:val="left"/>
      <w:pPr>
        <w:ind w:left="5200" w:hanging="360"/>
      </w:pPr>
      <w:rPr>
        <w:rFonts w:hint="default"/>
        <w:lang w:val="en-US" w:eastAsia="en-US" w:bidi="ar-SA"/>
      </w:rPr>
    </w:lvl>
    <w:lvl w:ilvl="6" w:tplc="A07E9A88">
      <w:numFmt w:val="bullet"/>
      <w:lvlText w:val="•"/>
      <w:lvlJc w:val="left"/>
      <w:pPr>
        <w:ind w:left="6076" w:hanging="360"/>
      </w:pPr>
      <w:rPr>
        <w:rFonts w:hint="default"/>
        <w:lang w:val="en-US" w:eastAsia="en-US" w:bidi="ar-SA"/>
      </w:rPr>
    </w:lvl>
    <w:lvl w:ilvl="7" w:tplc="E458BC86">
      <w:numFmt w:val="bullet"/>
      <w:lvlText w:val="•"/>
      <w:lvlJc w:val="left"/>
      <w:pPr>
        <w:ind w:left="6952" w:hanging="360"/>
      </w:pPr>
      <w:rPr>
        <w:rFonts w:hint="default"/>
        <w:lang w:val="en-US" w:eastAsia="en-US" w:bidi="ar-SA"/>
      </w:rPr>
    </w:lvl>
    <w:lvl w:ilvl="8" w:tplc="EF6E076A">
      <w:numFmt w:val="bullet"/>
      <w:lvlText w:val="•"/>
      <w:lvlJc w:val="left"/>
      <w:pPr>
        <w:ind w:left="7828" w:hanging="360"/>
      </w:pPr>
      <w:rPr>
        <w:rFonts w:hint="default"/>
        <w:lang w:val="en-US" w:eastAsia="en-US" w:bidi="ar-S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B2C"/>
    <w:rsid w:val="00213CC2"/>
    <w:rsid w:val="003A257A"/>
    <w:rsid w:val="0044113A"/>
    <w:rsid w:val="00510FED"/>
    <w:rsid w:val="00597A29"/>
    <w:rsid w:val="006769EE"/>
    <w:rsid w:val="00692256"/>
    <w:rsid w:val="007249FA"/>
    <w:rsid w:val="007A4279"/>
    <w:rsid w:val="00816776"/>
    <w:rsid w:val="008C1E72"/>
    <w:rsid w:val="008E33DA"/>
    <w:rsid w:val="00933B5B"/>
    <w:rsid w:val="00EF42B3"/>
    <w:rsid w:val="00F94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7E6F4"/>
  <w15:chartTrackingRefBased/>
  <w15:docId w15:val="{A6D0C2F8-C846-4288-9D7B-C3120D84F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7249FA"/>
    <w:pPr>
      <w:widowControl w:val="0"/>
      <w:autoSpaceDE w:val="0"/>
      <w:autoSpaceDN w:val="0"/>
      <w:spacing w:after="0" w:line="240" w:lineRule="auto"/>
      <w:ind w:left="460"/>
      <w:outlineLvl w:val="0"/>
    </w:pPr>
    <w:rPr>
      <w:rFonts w:ascii="Calibri" w:eastAsia="Calibri" w:hAnsi="Calibri" w:cs="Calibri"/>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ullet List Char,FooterText Char,List Paragraph1 Char,3 Char,POCG Table Text Char,Issue Action POC Char,Dot pt Char,F5 List Paragraph Char,List Paragraph Char Char Char Char,Indicator Text Char,Colorful List - Accent 11 Char"/>
    <w:basedOn w:val="DefaultParagraphFont"/>
    <w:link w:val="ListParagraph"/>
    <w:uiPriority w:val="34"/>
    <w:locked/>
    <w:rsid w:val="00F94B2C"/>
    <w:rPr>
      <w:rFonts w:ascii="Calibri" w:hAnsi="Calibri" w:cs="Calibri"/>
    </w:rPr>
  </w:style>
  <w:style w:type="paragraph" w:styleId="ListParagraph">
    <w:name w:val="List Paragraph"/>
    <w:aliases w:val="Bullet List,FooterText,List Paragraph1,3,POCG Table Text,Issue Action POC,Dot pt,F5 List Paragraph,List Paragraph Char Char Char,Indicator Text,Colorful List - Accent 11,Numbered Para 1,Bullet 1,Bullet Points,List Paragraph2,MAIN CONTENT"/>
    <w:basedOn w:val="Normal"/>
    <w:link w:val="ListParagraphChar"/>
    <w:uiPriority w:val="34"/>
    <w:qFormat/>
    <w:rsid w:val="00F94B2C"/>
    <w:pPr>
      <w:spacing w:line="252" w:lineRule="auto"/>
      <w:ind w:left="720"/>
      <w:contextualSpacing/>
    </w:pPr>
    <w:rPr>
      <w:rFonts w:ascii="Calibri" w:hAnsi="Calibri" w:cs="Calibri"/>
    </w:rPr>
  </w:style>
  <w:style w:type="character" w:styleId="CommentReference">
    <w:name w:val="annotation reference"/>
    <w:basedOn w:val="DefaultParagraphFont"/>
    <w:uiPriority w:val="99"/>
    <w:semiHidden/>
    <w:unhideWhenUsed/>
    <w:rsid w:val="00F94B2C"/>
    <w:rPr>
      <w:sz w:val="16"/>
      <w:szCs w:val="16"/>
    </w:rPr>
  </w:style>
  <w:style w:type="paragraph" w:styleId="CommentText">
    <w:name w:val="annotation text"/>
    <w:basedOn w:val="Normal"/>
    <w:link w:val="CommentTextChar"/>
    <w:uiPriority w:val="99"/>
    <w:semiHidden/>
    <w:unhideWhenUsed/>
    <w:rsid w:val="00F94B2C"/>
    <w:pPr>
      <w:spacing w:after="0" w:line="240" w:lineRule="auto"/>
    </w:pPr>
    <w:rPr>
      <w:rFonts w:ascii="Calibri" w:hAnsi="Calibri" w:cs="Calibri"/>
      <w:sz w:val="20"/>
      <w:szCs w:val="20"/>
    </w:rPr>
  </w:style>
  <w:style w:type="character" w:customStyle="1" w:styleId="CommentTextChar">
    <w:name w:val="Comment Text Char"/>
    <w:basedOn w:val="DefaultParagraphFont"/>
    <w:link w:val="CommentText"/>
    <w:uiPriority w:val="99"/>
    <w:semiHidden/>
    <w:rsid w:val="00F94B2C"/>
    <w:rPr>
      <w:rFonts w:ascii="Calibri" w:hAnsi="Calibri" w:cs="Calibri"/>
      <w:sz w:val="20"/>
      <w:szCs w:val="20"/>
    </w:rPr>
  </w:style>
  <w:style w:type="paragraph" w:styleId="BalloonText">
    <w:name w:val="Balloon Text"/>
    <w:basedOn w:val="Normal"/>
    <w:link w:val="BalloonTextChar"/>
    <w:uiPriority w:val="99"/>
    <w:semiHidden/>
    <w:unhideWhenUsed/>
    <w:rsid w:val="00F94B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4B2C"/>
    <w:rPr>
      <w:rFonts w:ascii="Segoe UI" w:hAnsi="Segoe UI" w:cs="Segoe UI"/>
      <w:sz w:val="18"/>
      <w:szCs w:val="18"/>
    </w:rPr>
  </w:style>
  <w:style w:type="paragraph" w:customStyle="1" w:styleId="xmsonormal">
    <w:name w:val="x_msonormal"/>
    <w:basedOn w:val="Normal"/>
    <w:rsid w:val="00F94B2C"/>
    <w:pPr>
      <w:spacing w:after="0" w:line="240" w:lineRule="auto"/>
    </w:pPr>
    <w:rPr>
      <w:rFonts w:ascii="Calibri" w:hAnsi="Calibri" w:cs="Calibri"/>
    </w:rPr>
  </w:style>
  <w:style w:type="character" w:customStyle="1" w:styleId="Heading1Char">
    <w:name w:val="Heading 1 Char"/>
    <w:basedOn w:val="DefaultParagraphFont"/>
    <w:link w:val="Heading1"/>
    <w:uiPriority w:val="1"/>
    <w:rsid w:val="007249FA"/>
    <w:rPr>
      <w:rFonts w:ascii="Calibri" w:eastAsia="Calibri" w:hAnsi="Calibri" w:cs="Calibri"/>
      <w:b/>
      <w:bCs/>
      <w:u w:val="single" w:color="000000"/>
    </w:rPr>
  </w:style>
  <w:style w:type="paragraph" w:styleId="BodyText">
    <w:name w:val="Body Text"/>
    <w:basedOn w:val="Normal"/>
    <w:link w:val="BodyTextChar"/>
    <w:uiPriority w:val="1"/>
    <w:qFormat/>
    <w:rsid w:val="007249FA"/>
    <w:pPr>
      <w:widowControl w:val="0"/>
      <w:autoSpaceDE w:val="0"/>
      <w:autoSpaceDN w:val="0"/>
      <w:spacing w:after="0" w:line="240" w:lineRule="auto"/>
      <w:ind w:left="820" w:hanging="360"/>
    </w:pPr>
    <w:rPr>
      <w:rFonts w:ascii="Calibri" w:eastAsia="Calibri" w:hAnsi="Calibri" w:cs="Calibri"/>
    </w:rPr>
  </w:style>
  <w:style w:type="character" w:customStyle="1" w:styleId="BodyTextChar">
    <w:name w:val="Body Text Char"/>
    <w:basedOn w:val="DefaultParagraphFont"/>
    <w:link w:val="BodyText"/>
    <w:uiPriority w:val="1"/>
    <w:rsid w:val="007249FA"/>
    <w:rPr>
      <w:rFonts w:ascii="Calibri" w:eastAsia="Calibri" w:hAnsi="Calibri" w:cs="Calibri"/>
    </w:rPr>
  </w:style>
  <w:style w:type="paragraph" w:styleId="Title">
    <w:name w:val="Title"/>
    <w:basedOn w:val="Normal"/>
    <w:link w:val="TitleChar"/>
    <w:uiPriority w:val="1"/>
    <w:qFormat/>
    <w:rsid w:val="007249FA"/>
    <w:pPr>
      <w:widowControl w:val="0"/>
      <w:autoSpaceDE w:val="0"/>
      <w:autoSpaceDN w:val="0"/>
      <w:spacing w:before="52" w:after="0" w:line="293" w:lineRule="exact"/>
      <w:ind w:left="2584" w:right="2243"/>
      <w:jc w:val="center"/>
    </w:pPr>
    <w:rPr>
      <w:rFonts w:ascii="Calibri" w:eastAsia="Calibri" w:hAnsi="Calibri" w:cs="Calibri"/>
      <w:b/>
      <w:bCs/>
      <w:sz w:val="24"/>
      <w:szCs w:val="24"/>
    </w:rPr>
  </w:style>
  <w:style w:type="character" w:customStyle="1" w:styleId="TitleChar">
    <w:name w:val="Title Char"/>
    <w:basedOn w:val="DefaultParagraphFont"/>
    <w:link w:val="Title"/>
    <w:uiPriority w:val="1"/>
    <w:rsid w:val="007249FA"/>
    <w:rPr>
      <w:rFonts w:ascii="Calibri" w:eastAsia="Calibri" w:hAnsi="Calibri" w:cs="Calibri"/>
      <w:b/>
      <w:bCs/>
      <w:sz w:val="24"/>
      <w:szCs w:val="24"/>
    </w:rPr>
  </w:style>
  <w:style w:type="paragraph" w:styleId="CommentSubject">
    <w:name w:val="annotation subject"/>
    <w:basedOn w:val="CommentText"/>
    <w:next w:val="CommentText"/>
    <w:link w:val="CommentSubjectChar"/>
    <w:uiPriority w:val="99"/>
    <w:semiHidden/>
    <w:unhideWhenUsed/>
    <w:rsid w:val="007249FA"/>
    <w:pP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7249FA"/>
    <w:rPr>
      <w:rFonts w:ascii="Calibri" w:hAnsi="Calibri" w:cs="Calibri"/>
      <w:b/>
      <w:bCs/>
      <w:sz w:val="20"/>
      <w:szCs w:val="20"/>
    </w:rPr>
  </w:style>
  <w:style w:type="paragraph" w:styleId="Header">
    <w:name w:val="header"/>
    <w:basedOn w:val="Normal"/>
    <w:link w:val="HeaderChar"/>
    <w:uiPriority w:val="99"/>
    <w:unhideWhenUsed/>
    <w:rsid w:val="007249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49FA"/>
  </w:style>
  <w:style w:type="paragraph" w:styleId="Footer">
    <w:name w:val="footer"/>
    <w:basedOn w:val="Normal"/>
    <w:link w:val="FooterChar"/>
    <w:uiPriority w:val="99"/>
    <w:unhideWhenUsed/>
    <w:rsid w:val="007249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49FA"/>
  </w:style>
  <w:style w:type="table" w:styleId="TableGrid">
    <w:name w:val="Table Grid"/>
    <w:basedOn w:val="TableNormal"/>
    <w:uiPriority w:val="39"/>
    <w:rsid w:val="008C1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581434">
      <w:bodyDiv w:val="1"/>
      <w:marLeft w:val="0"/>
      <w:marRight w:val="0"/>
      <w:marTop w:val="0"/>
      <w:marBottom w:val="0"/>
      <w:divBdr>
        <w:top w:val="none" w:sz="0" w:space="0" w:color="auto"/>
        <w:left w:val="none" w:sz="0" w:space="0" w:color="auto"/>
        <w:bottom w:val="none" w:sz="0" w:space="0" w:color="auto"/>
        <w:right w:val="none" w:sz="0" w:space="0" w:color="auto"/>
      </w:divBdr>
    </w:div>
    <w:div w:id="732777077">
      <w:bodyDiv w:val="1"/>
      <w:marLeft w:val="0"/>
      <w:marRight w:val="0"/>
      <w:marTop w:val="0"/>
      <w:marBottom w:val="0"/>
      <w:divBdr>
        <w:top w:val="none" w:sz="0" w:space="0" w:color="auto"/>
        <w:left w:val="none" w:sz="0" w:space="0" w:color="auto"/>
        <w:bottom w:val="none" w:sz="0" w:space="0" w:color="auto"/>
        <w:right w:val="none" w:sz="0" w:space="0" w:color="auto"/>
      </w:divBdr>
    </w:div>
    <w:div w:id="921640352">
      <w:bodyDiv w:val="1"/>
      <w:marLeft w:val="0"/>
      <w:marRight w:val="0"/>
      <w:marTop w:val="0"/>
      <w:marBottom w:val="0"/>
      <w:divBdr>
        <w:top w:val="none" w:sz="0" w:space="0" w:color="auto"/>
        <w:left w:val="none" w:sz="0" w:space="0" w:color="auto"/>
        <w:bottom w:val="none" w:sz="0" w:space="0" w:color="auto"/>
        <w:right w:val="none" w:sz="0" w:space="0" w:color="auto"/>
      </w:divBdr>
    </w:div>
    <w:div w:id="1495150115">
      <w:bodyDiv w:val="1"/>
      <w:marLeft w:val="0"/>
      <w:marRight w:val="0"/>
      <w:marTop w:val="0"/>
      <w:marBottom w:val="0"/>
      <w:divBdr>
        <w:top w:val="none" w:sz="0" w:space="0" w:color="auto"/>
        <w:left w:val="none" w:sz="0" w:space="0" w:color="auto"/>
        <w:bottom w:val="none" w:sz="0" w:space="0" w:color="auto"/>
        <w:right w:val="none" w:sz="0" w:space="0" w:color="auto"/>
      </w:divBdr>
    </w:div>
    <w:div w:id="180684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SHIPTesting@hrsa.gov"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ruralcenter.org/ship/american-rescue-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A1CEED0F2A85418E44DCA59036C8FA" ma:contentTypeVersion="10" ma:contentTypeDescription="Create a new document." ma:contentTypeScope="" ma:versionID="27f875ddd3a32b8076f2b8cec9fe333a">
  <xsd:schema xmlns:xsd="http://www.w3.org/2001/XMLSchema" xmlns:xs="http://www.w3.org/2001/XMLSchema" xmlns:p="http://schemas.microsoft.com/office/2006/metadata/properties" xmlns:ns2="053a5afd-1424-405b-82d9-63deec7446f8" xmlns:ns3="c7d0ed18-d4ec-4450-b043-97ba750af715" targetNamespace="http://schemas.microsoft.com/office/2006/metadata/properties" ma:root="true" ma:fieldsID="3d976db84400d20b412d9e19f832eed3" ns2:_="" ns3:_="">
    <xsd:import namespace="053a5afd-1424-405b-82d9-63deec7446f8"/>
    <xsd:import namespace="c7d0ed18-d4ec-4450-b043-97ba750af715"/>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956400a-697c-479e-ba7a-93488a611975}" ma:internalName="TaxCatchAll" ma:showField="CatchAllData" ma:web="793d03b2-8864-480e-b538-9d5f88db1a4d">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b956400a-697c-479e-ba7a-93488a611975}" ma:internalName="TaxCatchAllLabel" ma:readOnly="true" ma:showField="CatchAllDataLabel" ma:web="793d03b2-8864-480e-b538-9d5f88db1a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7d0ed18-d4ec-4450-b043-97ba750af715"/>
    <_dlc_DocId xmlns="053a5afd-1424-405b-82d9-63deec7446f8">HRSA-15-373</_dlc_DocId>
    <_dlc_DocIdUrl xmlns="053a5afd-1424-405b-82d9-63deec7446f8">
      <Url>https://sharepoint.hrsa.gov/sites/ORHP/hsd/_layouts/15/DocIdRedir.aspx?ID=HRSA-15-373</Url>
      <Description>HRSA-15-373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13ff120d-8bd5-4291-a148-70db8d7e9204" ContentTypeId="0x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1B6C8-E636-4F46-922F-D5BB9047C403}"/>
</file>

<file path=customXml/itemProps2.xml><?xml version="1.0" encoding="utf-8"?>
<ds:datastoreItem xmlns:ds="http://schemas.openxmlformats.org/officeDocument/2006/customXml" ds:itemID="{0E84A3C2-F1E7-40B4-8932-D5D6AB5D7604}"/>
</file>

<file path=customXml/itemProps3.xml><?xml version="1.0" encoding="utf-8"?>
<ds:datastoreItem xmlns:ds="http://schemas.openxmlformats.org/officeDocument/2006/customXml" ds:itemID="{506B8A70-CB15-4C5C-ACE6-6918F3BA1AF4}"/>
</file>

<file path=customXml/itemProps4.xml><?xml version="1.0" encoding="utf-8"?>
<ds:datastoreItem xmlns:ds="http://schemas.openxmlformats.org/officeDocument/2006/customXml" ds:itemID="{F74450DD-A664-46B3-BD2E-0198ECB89064}"/>
</file>

<file path=customXml/itemProps5.xml><?xml version="1.0" encoding="utf-8"?>
<ds:datastoreItem xmlns:ds="http://schemas.openxmlformats.org/officeDocument/2006/customXml" ds:itemID="{17CC77DE-117A-4FE2-87EE-132B8EDAFCD4}"/>
</file>

<file path=customXml/itemProps6.xml><?xml version="1.0" encoding="utf-8"?>
<ds:datastoreItem xmlns:ds="http://schemas.openxmlformats.org/officeDocument/2006/customXml" ds:itemID="{36D4C5F0-73EA-442C-9CEC-09E58843777F}"/>
</file>

<file path=docProps/app.xml><?xml version="1.0" encoding="utf-8"?>
<Properties xmlns="http://schemas.openxmlformats.org/officeDocument/2006/extended-properties" xmlns:vt="http://schemas.openxmlformats.org/officeDocument/2006/docPropsVTypes">
  <Template>Normal</Template>
  <TotalTime>250</TotalTime>
  <Pages>5</Pages>
  <Words>1611</Words>
  <Characters>9187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10777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Leger, Jason (HRSA)</dc:creator>
  <cp:keywords/>
  <dc:description/>
  <cp:lastModifiedBy>Leger, Jason (HRSA)</cp:lastModifiedBy>
  <cp:revision>3</cp:revision>
  <dcterms:created xsi:type="dcterms:W3CDTF">2021-10-07T15:30:00Z</dcterms:created>
  <dcterms:modified xsi:type="dcterms:W3CDTF">2021-10-08T14:01:00Z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0x010100D7A1CEED0F2A85418E44DCA59036C8FA</vt:lpwstr>
  </property>
  <property fmtid="{D5CDD505-2E9C-101B-9397-08002B2CF9AE}" pid="3" name="_dlc_DocIdItemGuid">
    <vt:lpwstr>7f1c0274-e7c5-42a2-8021-2c0fab4988ff</vt:lpwstr>
  </property>
</Properties>
</file>