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23AEF" w14:textId="77777777"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452"/>
        <w:gridCol w:w="3861"/>
        <w:gridCol w:w="3863"/>
      </w:tblGrid>
      <w:tr w:rsidR="00525816" w:rsidRPr="000F268D" w14:paraId="0A48432C" w14:textId="77777777" w:rsidTr="00D61891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14:paraId="023BDA57" w14:textId="77777777"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14:paraId="4D33E44B" w14:textId="77777777"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5AC9DCED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14:paraId="0D2D4C1D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1DCDAA1C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14:paraId="7603C923" w14:textId="77777777"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14:paraId="374E1C5A" w14:textId="77777777" w:rsidTr="00D61891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14:paraId="1145A16A" w14:textId="77777777"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14:paraId="548B3511" w14:textId="77777777" w:rsidTr="00D61891">
        <w:trPr>
          <w:trHeight w:val="467"/>
          <w:jc w:val="center"/>
        </w:trPr>
        <w:tc>
          <w:tcPr>
            <w:tcW w:w="5000" w:type="pct"/>
            <w:gridSpan w:val="3"/>
          </w:tcPr>
          <w:p w14:paraId="4AA26F0D" w14:textId="571573E8" w:rsidR="00525816" w:rsidRPr="000F268D" w:rsidRDefault="00525816" w:rsidP="00095269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 w:rsidR="006E1153">
              <w:rPr>
                <w:i/>
                <w:szCs w:val="24"/>
              </w:rPr>
              <w:t xml:space="preserve"> </w:t>
            </w:r>
            <w:r w:rsidR="006E1153" w:rsidRPr="001C2A42">
              <w:t>Discuss procedures, capabilities and readiness of the whole community and recognize and respond to presentations by potential infectious disease patients.</w:t>
            </w:r>
            <w:r>
              <w:rPr>
                <w:i/>
                <w:szCs w:val="24"/>
              </w:rPr>
              <w:t xml:space="preserve">  </w:t>
            </w:r>
          </w:p>
        </w:tc>
      </w:tr>
      <w:tr w:rsidR="00525816" w:rsidRPr="000F268D" w14:paraId="23CB439C" w14:textId="77777777" w:rsidTr="00D61891">
        <w:trPr>
          <w:trHeight w:val="720"/>
          <w:jc w:val="center"/>
        </w:trPr>
        <w:tc>
          <w:tcPr>
            <w:tcW w:w="5000" w:type="pct"/>
            <w:gridSpan w:val="3"/>
          </w:tcPr>
          <w:p w14:paraId="7B7FA3DD" w14:textId="73D00134"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A85372">
              <w:rPr>
                <w:b/>
                <w:szCs w:val="24"/>
              </w:rPr>
              <w:t>Mass Care</w:t>
            </w:r>
          </w:p>
          <w:p w14:paraId="6ABE5B8E" w14:textId="515A7078" w:rsidR="00D93B9C" w:rsidRPr="00D93B9C" w:rsidRDefault="00A85372" w:rsidP="00A85372">
            <w:r>
              <w:t>Mass care is the ability to coordinate with partner agencies to address the public health, medical, and mental/behavioral health needs of those impacted by an incident at a congregate location. This capability includes the coordination of ongoing surveillance and assessment to ensure that health needs continue to be met as the incident evolves.</w:t>
            </w:r>
          </w:p>
        </w:tc>
      </w:tr>
      <w:tr w:rsidR="00525816" w:rsidRPr="000F268D" w14:paraId="38B9B5AA" w14:textId="77777777" w:rsidTr="00D61891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47ED7629" w14:textId="1DBB7A2B"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62FF6" w:rsidRPr="00562FF6">
              <w:rPr>
                <w:b/>
                <w:szCs w:val="24"/>
              </w:rPr>
              <w:t>Determine public health role in mass care operations</w:t>
            </w:r>
          </w:p>
          <w:p w14:paraId="7BDAEF76" w14:textId="54C8503B" w:rsidR="00525816" w:rsidRPr="000F268D" w:rsidRDefault="00525816" w:rsidP="00562FF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="00562FF6">
              <w:rPr>
                <w:szCs w:val="24"/>
              </w:rPr>
              <w:t xml:space="preserve">Discuss the activation of </w:t>
            </w:r>
            <w:r w:rsidR="00562FF6" w:rsidRPr="00562FF6">
              <w:rPr>
                <w:szCs w:val="24"/>
              </w:rPr>
              <w:t>pre-determined public health roles (e.g., population monitoring, environmental health</w:t>
            </w:r>
            <w:r w:rsidR="00562FF6">
              <w:rPr>
                <w:szCs w:val="24"/>
              </w:rPr>
              <w:t xml:space="preserve"> </w:t>
            </w:r>
            <w:r w:rsidR="00562FF6" w:rsidRPr="00562FF6">
              <w:rPr>
                <w:szCs w:val="24"/>
              </w:rPr>
              <w:t>and safety assessment, accessibility for populations with special needs, and need for</w:t>
            </w:r>
            <w:r w:rsidR="00562FF6">
              <w:rPr>
                <w:szCs w:val="24"/>
              </w:rPr>
              <w:t xml:space="preserve"> decontamination) needed in the </w:t>
            </w:r>
            <w:r w:rsidR="00562FF6" w:rsidRPr="00562FF6">
              <w:rPr>
                <w:szCs w:val="24"/>
              </w:rPr>
              <w:t>mass care response in coordination with Emergency Support Function #6 and #8 partners.</w:t>
            </w:r>
          </w:p>
          <w:p w14:paraId="5B647A6E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45C72AFF" w14:textId="77777777" w:rsidTr="00D61891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477AFD38" w14:textId="2433D2F5" w:rsidR="00525816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62FF6" w:rsidRPr="00562FF6">
              <w:rPr>
                <w:b/>
                <w:szCs w:val="24"/>
              </w:rPr>
              <w:t>Determine mass care needs of the impacted population</w:t>
            </w:r>
          </w:p>
          <w:p w14:paraId="643103DB" w14:textId="607A0CB3" w:rsidR="00562FF6" w:rsidRPr="000F268D" w:rsidRDefault="00562FF6" w:rsidP="0087621C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="0087621C">
              <w:rPr>
                <w:szCs w:val="24"/>
              </w:rPr>
              <w:t xml:space="preserve">Discuss the coordination </w:t>
            </w:r>
            <w:r w:rsidR="0087621C" w:rsidRPr="0087621C">
              <w:rPr>
                <w:szCs w:val="24"/>
              </w:rPr>
              <w:t>with response partners to utilize pre-existing jurisdictional risk assessment,</w:t>
            </w:r>
            <w:r w:rsidR="0087621C">
              <w:rPr>
                <w:szCs w:val="24"/>
              </w:rPr>
              <w:t xml:space="preserve"> </w:t>
            </w:r>
            <w:r w:rsidR="0087621C" w:rsidRPr="0087621C">
              <w:rPr>
                <w:szCs w:val="24"/>
              </w:rPr>
              <w:t>environmental data, and health demographic data to identify population health ne</w:t>
            </w:r>
            <w:r w:rsidR="0087621C">
              <w:rPr>
                <w:szCs w:val="24"/>
              </w:rPr>
              <w:t xml:space="preserve">eds in the area impacted by the </w:t>
            </w:r>
            <w:r w:rsidR="0087621C" w:rsidRPr="0087621C">
              <w:rPr>
                <w:szCs w:val="24"/>
              </w:rPr>
              <w:t>incident.</w:t>
            </w:r>
          </w:p>
          <w:p w14:paraId="476DDB0D" w14:textId="66A08442" w:rsidR="00562FF6" w:rsidRPr="0087621C" w:rsidRDefault="00562FF6" w:rsidP="0087621C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="0087621C" w:rsidRPr="0087621C">
              <w:rPr>
                <w:szCs w:val="24"/>
              </w:rPr>
              <w:t xml:space="preserve">Discuss the coordination </w:t>
            </w:r>
            <w:r w:rsidR="0087621C" w:rsidRPr="0087621C">
              <w:rPr>
                <w:rFonts w:eastAsia="Times New Roman"/>
                <w:szCs w:val="24"/>
              </w:rPr>
              <w:t>with response partners to complete a facility-specific environmental health and safety assessment of the selected or potential congregate locations.</w:t>
            </w:r>
          </w:p>
          <w:p w14:paraId="5C794A2D" w14:textId="5FB1E554" w:rsidR="00562FF6" w:rsidRPr="0087621C" w:rsidRDefault="00562FF6" w:rsidP="0087621C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0F268D">
              <w:rPr>
                <w:i/>
                <w:szCs w:val="24"/>
              </w:rPr>
              <w:t xml:space="preserve">Critical Task: </w:t>
            </w:r>
            <w:r w:rsidR="0087621C" w:rsidRPr="0087621C">
              <w:rPr>
                <w:szCs w:val="24"/>
              </w:rPr>
              <w:t xml:space="preserve">Discuss the coordination </w:t>
            </w:r>
            <w:r w:rsidR="0087621C" w:rsidRPr="0087621C">
              <w:rPr>
                <w:rFonts w:eastAsia="Times New Roman"/>
                <w:szCs w:val="24"/>
              </w:rPr>
              <w:t>with partner agencies to assure food and water safety inspections at congregate locations</w:t>
            </w:r>
            <w:r w:rsidR="0087621C">
              <w:rPr>
                <w:rFonts w:eastAsia="Times New Roman"/>
                <w:szCs w:val="24"/>
              </w:rPr>
              <w:t>.</w:t>
            </w:r>
          </w:p>
          <w:p w14:paraId="1B27E2B5" w14:textId="726D21AD" w:rsidR="00562FF6" w:rsidRPr="0087621C" w:rsidRDefault="00562FF6" w:rsidP="0087621C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</w:t>
            </w:r>
            <w:r w:rsidR="0087621C" w:rsidRPr="0087621C">
              <w:rPr>
                <w:szCs w:val="24"/>
              </w:rPr>
              <w:t>Discuss the coordination with partners to assure health screening of the population registering at congregate locations.</w:t>
            </w:r>
          </w:p>
          <w:p w14:paraId="09CAD7D8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258DFB42" w14:textId="77777777" w:rsidTr="00D61891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04C954F4" w14:textId="4D8CC439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62FF6" w:rsidRPr="00562FF6">
              <w:rPr>
                <w:b/>
                <w:szCs w:val="24"/>
              </w:rPr>
              <w:t>Coordinate public health, medical, and mental/behavioral health services</w:t>
            </w:r>
          </w:p>
          <w:p w14:paraId="2E9BD65F" w14:textId="71419BBD" w:rsidR="00562FF6" w:rsidRPr="000F268D" w:rsidRDefault="00562FF6" w:rsidP="006F344A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="006F344A" w:rsidRPr="0087621C">
              <w:rPr>
                <w:szCs w:val="24"/>
              </w:rPr>
              <w:t>Discuss the coordination</w:t>
            </w:r>
            <w:r w:rsidR="006F344A">
              <w:rPr>
                <w:szCs w:val="24"/>
              </w:rPr>
              <w:t xml:space="preserve"> </w:t>
            </w:r>
            <w:r w:rsidR="006F344A" w:rsidRPr="006F344A">
              <w:rPr>
                <w:szCs w:val="24"/>
              </w:rPr>
              <w:t>with healthcare partners to assure medical and me</w:t>
            </w:r>
            <w:r w:rsidR="006F344A">
              <w:rPr>
                <w:szCs w:val="24"/>
              </w:rPr>
              <w:t xml:space="preserve">ntal/behavioral health services </w:t>
            </w:r>
            <w:r w:rsidR="006F344A" w:rsidRPr="006F344A">
              <w:rPr>
                <w:szCs w:val="24"/>
              </w:rPr>
              <w:t>are accessible at or through congregate locations.</w:t>
            </w:r>
          </w:p>
          <w:p w14:paraId="2B7BD1A8" w14:textId="4A33C904" w:rsidR="00562FF6" w:rsidRPr="006F344A" w:rsidRDefault="00562FF6" w:rsidP="006F344A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="006F344A" w:rsidRPr="0087621C">
              <w:rPr>
                <w:szCs w:val="24"/>
              </w:rPr>
              <w:t>Discuss the coordination</w:t>
            </w:r>
            <w:r w:rsidR="006F344A">
              <w:rPr>
                <w:szCs w:val="24"/>
              </w:rPr>
              <w:t xml:space="preserve"> </w:t>
            </w:r>
            <w:r w:rsidR="006F344A" w:rsidRPr="006F344A">
              <w:rPr>
                <w:szCs w:val="24"/>
              </w:rPr>
              <w:t>with providers to facilitate access to medic</w:t>
            </w:r>
            <w:r w:rsidR="006F344A">
              <w:rPr>
                <w:szCs w:val="24"/>
              </w:rPr>
              <w:t xml:space="preserve">ation and assistive devices for </w:t>
            </w:r>
            <w:r w:rsidR="006F344A" w:rsidRPr="006F344A">
              <w:rPr>
                <w:szCs w:val="24"/>
              </w:rPr>
              <w:t>individuals impacted by the incident.</w:t>
            </w:r>
          </w:p>
          <w:p w14:paraId="4826D706" w14:textId="6A92DB2D" w:rsidR="00562FF6" w:rsidRPr="000F268D" w:rsidRDefault="00562FF6" w:rsidP="006F344A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</w:t>
            </w:r>
            <w:r w:rsidR="006F344A" w:rsidRPr="0087621C">
              <w:rPr>
                <w:szCs w:val="24"/>
              </w:rPr>
              <w:t>Discuss the coordination</w:t>
            </w:r>
            <w:r w:rsidR="006F344A">
              <w:rPr>
                <w:szCs w:val="24"/>
              </w:rPr>
              <w:t xml:space="preserve"> </w:t>
            </w:r>
            <w:r w:rsidR="006F344A" w:rsidRPr="006F344A">
              <w:rPr>
                <w:szCs w:val="24"/>
              </w:rPr>
              <w:t xml:space="preserve">with jurisdictional </w:t>
            </w:r>
            <w:proofErr w:type="spellStart"/>
            <w:r w:rsidR="006F344A" w:rsidRPr="006F344A">
              <w:rPr>
                <w:szCs w:val="24"/>
              </w:rPr>
              <w:t>HazMat</w:t>
            </w:r>
            <w:proofErr w:type="spellEnd"/>
            <w:r w:rsidR="006F344A" w:rsidRPr="006F344A">
              <w:rPr>
                <w:szCs w:val="24"/>
              </w:rPr>
              <w:t xml:space="preserve"> resources or other lead agency to assure</w:t>
            </w:r>
            <w:r w:rsidR="006F344A">
              <w:rPr>
                <w:szCs w:val="24"/>
              </w:rPr>
              <w:t xml:space="preserve"> </w:t>
            </w:r>
            <w:r w:rsidR="006F344A" w:rsidRPr="006F344A">
              <w:rPr>
                <w:szCs w:val="24"/>
              </w:rPr>
              <w:t>provision of population monitoring and decontamination services, including the estab</w:t>
            </w:r>
            <w:r w:rsidR="006F344A">
              <w:rPr>
                <w:szCs w:val="24"/>
              </w:rPr>
              <w:t xml:space="preserve">lishment of tracking systems of </w:t>
            </w:r>
            <w:r w:rsidR="006F344A" w:rsidRPr="006F344A">
              <w:rPr>
                <w:szCs w:val="24"/>
              </w:rPr>
              <w:t xml:space="preserve">contaminated or possibly contaminated </w:t>
            </w:r>
            <w:r w:rsidR="006F344A" w:rsidRPr="006F344A">
              <w:rPr>
                <w:szCs w:val="24"/>
              </w:rPr>
              <w:lastRenderedPageBreak/>
              <w:t>(e.g., radiological, nuclear, or chemical) individuals who may enter congregate</w:t>
            </w:r>
            <w:r w:rsidR="006F344A">
              <w:rPr>
                <w:szCs w:val="24"/>
              </w:rPr>
              <w:t xml:space="preserve"> </w:t>
            </w:r>
            <w:r w:rsidR="006F344A" w:rsidRPr="006F344A">
              <w:rPr>
                <w:szCs w:val="24"/>
              </w:rPr>
              <w:t>locations.</w:t>
            </w:r>
          </w:p>
          <w:p w14:paraId="5937BD2B" w14:textId="215EC261" w:rsidR="006F344A" w:rsidRDefault="006F344A" w:rsidP="00562FF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Critical Task: </w:t>
            </w:r>
            <w:r w:rsidRPr="006F344A">
              <w:rPr>
                <w:szCs w:val="24"/>
              </w:rPr>
              <w:t>Discuss the dissemination and promotion of accessible information regarding available mass care health services to the public</w:t>
            </w:r>
            <w:r w:rsidRPr="006F344A">
              <w:rPr>
                <w:i/>
                <w:szCs w:val="24"/>
              </w:rPr>
              <w:t>.</w:t>
            </w:r>
          </w:p>
          <w:p w14:paraId="1513D57A" w14:textId="7BBF515E" w:rsidR="00562FF6" w:rsidRDefault="00562FF6" w:rsidP="00562FF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</w:t>
            </w:r>
            <w:r w:rsidR="006F344A" w:rsidRPr="0087621C">
              <w:rPr>
                <w:szCs w:val="24"/>
              </w:rPr>
              <w:t>Discuss the coordination</w:t>
            </w:r>
            <w:r w:rsidR="006F344A">
              <w:rPr>
                <w:szCs w:val="24"/>
              </w:rPr>
              <w:t xml:space="preserve"> </w:t>
            </w:r>
            <w:r w:rsidR="006F344A" w:rsidRPr="006F344A">
              <w:rPr>
                <w:szCs w:val="24"/>
              </w:rPr>
              <w:t>with agencies to accommodate and provide care (e.g., medical care, essential needs, and decontamination) for service animals with</w:t>
            </w:r>
            <w:r w:rsidR="006F344A">
              <w:rPr>
                <w:szCs w:val="24"/>
              </w:rPr>
              <w:t>in general shelter populations.</w:t>
            </w:r>
          </w:p>
          <w:p w14:paraId="3BE4968D" w14:textId="77777777" w:rsidR="006F344A" w:rsidRPr="006F344A" w:rsidRDefault="006F344A" w:rsidP="006F344A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</w:t>
            </w:r>
            <w:r w:rsidRPr="0087621C">
              <w:rPr>
                <w:szCs w:val="24"/>
              </w:rPr>
              <w:t>Discuss the coordination</w:t>
            </w:r>
            <w:r>
              <w:rPr>
                <w:szCs w:val="24"/>
              </w:rPr>
              <w:t xml:space="preserve"> </w:t>
            </w:r>
            <w:r w:rsidRPr="006F344A">
              <w:rPr>
                <w:szCs w:val="24"/>
              </w:rPr>
              <w:t>with partner agencies in coordinating the location of human sheltering efforts with household pet sheltering efforts.</w:t>
            </w:r>
          </w:p>
          <w:p w14:paraId="69A6B8E4" w14:textId="6119D6A5" w:rsidR="006F344A" w:rsidRPr="006F344A" w:rsidRDefault="006F344A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</w:t>
            </w:r>
            <w:r w:rsidRPr="0087621C">
              <w:rPr>
                <w:szCs w:val="24"/>
              </w:rPr>
              <w:t>Discuss the coordination</w:t>
            </w:r>
            <w:r>
              <w:rPr>
                <w:szCs w:val="24"/>
              </w:rPr>
              <w:t xml:space="preserve"> </w:t>
            </w:r>
            <w:r w:rsidRPr="006F344A">
              <w:rPr>
                <w:szCs w:val="24"/>
              </w:rPr>
              <w:t>with</w:t>
            </w:r>
            <w:r>
              <w:rPr>
                <w:szCs w:val="24"/>
              </w:rPr>
              <w:t xml:space="preserve"> </w:t>
            </w:r>
            <w:r w:rsidRPr="006F344A">
              <w:rPr>
                <w:szCs w:val="24"/>
              </w:rPr>
              <w:t>emergency medical services, local, state, tribal, and federal health agencies, emergency management agencies, state hospital associations, social services, and participating non-governmental organizations to return individuals displaced by the incident to their pre-incident medical environment (e.g., prior medical care provider, skilled nursing facility, or place of residence) or other applicable medical setting.</w:t>
            </w:r>
          </w:p>
          <w:p w14:paraId="026987DE" w14:textId="3AD071B3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095269" w:rsidRPr="000F268D" w14:paraId="6BF2CBE0" w14:textId="77777777" w:rsidTr="00D61891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75B86908" w14:textId="77777777" w:rsidR="00562FF6" w:rsidRPr="00562FF6" w:rsidRDefault="00562FF6" w:rsidP="00562FF6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b/>
                <w:szCs w:val="24"/>
              </w:rPr>
              <w:lastRenderedPageBreak/>
              <w:t>Organizational Capability</w:t>
            </w:r>
            <w:r w:rsidRPr="000F268D">
              <w:rPr>
                <w:b/>
                <w:szCs w:val="24"/>
              </w:rPr>
              <w:t xml:space="preserve"> Target</w:t>
            </w:r>
            <w:r>
              <w:rPr>
                <w:b/>
                <w:szCs w:val="24"/>
              </w:rPr>
              <w:t xml:space="preserve"> 4: </w:t>
            </w:r>
            <w:r w:rsidRPr="00562FF6">
              <w:rPr>
                <w:rFonts w:ascii="Times" w:eastAsia="Times New Roman" w:hAnsi="Times"/>
                <w:b/>
                <w:szCs w:val="24"/>
              </w:rPr>
              <w:t>Monitor mass care population health</w:t>
            </w:r>
          </w:p>
          <w:p w14:paraId="4C5D10B3" w14:textId="62398735" w:rsidR="00562FF6" w:rsidRPr="000F268D" w:rsidRDefault="00562FF6" w:rsidP="00562FF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="00641612" w:rsidRPr="0087621C">
              <w:rPr>
                <w:szCs w:val="24"/>
              </w:rPr>
              <w:t>Discuss the coordination</w:t>
            </w:r>
            <w:r w:rsidR="00641612">
              <w:rPr>
                <w:szCs w:val="24"/>
              </w:rPr>
              <w:t xml:space="preserve"> </w:t>
            </w:r>
            <w:r w:rsidR="00641612" w:rsidRPr="006F344A">
              <w:rPr>
                <w:szCs w:val="24"/>
              </w:rPr>
              <w:t>with</w:t>
            </w:r>
            <w:r w:rsidR="00641612">
              <w:rPr>
                <w:szCs w:val="24"/>
              </w:rPr>
              <w:t xml:space="preserve"> </w:t>
            </w:r>
            <w:r w:rsidR="00641612" w:rsidRPr="00641612">
              <w:rPr>
                <w:szCs w:val="24"/>
              </w:rPr>
              <w:t>partner agencies, monitor facility-specific environmental health and safety, including screening for contamination (e.g., radiological, nuclear, biological, or chemical), and assure any identified deficiencies are corrected.</w:t>
            </w:r>
          </w:p>
          <w:p w14:paraId="295692BF" w14:textId="42DA1F9C" w:rsidR="00562FF6" w:rsidRPr="00641612" w:rsidRDefault="00562FF6" w:rsidP="00641612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="00641612">
              <w:rPr>
                <w:i/>
                <w:szCs w:val="24"/>
              </w:rPr>
              <w:t xml:space="preserve"> </w:t>
            </w:r>
            <w:r w:rsidR="00641612" w:rsidRPr="00641612">
              <w:rPr>
                <w:szCs w:val="24"/>
              </w:rPr>
              <w:t>Discuss surveillance at congregate locations to identify cases of illness, injury, and exposure within mass care populations.</w:t>
            </w:r>
            <w:r w:rsidRPr="00641612">
              <w:rPr>
                <w:szCs w:val="24"/>
              </w:rPr>
              <w:t xml:space="preserve">  </w:t>
            </w:r>
          </w:p>
          <w:p w14:paraId="79487C8E" w14:textId="5C722C7C" w:rsidR="00562FF6" w:rsidRPr="00641612" w:rsidRDefault="00562FF6" w:rsidP="00641612">
            <w:pPr>
              <w:spacing w:before="60" w:after="60"/>
              <w:rPr>
                <w:szCs w:val="24"/>
              </w:rPr>
            </w:pPr>
            <w:r w:rsidRPr="00641612">
              <w:rPr>
                <w:szCs w:val="24"/>
              </w:rPr>
              <w:t xml:space="preserve">Critical Task: </w:t>
            </w:r>
            <w:r w:rsidR="00641612">
              <w:rPr>
                <w:szCs w:val="24"/>
              </w:rPr>
              <w:t>I</w:t>
            </w:r>
            <w:r w:rsidR="00641612" w:rsidRPr="00641612">
              <w:rPr>
                <w:szCs w:val="24"/>
              </w:rPr>
              <w:t>dentify updated health needs as part of the agency’s/jurisdictional situational awareness update, and</w:t>
            </w:r>
            <w:r w:rsidR="00641612">
              <w:rPr>
                <w:szCs w:val="24"/>
              </w:rPr>
              <w:t xml:space="preserve"> </w:t>
            </w:r>
            <w:r w:rsidR="00641612" w:rsidRPr="00641612">
              <w:rPr>
                <w:szCs w:val="24"/>
              </w:rPr>
              <w:t>refer those updates through the public health incident management system for additional local, state, regional, or fed</w:t>
            </w:r>
            <w:r w:rsidR="00641612">
              <w:rPr>
                <w:szCs w:val="24"/>
              </w:rPr>
              <w:t xml:space="preserve">eral </w:t>
            </w:r>
            <w:r w:rsidR="00641612" w:rsidRPr="00641612">
              <w:rPr>
                <w:szCs w:val="24"/>
              </w:rPr>
              <w:t>assistance as necessary.</w:t>
            </w:r>
          </w:p>
          <w:p w14:paraId="6CDF4540" w14:textId="7E38D602" w:rsidR="00562FF6" w:rsidRPr="00641612" w:rsidRDefault="00562FF6" w:rsidP="00641612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</w:t>
            </w:r>
            <w:r w:rsidR="00641612" w:rsidRPr="00641612">
              <w:rPr>
                <w:szCs w:val="24"/>
              </w:rPr>
              <w:t>Discuss the de-escalation health response as appropriate to the mass care situation, including creating and executing a health resource demobilization plan.</w:t>
            </w:r>
          </w:p>
          <w:p w14:paraId="535E83CA" w14:textId="4C709738" w:rsidR="00095269" w:rsidRDefault="00562FF6" w:rsidP="00562FF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14:paraId="52ECE1E1" w14:textId="77777777"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64A2497B" w14:textId="77777777"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43"/>
        <w:gridCol w:w="3460"/>
        <w:gridCol w:w="6506"/>
        <w:gridCol w:w="1067"/>
      </w:tblGrid>
      <w:tr w:rsidR="00EA133A" w:rsidRPr="006335A3" w14:paraId="70E8CA10" w14:textId="77777777" w:rsidTr="00D61891">
        <w:trPr>
          <w:jc w:val="center"/>
        </w:trPr>
        <w:tc>
          <w:tcPr>
            <w:tcW w:w="813" w:type="pct"/>
            <w:shd w:val="clear" w:color="auto" w:fill="003366"/>
            <w:vAlign w:val="center"/>
          </w:tcPr>
          <w:p w14:paraId="40E9DE3B" w14:textId="77777777"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1313" w:type="pct"/>
            <w:shd w:val="clear" w:color="auto" w:fill="003366"/>
            <w:vAlign w:val="center"/>
          </w:tcPr>
          <w:p w14:paraId="66FF6283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2469" w:type="pct"/>
            <w:shd w:val="clear" w:color="auto" w:fill="003366"/>
            <w:vAlign w:val="center"/>
          </w:tcPr>
          <w:p w14:paraId="6E7316B3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14:paraId="503ACC6F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406" w:type="pct"/>
            <w:shd w:val="clear" w:color="auto" w:fill="003366"/>
          </w:tcPr>
          <w:p w14:paraId="7AC19E74" w14:textId="77777777"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14:paraId="0DE58D82" w14:textId="77777777" w:rsidTr="00D61891">
        <w:trPr>
          <w:trHeight w:val="2160"/>
          <w:jc w:val="center"/>
        </w:trPr>
        <w:tc>
          <w:tcPr>
            <w:tcW w:w="813" w:type="pct"/>
          </w:tcPr>
          <w:p w14:paraId="2D9CC6D1" w14:textId="77777777"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14:paraId="72841544" w14:textId="77777777"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1313" w:type="pct"/>
          </w:tcPr>
          <w:p w14:paraId="5030CDA2" w14:textId="77777777"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2469" w:type="pct"/>
          </w:tcPr>
          <w:p w14:paraId="7B4DAA79" w14:textId="77777777"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6D91D000" w14:textId="77777777"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60E79ABE" w14:textId="77777777" w:rsidTr="00D61891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3A72714B" w14:textId="77777777"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14:paraId="53712582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36B8CF35" w14:textId="77777777"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2469" w:type="pct"/>
          </w:tcPr>
          <w:p w14:paraId="6AF1FC11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606013E1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C10983" w:rsidRPr="000F268D" w14:paraId="4774DF96" w14:textId="77777777" w:rsidTr="00D61891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0EAD6964" w14:textId="77777777" w:rsidR="00C10983" w:rsidRPr="000F268D" w:rsidRDefault="00C10983" w:rsidP="001A6EE7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>[Insert Organizational Capability Target 3 from page 1]</w:t>
            </w:r>
          </w:p>
          <w:p w14:paraId="41D2FB0C" w14:textId="77777777" w:rsidR="00C10983" w:rsidRDefault="00C10983" w:rsidP="00644FEE">
            <w:pPr>
              <w:rPr>
                <w:szCs w:val="24"/>
                <w:highlight w:val="lightGray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55F5CA1C" w14:textId="2DB0CAD7" w:rsidR="00C10983" w:rsidRPr="00452029" w:rsidRDefault="00C10983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  <w:highlight w:val="lightGray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2469" w:type="pct"/>
          </w:tcPr>
          <w:p w14:paraId="51576A57" w14:textId="77777777" w:rsidR="00C10983" w:rsidRPr="000F268D" w:rsidRDefault="00C10983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2197611A" w14:textId="77777777" w:rsidR="00C10983" w:rsidRPr="000F268D" w:rsidRDefault="00C10983" w:rsidP="008D3B07">
            <w:pPr>
              <w:jc w:val="center"/>
              <w:rPr>
                <w:b/>
                <w:szCs w:val="24"/>
              </w:rPr>
            </w:pPr>
          </w:p>
        </w:tc>
      </w:tr>
      <w:tr w:rsidR="00C10983" w:rsidRPr="000F268D" w14:paraId="5F323F4E" w14:textId="77777777" w:rsidTr="00D61891">
        <w:trPr>
          <w:trHeight w:val="530"/>
          <w:jc w:val="center"/>
        </w:trPr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EC27B" w14:textId="77777777" w:rsidR="00C10983" w:rsidRDefault="00C10983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47CD4F" w14:textId="77777777" w:rsidR="00C10983" w:rsidRPr="00452029" w:rsidRDefault="00C10983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246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9C4DCD" w14:textId="77777777" w:rsidR="00C10983" w:rsidRPr="00FF08C1" w:rsidRDefault="00C10983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Final Core Capability Rating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14:paraId="0A61A637" w14:textId="77777777" w:rsidR="00C10983" w:rsidRPr="000F268D" w:rsidRDefault="00C10983" w:rsidP="008D3B07">
            <w:pPr>
              <w:jc w:val="center"/>
              <w:rPr>
                <w:b/>
                <w:szCs w:val="24"/>
              </w:rPr>
            </w:pPr>
          </w:p>
        </w:tc>
      </w:tr>
    </w:tbl>
    <w:p w14:paraId="25B37D70" w14:textId="77777777" w:rsidR="00D4020E" w:rsidRDefault="00D4020E">
      <w:pPr>
        <w:rPr>
          <w:szCs w:val="24"/>
        </w:rPr>
      </w:pPr>
    </w:p>
    <w:p w14:paraId="71DFECF4" w14:textId="77777777"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692407B" w14:textId="77777777"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14:paraId="2B39DA40" w14:textId="77777777" w:rsidTr="00955F17">
        <w:tc>
          <w:tcPr>
            <w:tcW w:w="5652" w:type="dxa"/>
            <w:shd w:val="clear" w:color="auto" w:fill="003366"/>
            <w:vAlign w:val="center"/>
          </w:tcPr>
          <w:p w14:paraId="23C081A2" w14:textId="77777777"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14:paraId="12B62F20" w14:textId="77777777" w:rsidTr="00955F17">
        <w:trPr>
          <w:trHeight w:val="1042"/>
        </w:trPr>
        <w:tc>
          <w:tcPr>
            <w:tcW w:w="5652" w:type="dxa"/>
            <w:vAlign w:val="center"/>
          </w:tcPr>
          <w:p w14:paraId="65769E24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14:paraId="129DC391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14:paraId="49644826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14:paraId="2730B5AB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14:paraId="723A9578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14:paraId="4C851B4C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14:paraId="29751272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14:paraId="0B515F1B" w14:textId="77777777" w:rsidR="00525816" w:rsidRDefault="00525816" w:rsidP="00955F17">
      <w:pPr>
        <w:rPr>
          <w:szCs w:val="24"/>
        </w:rPr>
        <w:sectPr w:rsidR="00525816" w:rsidSect="00FB101F">
          <w:footerReference w:type="default" r:id="rId15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4BBA516B" w14:textId="77777777" w:rsidR="006335A3" w:rsidRDefault="006335A3" w:rsidP="00955F17">
      <w:pPr>
        <w:rPr>
          <w:szCs w:val="24"/>
        </w:rPr>
      </w:pPr>
    </w:p>
    <w:p w14:paraId="45D26211" w14:textId="77777777"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14:paraId="33090B1B" w14:textId="77777777"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14:paraId="78C7B9C2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7CFBD7FB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14:paraId="6499BBD5" w14:textId="77777777"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14:paraId="5516AFB3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12E5073" w14:textId="77777777"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14:paraId="08D100C1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14:paraId="0ED8AD26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625F39B8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14:paraId="7A3643EC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14:paraId="66DA1917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9773A63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14:paraId="5E07A88D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58016876" w14:textId="77777777"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6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F0239" w14:textId="77777777" w:rsidR="00C737F2" w:rsidRDefault="00C737F2" w:rsidP="00955F17">
      <w:r>
        <w:separator/>
      </w:r>
    </w:p>
  </w:endnote>
  <w:endnote w:type="continuationSeparator" w:id="0">
    <w:p w14:paraId="0AFEF9EC" w14:textId="77777777"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8685A" w14:textId="77777777" w:rsidR="00FE5E54" w:rsidRDefault="00FE5E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B4468" w14:textId="36017D50"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bookmarkStart w:id="0" w:name="_GoBack"/>
    <w:bookmarkEnd w:id="0"/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193C2F50" w14:textId="61708DEC" w:rsidR="00C737F2" w:rsidRPr="00C737F2" w:rsidRDefault="00C737F2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C0D8C" w14:textId="77777777" w:rsidR="00FE5E54" w:rsidRDefault="00FE5E54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26EA8" w14:textId="77777777"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22BC0557" w14:textId="77777777"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4789D" w14:textId="77777777"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35E3CADF" w14:textId="77777777"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1604B" w14:textId="77777777" w:rsidR="00C737F2" w:rsidRDefault="00C737F2" w:rsidP="00955F17">
      <w:r>
        <w:separator/>
      </w:r>
    </w:p>
  </w:footnote>
  <w:footnote w:type="continuationSeparator" w:id="0">
    <w:p w14:paraId="5643953E" w14:textId="77777777" w:rsidR="00C737F2" w:rsidRDefault="00C737F2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EC54F" w14:textId="77777777" w:rsidR="00FE5E54" w:rsidRDefault="00FE5E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B8CA7" w14:textId="77777777" w:rsidR="00FE5E54" w:rsidRDefault="00FE5E5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3B046" w14:textId="77777777" w:rsidR="00FE5E54" w:rsidRDefault="00FE5E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95269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B395F"/>
    <w:rsid w:val="002D6F07"/>
    <w:rsid w:val="002E0111"/>
    <w:rsid w:val="002E7D11"/>
    <w:rsid w:val="00305B86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C3BB5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562FF6"/>
    <w:rsid w:val="006335A3"/>
    <w:rsid w:val="00637663"/>
    <w:rsid w:val="00641612"/>
    <w:rsid w:val="00644776"/>
    <w:rsid w:val="00644FEE"/>
    <w:rsid w:val="00656C05"/>
    <w:rsid w:val="006739E1"/>
    <w:rsid w:val="006776F9"/>
    <w:rsid w:val="00681319"/>
    <w:rsid w:val="0069017F"/>
    <w:rsid w:val="00690875"/>
    <w:rsid w:val="006A073E"/>
    <w:rsid w:val="006A24BD"/>
    <w:rsid w:val="006A62E4"/>
    <w:rsid w:val="006C4257"/>
    <w:rsid w:val="006C6F5E"/>
    <w:rsid w:val="006D410D"/>
    <w:rsid w:val="006E1153"/>
    <w:rsid w:val="006E346E"/>
    <w:rsid w:val="006F2B2F"/>
    <w:rsid w:val="006F344A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4C46"/>
    <w:rsid w:val="0087621C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85372"/>
    <w:rsid w:val="00A91347"/>
    <w:rsid w:val="00A95616"/>
    <w:rsid w:val="00A97B28"/>
    <w:rsid w:val="00AB651F"/>
    <w:rsid w:val="00AE3828"/>
    <w:rsid w:val="00B34F28"/>
    <w:rsid w:val="00B95816"/>
    <w:rsid w:val="00BA5844"/>
    <w:rsid w:val="00BB2577"/>
    <w:rsid w:val="00BE2B8C"/>
    <w:rsid w:val="00BE55D8"/>
    <w:rsid w:val="00C01FE1"/>
    <w:rsid w:val="00C10983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58AC"/>
    <w:rsid w:val="00CC7E2F"/>
    <w:rsid w:val="00D4020E"/>
    <w:rsid w:val="00D61891"/>
    <w:rsid w:val="00D77C34"/>
    <w:rsid w:val="00D93B9C"/>
    <w:rsid w:val="00DA7AE6"/>
    <w:rsid w:val="00DB72DC"/>
    <w:rsid w:val="00DD3050"/>
    <w:rsid w:val="00DE345E"/>
    <w:rsid w:val="00DE36A0"/>
    <w:rsid w:val="00E132C0"/>
    <w:rsid w:val="00E17DBC"/>
    <w:rsid w:val="00E21682"/>
    <w:rsid w:val="00E47F19"/>
    <w:rsid w:val="00EA133A"/>
    <w:rsid w:val="00ED02ED"/>
    <w:rsid w:val="00F133CC"/>
    <w:rsid w:val="00F33B67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E5E54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D2F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84A3-3728-134F-8EB3-6B9867AB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1097</Words>
  <Characters>6256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Kasey Parr</cp:lastModifiedBy>
  <cp:revision>11</cp:revision>
  <cp:lastPrinted>2013-03-29T20:22:00Z</cp:lastPrinted>
  <dcterms:created xsi:type="dcterms:W3CDTF">2016-01-19T15:10:00Z</dcterms:created>
  <dcterms:modified xsi:type="dcterms:W3CDTF">2016-03-17T19:50:00Z</dcterms:modified>
</cp:coreProperties>
</file>