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AD" w:rsidRDefault="00E303AD" w:rsidP="00E303AD">
      <w:pPr>
        <w:pStyle w:val="NoSpacing"/>
        <w:jc w:val="center"/>
        <w:rPr>
          <w:b/>
        </w:rPr>
      </w:pPr>
      <w:bookmarkStart w:id="0" w:name="_GoBack"/>
      <w:bookmarkEnd w:id="0"/>
      <w:r w:rsidRPr="00C96C6F">
        <w:rPr>
          <w:b/>
        </w:rPr>
        <w:t xml:space="preserve">VDH Partner Call, </w:t>
      </w:r>
      <w:r>
        <w:rPr>
          <w:b/>
        </w:rPr>
        <w:t xml:space="preserve">10:00, </w:t>
      </w:r>
      <w:r w:rsidRPr="00C96C6F">
        <w:rPr>
          <w:b/>
        </w:rPr>
        <w:t>28 Aug 2020:</w:t>
      </w:r>
    </w:p>
    <w:p w:rsidR="00E303AD" w:rsidRPr="00C96C6F" w:rsidRDefault="00E303AD" w:rsidP="00E303AD">
      <w:pPr>
        <w:pStyle w:val="NoSpacing"/>
        <w:jc w:val="center"/>
        <w:rPr>
          <w:b/>
        </w:rPr>
      </w:pPr>
    </w:p>
    <w:p w:rsidR="00E303AD" w:rsidRDefault="00E303AD" w:rsidP="00E303AD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Case Count Update: Suzi Silverstein: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Cases: 117,592; Hospitalizations: 9,460; Deaths: 2,550</w:t>
      </w:r>
    </w:p>
    <w:p w:rsidR="00E303AD" w:rsidRDefault="00E303AD" w:rsidP="00E303AD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Nursing Home Infection Control Survey update: Kim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Infection control and emergency preparedness – two separate regulations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Emergency Preparedness regulations: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Emergency plan has to be reviewed and updated annually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All Hazards approach and community-based risk assessments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Continuity of Operations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Evacuation and Shelter in place plans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Emergency Lighting and power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Fires, Floods, water issues, etc.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Requirement to work with local emergency preparedness coordinators in planning effort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Training on emergency procedures for staff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Full-scale or table top, community based exercises required annually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A real world emergency or disaster can be used to meet annual requirements for exercise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Emergency and standby power systems, generators and fuel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The emergency preparedness plan regulations does not specifically address a requirement for a respiratory plan – cannot hold them to specific requirements or make specific recommendations</w:t>
      </w:r>
    </w:p>
    <w:p w:rsidR="00E303AD" w:rsidRDefault="00E303AD" w:rsidP="00E303AD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Testing Update: Dr. Parham </w:t>
      </w:r>
      <w:proofErr w:type="spellStart"/>
      <w:r>
        <w:rPr>
          <w:color w:val="000000" w:themeColor="text1"/>
        </w:rPr>
        <w:t>Jaberi</w:t>
      </w:r>
      <w:proofErr w:type="spellEnd"/>
      <w:r>
        <w:rPr>
          <w:color w:val="000000" w:themeColor="text1"/>
        </w:rPr>
        <w:t>: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Slides available at </w:t>
      </w:r>
      <w:hyperlink r:id="rId5" w:history="1">
        <w:r>
          <w:rPr>
            <w:rStyle w:val="Hyperlink"/>
          </w:rPr>
          <w:t>https://www.vdh.virginia.gov/emergency-preparedness/emergency-preparedness/covid-19-information/</w:t>
        </w:r>
      </w:hyperlink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Testing encounters and number of cases has decreased the past couple of weeks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Percent positivity has stayed very steady statewide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7-Day testing average about 13,072 per day, but decreasing in recent days – due to turnover of testing team members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Will still meet August testing goals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New testing teams coming on board in September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VDH Testing efforts focused on:</w:t>
      </w:r>
    </w:p>
    <w:p w:rsidR="00E303AD" w:rsidRPr="0029123E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 w:rsidRPr="0029123E">
        <w:rPr>
          <w:color w:val="000000" w:themeColor="text1"/>
        </w:rPr>
        <w:t>Community Testing Vulnerable Populations</w:t>
      </w:r>
    </w:p>
    <w:p w:rsidR="00E303AD" w:rsidRPr="0029123E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 w:rsidRPr="0029123E">
        <w:rPr>
          <w:color w:val="000000" w:themeColor="text1"/>
        </w:rPr>
        <w:t>Congregate Settings Point Prevalence Surveys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 w:rsidRPr="0029123E">
        <w:rPr>
          <w:color w:val="000000" w:themeColor="text1"/>
        </w:rPr>
        <w:t>Outbreak Testing Long term care facilities, places of employment/schools, etc.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Increasing testing capacity:</w:t>
      </w:r>
    </w:p>
    <w:p w:rsidR="00E303AD" w:rsidRPr="0029123E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 w:rsidRPr="0029123E">
        <w:rPr>
          <w:color w:val="000000" w:themeColor="text1"/>
        </w:rPr>
        <w:t>Continue Private Contracts/Turnkey Vendors</w:t>
      </w:r>
    </w:p>
    <w:p w:rsidR="00E303AD" w:rsidRPr="0029123E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 w:rsidRPr="0029123E">
        <w:rPr>
          <w:color w:val="000000" w:themeColor="text1"/>
        </w:rPr>
        <w:t>Partnership with Retail Pharmacies</w:t>
      </w:r>
    </w:p>
    <w:p w:rsidR="00E303AD" w:rsidRPr="0029123E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 w:rsidRPr="0029123E">
        <w:rPr>
          <w:color w:val="000000" w:themeColor="text1"/>
        </w:rPr>
        <w:t>“One Lab” Model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 w:rsidRPr="0029123E">
        <w:rPr>
          <w:color w:val="000000" w:themeColor="text1"/>
        </w:rPr>
        <w:t>Multi state Compact Agreement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 w:rsidRPr="0029123E">
        <w:rPr>
          <w:color w:val="000000" w:themeColor="text1"/>
        </w:rPr>
        <w:t>Partnerships with Federally Qualified Health Centers, Free Clinics, Retail Pharmacies, Primary Care Providers, etc.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Virginia National Guard – returning September 2020 (4 testing teams)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 w:rsidRPr="00641A42">
        <w:rPr>
          <w:color w:val="000000" w:themeColor="text1"/>
        </w:rPr>
        <w:t>Each LHD has been provided a target number for testing based on number of cases and presumed contacts (Cases x 8)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Point Prevalence Survey – Testing of all people working or residing in a facility, including asymptomatic individuals in those facilities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Baseline testing for Long Term Care Facilities (one baseline event per facility)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Outbreak testing (as often as needed to control outbreaks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Testing Turnaround Times (TATs) – continues to improve: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0.7 Days for Hospitals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2.1 Days for Public Health (DCLS) laboratory testing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2.3 Days for Commercial laboratories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Mulistate</w:t>
      </w:r>
      <w:proofErr w:type="spellEnd"/>
      <w:r>
        <w:rPr>
          <w:color w:val="000000" w:themeColor="text1"/>
        </w:rPr>
        <w:t xml:space="preserve"> Compact Agreement (Non-PCR based antigen testing)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Working with other States to develop a contract and purchase large numbers of antigen tests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Purpose is to increase buy power and to prime the pump to increase the overall production of testing systems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Next Steps:</w:t>
      </w:r>
    </w:p>
    <w:p w:rsidR="00E303AD" w:rsidRPr="00641A42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 w:rsidRPr="00641A42">
        <w:rPr>
          <w:color w:val="000000" w:themeColor="text1"/>
        </w:rPr>
        <w:t>Continue collaboration with the Governor’s Testing Advisory Council (e.g. determine alternate testing strategies antigen, saliva testing, etc.), testing priorities, community messaging, and information dissemination of new technologies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 w:rsidRPr="00641A42">
        <w:rPr>
          <w:color w:val="000000" w:themeColor="text1"/>
        </w:rPr>
        <w:t>Implement One Lab Model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 w:rsidRPr="00641A42">
        <w:rPr>
          <w:color w:val="000000" w:themeColor="text1"/>
        </w:rPr>
        <w:t>VDH Central Office to Hire Regional Strike Teams that will respond to “hot spots”/serve as surge support across the state.</w:t>
      </w:r>
    </w:p>
    <w:p w:rsidR="00E303AD" w:rsidRDefault="00E303AD" w:rsidP="00E303AD">
      <w:pPr>
        <w:pStyle w:val="NoSpacing"/>
        <w:numPr>
          <w:ilvl w:val="3"/>
          <w:numId w:val="1"/>
        </w:numPr>
        <w:rPr>
          <w:color w:val="000000" w:themeColor="text1"/>
        </w:rPr>
      </w:pPr>
      <w:r>
        <w:rPr>
          <w:color w:val="000000" w:themeColor="text1"/>
        </w:rPr>
        <w:t>Positions have been advertised but having difficulty filling with qualified applicants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Local Health Districts have received some funding to hire additional personnel locally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Preparing for school and university outbreaks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Testing remains a cornerstone strategy to our containment efforts.  Symptomatic patient testing still has a higher priority than asymptomatic testing, but in the context of contact tracing and outbreak response, testing of asymptomatic testing is still an important tool.</w:t>
      </w:r>
    </w:p>
    <w:p w:rsidR="00E303AD" w:rsidRDefault="00E303AD" w:rsidP="00E303AD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Antigen Testing Considerations – Dr. </w:t>
      </w:r>
      <w:r w:rsidRPr="00641A42">
        <w:rPr>
          <w:color w:val="000000" w:themeColor="text1"/>
        </w:rPr>
        <w:t>Shaina Bernard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Slides available at </w:t>
      </w:r>
      <w:hyperlink r:id="rId6" w:history="1">
        <w:r>
          <w:rPr>
            <w:rStyle w:val="Hyperlink"/>
          </w:rPr>
          <w:t>https://www.vdh.virginia.gov/emergency-preparedness/emergency-preparedness/covid-19-information/</w:t>
        </w:r>
      </w:hyperlink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Interpreting antigen test results – need to consider:</w:t>
      </w:r>
    </w:p>
    <w:p w:rsidR="00E303AD" w:rsidRPr="00A6220A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 w:rsidRPr="00A6220A">
        <w:rPr>
          <w:color w:val="000000" w:themeColor="text1"/>
        </w:rPr>
        <w:t>Clinical and epidemiological context of the person who has been tested</w:t>
      </w:r>
    </w:p>
    <w:p w:rsidR="00E303AD" w:rsidRDefault="00E303AD" w:rsidP="00E303AD">
      <w:pPr>
        <w:pStyle w:val="NoSpacing"/>
        <w:numPr>
          <w:ilvl w:val="3"/>
          <w:numId w:val="1"/>
        </w:numPr>
        <w:rPr>
          <w:color w:val="000000" w:themeColor="text1"/>
        </w:rPr>
      </w:pPr>
      <w:r w:rsidRPr="00A6220A">
        <w:rPr>
          <w:color w:val="000000" w:themeColor="text1"/>
        </w:rPr>
        <w:t>Why was the test performed?</w:t>
      </w:r>
    </w:p>
    <w:p w:rsidR="00E303AD" w:rsidRDefault="00E303AD" w:rsidP="00E303AD">
      <w:pPr>
        <w:pStyle w:val="NoSpacing"/>
        <w:numPr>
          <w:ilvl w:val="4"/>
          <w:numId w:val="1"/>
        </w:numPr>
        <w:rPr>
          <w:color w:val="000000" w:themeColor="text1"/>
        </w:rPr>
      </w:pPr>
      <w:r>
        <w:rPr>
          <w:color w:val="000000" w:themeColor="text1"/>
        </w:rPr>
        <w:t>Diagnostic Testing (symptomatic or known exposure)</w:t>
      </w:r>
    </w:p>
    <w:p w:rsidR="00E303AD" w:rsidRDefault="00E303AD" w:rsidP="00E303AD">
      <w:pPr>
        <w:pStyle w:val="NoSpacing"/>
        <w:numPr>
          <w:ilvl w:val="4"/>
          <w:numId w:val="1"/>
        </w:numPr>
        <w:rPr>
          <w:color w:val="000000" w:themeColor="text1"/>
        </w:rPr>
      </w:pPr>
      <w:r>
        <w:rPr>
          <w:color w:val="000000" w:themeColor="text1"/>
        </w:rPr>
        <w:t>Screening Testing (in congregate settings – LTCFs, Correctional, Education, etc.)</w:t>
      </w:r>
    </w:p>
    <w:p w:rsidR="00E303AD" w:rsidRPr="00A6220A" w:rsidRDefault="00E303AD" w:rsidP="00E303AD">
      <w:pPr>
        <w:pStyle w:val="NoSpacing"/>
        <w:numPr>
          <w:ilvl w:val="4"/>
          <w:numId w:val="1"/>
        </w:numPr>
        <w:rPr>
          <w:color w:val="000000" w:themeColor="text1"/>
        </w:rPr>
      </w:pPr>
      <w:r>
        <w:rPr>
          <w:color w:val="000000" w:themeColor="text1"/>
        </w:rPr>
        <w:t>Surveillance (To monitor for a community or population wide level of infection – testing of random individuals in a population – results would not be treated like diagnostic results – de-identified data)</w:t>
      </w:r>
    </w:p>
    <w:p w:rsidR="00E303AD" w:rsidRPr="00A6220A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 w:rsidRPr="00A6220A">
        <w:rPr>
          <w:color w:val="000000" w:themeColor="text1"/>
        </w:rPr>
        <w:t>Performance characteristics of the test (e.g. sensitivity, specificity)</w:t>
      </w:r>
    </w:p>
    <w:p w:rsidR="00E303AD" w:rsidRDefault="00E303AD" w:rsidP="00E303AD">
      <w:pPr>
        <w:pStyle w:val="NoSpacing"/>
        <w:numPr>
          <w:ilvl w:val="3"/>
          <w:numId w:val="1"/>
        </w:numPr>
        <w:rPr>
          <w:color w:val="000000" w:themeColor="text1"/>
        </w:rPr>
      </w:pPr>
      <w:r w:rsidRPr="00A6220A">
        <w:rPr>
          <w:color w:val="000000" w:themeColor="text1"/>
        </w:rPr>
        <w:t>What test was performed?</w:t>
      </w:r>
    </w:p>
    <w:p w:rsidR="00E303AD" w:rsidRDefault="00E303AD" w:rsidP="00E303AD">
      <w:pPr>
        <w:pStyle w:val="NoSpacing"/>
        <w:numPr>
          <w:ilvl w:val="3"/>
          <w:numId w:val="1"/>
        </w:numPr>
        <w:rPr>
          <w:color w:val="000000" w:themeColor="text1"/>
        </w:rPr>
      </w:pPr>
      <w:r>
        <w:rPr>
          <w:color w:val="000000" w:themeColor="text1"/>
        </w:rPr>
        <w:t>Molecular vs Antigen testing:</w:t>
      </w:r>
    </w:p>
    <w:p w:rsidR="00E303AD" w:rsidRDefault="00E303AD" w:rsidP="00E303AD">
      <w:pPr>
        <w:pStyle w:val="NoSpacing"/>
        <w:numPr>
          <w:ilvl w:val="4"/>
          <w:numId w:val="1"/>
        </w:numPr>
        <w:rPr>
          <w:color w:val="000000" w:themeColor="text1"/>
        </w:rPr>
      </w:pPr>
      <w:r>
        <w:rPr>
          <w:color w:val="000000" w:themeColor="text1"/>
        </w:rPr>
        <w:t>Molecular tests test for RNA, Antigen tests test for antigens (proteins from the virus)</w:t>
      </w:r>
    </w:p>
    <w:p w:rsidR="00E303AD" w:rsidRPr="00A6220A" w:rsidRDefault="00E303AD" w:rsidP="00E303AD">
      <w:pPr>
        <w:pStyle w:val="NoSpacing"/>
        <w:numPr>
          <w:ilvl w:val="4"/>
          <w:numId w:val="1"/>
        </w:numPr>
        <w:rPr>
          <w:color w:val="000000" w:themeColor="text1"/>
        </w:rPr>
      </w:pPr>
      <w:r w:rsidRPr="00A6220A">
        <w:rPr>
          <w:color w:val="000000" w:themeColor="text1"/>
        </w:rPr>
        <w:t>Molecular tests usually need to be tested in a lab with a 1-2 day turnaround time; Antigen tests take about 15 minutes</w:t>
      </w:r>
    </w:p>
    <w:p w:rsidR="00E303AD" w:rsidRDefault="00E303AD" w:rsidP="00E303AD">
      <w:pPr>
        <w:pStyle w:val="NoSpacing"/>
        <w:numPr>
          <w:ilvl w:val="4"/>
          <w:numId w:val="1"/>
        </w:numPr>
        <w:rPr>
          <w:color w:val="000000" w:themeColor="text1"/>
        </w:rPr>
      </w:pPr>
      <w:r>
        <w:rPr>
          <w:color w:val="000000" w:themeColor="text1"/>
        </w:rPr>
        <w:t>Molecular tests are generally more expensive than antigen tests</w:t>
      </w:r>
    </w:p>
    <w:p w:rsidR="00E303AD" w:rsidRPr="00A6220A" w:rsidRDefault="00E303AD" w:rsidP="00E303AD">
      <w:pPr>
        <w:pStyle w:val="NoSpacing"/>
        <w:numPr>
          <w:ilvl w:val="4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Both tests have high specificity (low false positive rate), but Molecular tests have higher sensitivity (lower false negative rate) compared to antigen testing</w:t>
      </w:r>
    </w:p>
    <w:p w:rsidR="00E303AD" w:rsidRPr="00A6220A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 w:rsidRPr="00A6220A">
        <w:rPr>
          <w:color w:val="000000" w:themeColor="text1"/>
        </w:rPr>
        <w:t xml:space="preserve">Prevalence of COVID-19 in that particular community </w:t>
      </w:r>
    </w:p>
    <w:p w:rsidR="00E303AD" w:rsidRDefault="00E303AD" w:rsidP="00E303AD">
      <w:pPr>
        <w:pStyle w:val="NoSpacing"/>
        <w:numPr>
          <w:ilvl w:val="3"/>
          <w:numId w:val="1"/>
        </w:numPr>
        <w:rPr>
          <w:color w:val="000000" w:themeColor="text1"/>
        </w:rPr>
      </w:pPr>
      <w:r w:rsidRPr="00A6220A">
        <w:rPr>
          <w:color w:val="000000" w:themeColor="text1"/>
        </w:rPr>
        <w:t>What is the positivity rate over the previous 7–10 days?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Interpreting Antigen Results:</w:t>
      </w:r>
    </w:p>
    <w:p w:rsidR="00E303AD" w:rsidRDefault="00E303AD" w:rsidP="00E303AD">
      <w:pPr>
        <w:pStyle w:val="NoSpacing"/>
        <w:numPr>
          <w:ilvl w:val="2"/>
          <w:numId w:val="1"/>
        </w:numPr>
        <w:rPr>
          <w:color w:val="000000" w:themeColor="text1"/>
        </w:rPr>
      </w:pPr>
      <w:r w:rsidRPr="00A6220A">
        <w:rPr>
          <w:color w:val="000000" w:themeColor="text1"/>
        </w:rPr>
        <w:t>Symptomatic OR Asymptomatic Close Contact</w:t>
      </w:r>
      <w:r>
        <w:rPr>
          <w:color w:val="000000" w:themeColor="text1"/>
        </w:rPr>
        <w:t>:</w:t>
      </w:r>
    </w:p>
    <w:p w:rsidR="00E303AD" w:rsidRDefault="00E303AD" w:rsidP="00E303AD">
      <w:pPr>
        <w:pStyle w:val="NoSpacing"/>
        <w:numPr>
          <w:ilvl w:val="3"/>
          <w:numId w:val="1"/>
        </w:numPr>
        <w:rPr>
          <w:color w:val="000000" w:themeColor="text1"/>
        </w:rPr>
      </w:pPr>
      <w:r>
        <w:rPr>
          <w:color w:val="000000" w:themeColor="text1"/>
        </w:rPr>
        <w:t>Antigen Positive result:  Indicates Current infection</w:t>
      </w:r>
    </w:p>
    <w:p w:rsidR="00E303AD" w:rsidRDefault="00E303AD" w:rsidP="00E303AD">
      <w:pPr>
        <w:pStyle w:val="NoSpacing"/>
        <w:numPr>
          <w:ilvl w:val="3"/>
          <w:numId w:val="1"/>
        </w:numPr>
        <w:rPr>
          <w:color w:val="000000" w:themeColor="text1"/>
        </w:rPr>
      </w:pPr>
      <w:r>
        <w:rPr>
          <w:color w:val="000000" w:themeColor="text1"/>
        </w:rPr>
        <w:t>Antigen Negative results: Do not rule out infections</w:t>
      </w:r>
    </w:p>
    <w:p w:rsidR="00E303AD" w:rsidRDefault="00E303AD" w:rsidP="00E303AD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Emergency Preparedness Updates – Suzi Silverstein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Table Top in a Box exercises – available for education institutions </w:t>
      </w:r>
      <w:r w:rsidR="004961C2">
        <w:rPr>
          <w:color w:val="000000" w:themeColor="text1"/>
        </w:rPr>
        <w:t xml:space="preserve">(K-12, Higher Ed and residential) </w:t>
      </w:r>
      <w:r>
        <w:rPr>
          <w:color w:val="000000" w:themeColor="text1"/>
        </w:rPr>
        <w:t>to use to assess their COVID-19 response plans.  Exercises are designed to be ready to use.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Training resources also available </w:t>
      </w:r>
      <w:r w:rsidR="004961C2">
        <w:rPr>
          <w:color w:val="000000" w:themeColor="text1"/>
        </w:rPr>
        <w:t xml:space="preserve">at the same </w:t>
      </w:r>
      <w:proofErr w:type="gramStart"/>
      <w:r w:rsidR="004961C2">
        <w:rPr>
          <w:color w:val="000000" w:themeColor="text1"/>
        </w:rPr>
        <w:t xml:space="preserve">webpage  </w:t>
      </w:r>
      <w:proofErr w:type="gramEnd"/>
      <w:hyperlink r:id="rId7" w:history="1">
        <w:r w:rsidR="004961C2" w:rsidRPr="00250D27">
          <w:rPr>
            <w:rStyle w:val="Hyperlink"/>
          </w:rPr>
          <w:t>https://www.vdh.virginia.gov/emergency-preparedness/emergency-preparedness</w:t>
        </w:r>
      </w:hyperlink>
      <w:r w:rsidR="004961C2">
        <w:t xml:space="preserve"> and select Training from the menu on the left.  </w:t>
      </w:r>
    </w:p>
    <w:p w:rsidR="00E303AD" w:rsidRDefault="00E303AD" w:rsidP="00E303AD">
      <w:pPr>
        <w:pStyle w:val="NoSpacing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Vaccination updates – will be provided on the next call on Sept 11.  Budget was submitted for approval this week</w:t>
      </w:r>
    </w:p>
    <w:p w:rsidR="00241C0D" w:rsidRDefault="007C2C30"/>
    <w:sectPr w:rsidR="00241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2A75"/>
    <w:multiLevelType w:val="hybridMultilevel"/>
    <w:tmpl w:val="B448B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AD"/>
    <w:rsid w:val="00181FFB"/>
    <w:rsid w:val="004961C2"/>
    <w:rsid w:val="007C2C30"/>
    <w:rsid w:val="00D100E2"/>
    <w:rsid w:val="00E3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3F198-EB67-4E46-92AD-17A108C2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3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0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dh.virginia.gov/emergency-preparedness/emergency-prepared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dh.virginia.gov/emergency-preparedness/emergency-preparedness/covid-19-information/" TargetMode="External"/><Relationship Id="rId5" Type="http://schemas.openxmlformats.org/officeDocument/2006/relationships/hyperlink" Target="https://www.vdh.virginia.gov/emergency-preparedness/emergency-preparedness/covid-19-informa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Magner, Michael (VDH)</dc:creator>
  <cp:keywords/>
  <dc:description/>
  <cp:lastModifiedBy>VITA Program</cp:lastModifiedBy>
  <cp:revision>2</cp:revision>
  <dcterms:created xsi:type="dcterms:W3CDTF">2020-08-28T23:57:00Z</dcterms:created>
  <dcterms:modified xsi:type="dcterms:W3CDTF">2020-08-28T23:57:00Z</dcterms:modified>
</cp:coreProperties>
</file>