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5E92" w:rsidRPr="00AD0A38" w:rsidRDefault="004C5E92" w:rsidP="00B36524">
      <w:pPr>
        <w:pStyle w:val="NoSpacing"/>
        <w:jc w:val="center"/>
        <w:rPr>
          <w:b/>
        </w:rPr>
      </w:pPr>
      <w:bookmarkStart w:id="0" w:name="_GoBack"/>
      <w:bookmarkEnd w:id="0"/>
      <w:r w:rsidRPr="00AD0A38">
        <w:rPr>
          <w:b/>
        </w:rPr>
        <w:t>VDH P</w:t>
      </w:r>
      <w:r w:rsidR="00B36524">
        <w:rPr>
          <w:b/>
        </w:rPr>
        <w:t>artner Call, 10:00, 18 Sep 2020</w:t>
      </w:r>
    </w:p>
    <w:p w:rsidR="00AD0A38" w:rsidRPr="00AD0A38" w:rsidRDefault="00AD0A38" w:rsidP="00AD0A38">
      <w:pPr>
        <w:pStyle w:val="NoSpacing"/>
        <w:rPr>
          <w:b/>
        </w:rPr>
      </w:pPr>
    </w:p>
    <w:p w:rsidR="00B36524" w:rsidRDefault="00AD0A38" w:rsidP="00B36524">
      <w:pPr>
        <w:pStyle w:val="NoSpacing"/>
      </w:pPr>
      <w:r w:rsidRPr="00B36524">
        <w:rPr>
          <w:b/>
        </w:rPr>
        <w:t>Case Count Update</w:t>
      </w:r>
      <w:r w:rsidR="00B36524">
        <w:rPr>
          <w:b/>
        </w:rPr>
        <w:t xml:space="preserve"> – </w:t>
      </w:r>
      <w:r w:rsidR="00B36524" w:rsidRPr="00B36524">
        <w:rPr>
          <w:b/>
        </w:rPr>
        <w:t>Suzi</w:t>
      </w:r>
      <w:r w:rsidR="00B36524">
        <w:rPr>
          <w:b/>
        </w:rPr>
        <w:t xml:space="preserve"> </w:t>
      </w:r>
      <w:r w:rsidR="00B36524" w:rsidRPr="00B36524">
        <w:rPr>
          <w:b/>
        </w:rPr>
        <w:t>Silverstein:</w:t>
      </w:r>
    </w:p>
    <w:p w:rsidR="00AD0A38" w:rsidRDefault="00C374BF" w:rsidP="00B36524">
      <w:pPr>
        <w:pStyle w:val="NoSpacing"/>
        <w:numPr>
          <w:ilvl w:val="0"/>
          <w:numId w:val="6"/>
        </w:numPr>
      </w:pPr>
      <w:r>
        <w:t>138,702 cases, 10,520 Hospitalizations, 2,949 Deaths</w:t>
      </w:r>
    </w:p>
    <w:p w:rsidR="00AD0A38" w:rsidRDefault="00C374BF" w:rsidP="00B36524">
      <w:pPr>
        <w:pStyle w:val="NoSpacing"/>
        <w:numPr>
          <w:ilvl w:val="0"/>
          <w:numId w:val="1"/>
        </w:numPr>
      </w:pPr>
      <w:r>
        <w:t xml:space="preserve">Note that the jump in </w:t>
      </w:r>
      <w:r w:rsidR="00AD0A38">
        <w:t xml:space="preserve">Deaths this week </w:t>
      </w:r>
      <w:r>
        <w:t xml:space="preserve">was </w:t>
      </w:r>
      <w:r w:rsidR="00AD0A38">
        <w:t>largely due to catch up in data entry</w:t>
      </w:r>
    </w:p>
    <w:p w:rsidR="00AD0A38" w:rsidRDefault="00AD0A38" w:rsidP="00B36524">
      <w:pPr>
        <w:pStyle w:val="NoSpacing"/>
        <w:numPr>
          <w:ilvl w:val="0"/>
          <w:numId w:val="1"/>
        </w:numPr>
      </w:pPr>
      <w:r>
        <w:t>Testing data reported earlier today had errors, but has been fixed</w:t>
      </w:r>
    </w:p>
    <w:p w:rsidR="00B36524" w:rsidRPr="00B36524" w:rsidRDefault="00B36524" w:rsidP="00B36524">
      <w:pPr>
        <w:pStyle w:val="NoSpacing"/>
        <w:rPr>
          <w:b/>
        </w:rPr>
      </w:pPr>
    </w:p>
    <w:p w:rsidR="00AD0A38" w:rsidRPr="00B36524" w:rsidRDefault="00AD0A38" w:rsidP="00B36524">
      <w:pPr>
        <w:pStyle w:val="NoSpacing"/>
        <w:rPr>
          <w:b/>
        </w:rPr>
      </w:pPr>
      <w:r w:rsidRPr="00B36524">
        <w:rPr>
          <w:b/>
        </w:rPr>
        <w:t>UVA Modeling</w:t>
      </w:r>
      <w:r w:rsidR="00B36524">
        <w:rPr>
          <w:b/>
        </w:rPr>
        <w:t xml:space="preserve"> – Justin Crow</w:t>
      </w:r>
    </w:p>
    <w:p w:rsidR="00AD0A38" w:rsidRDefault="00AD0A38" w:rsidP="00B36524">
      <w:pPr>
        <w:pStyle w:val="NoSpacing"/>
        <w:numPr>
          <w:ilvl w:val="0"/>
          <w:numId w:val="1"/>
        </w:numPr>
      </w:pPr>
      <w:r>
        <w:t xml:space="preserve">See Slides at </w:t>
      </w:r>
      <w:hyperlink r:id="rId5" w:history="1">
        <w:r w:rsidRPr="004A557A">
          <w:rPr>
            <w:rStyle w:val="Hyperlink"/>
          </w:rPr>
          <w:t>https://www.vdh.virginia.gov/emergency-preparedness/emergency-preparedness/covid-19-information/</w:t>
        </w:r>
      </w:hyperlink>
    </w:p>
    <w:p w:rsidR="00AD0A38" w:rsidRPr="00AD0A38" w:rsidRDefault="00AD0A38" w:rsidP="00B36524">
      <w:pPr>
        <w:pStyle w:val="NoSpacing"/>
        <w:numPr>
          <w:ilvl w:val="0"/>
          <w:numId w:val="1"/>
        </w:numPr>
      </w:pPr>
      <w:r w:rsidRPr="00AD0A38">
        <w:t>Model has evolved</w:t>
      </w:r>
    </w:p>
    <w:p w:rsidR="0054012C" w:rsidRPr="00AD0A38" w:rsidRDefault="00B36524" w:rsidP="00B36524">
      <w:pPr>
        <w:pStyle w:val="NoSpacing"/>
        <w:numPr>
          <w:ilvl w:val="1"/>
          <w:numId w:val="1"/>
        </w:numPr>
      </w:pPr>
      <w:r w:rsidRPr="00AD0A38">
        <w:t>Current methodology: “Adaptive Fitting”</w:t>
      </w:r>
    </w:p>
    <w:p w:rsidR="0054012C" w:rsidRPr="00AD0A38" w:rsidRDefault="00B36524" w:rsidP="00B36524">
      <w:pPr>
        <w:pStyle w:val="NoSpacing"/>
        <w:numPr>
          <w:ilvl w:val="1"/>
          <w:numId w:val="1"/>
        </w:numPr>
      </w:pPr>
      <w:r w:rsidRPr="00AD0A38">
        <w:t>Based on observed cases in each health district, not scenarios</w:t>
      </w:r>
    </w:p>
    <w:p w:rsidR="0054012C" w:rsidRPr="00AD0A38" w:rsidRDefault="00B36524" w:rsidP="00B36524">
      <w:pPr>
        <w:pStyle w:val="NoSpacing"/>
        <w:numPr>
          <w:ilvl w:val="1"/>
          <w:numId w:val="1"/>
        </w:numPr>
      </w:pPr>
      <w:r w:rsidRPr="00AD0A38">
        <w:t xml:space="preserve">Responsive to current trends </w:t>
      </w:r>
      <w:r w:rsidRPr="00AD0A38">
        <w:rPr>
          <w:rFonts w:hint="eastAsia"/>
        </w:rPr>
        <w:sym w:font="Wingdings" w:char="F0E0"/>
      </w:r>
      <w:r w:rsidRPr="00AD0A38">
        <w:t xml:space="preserve"> week-to-week volatility</w:t>
      </w:r>
    </w:p>
    <w:p w:rsidR="00AD0A38" w:rsidRDefault="00AD0A38" w:rsidP="00B36524">
      <w:pPr>
        <w:pStyle w:val="NoSpacing"/>
        <w:numPr>
          <w:ilvl w:val="0"/>
          <w:numId w:val="1"/>
        </w:numPr>
      </w:pPr>
      <w:r w:rsidRPr="00AD0A38">
        <w:t>Analytic/Feeder Products</w:t>
      </w:r>
    </w:p>
    <w:p w:rsidR="0054012C" w:rsidRPr="00AD0A38" w:rsidRDefault="00B36524" w:rsidP="00B36524">
      <w:pPr>
        <w:pStyle w:val="NoSpacing"/>
        <w:numPr>
          <w:ilvl w:val="1"/>
          <w:numId w:val="1"/>
        </w:numPr>
      </w:pPr>
      <w:r w:rsidRPr="00AD0A38">
        <w:t>Case Detection – Days from Onset to Diagnosis</w:t>
      </w:r>
    </w:p>
    <w:p w:rsidR="0054012C" w:rsidRPr="00AD0A38" w:rsidRDefault="00B36524" w:rsidP="00B36524">
      <w:pPr>
        <w:pStyle w:val="NoSpacing"/>
        <w:numPr>
          <w:ilvl w:val="1"/>
          <w:numId w:val="1"/>
        </w:numPr>
      </w:pPr>
      <w:r w:rsidRPr="00AD0A38">
        <w:t>Social Distancing metrics</w:t>
      </w:r>
    </w:p>
    <w:p w:rsidR="0054012C" w:rsidRPr="00AD0A38" w:rsidRDefault="00B36524" w:rsidP="00B36524">
      <w:pPr>
        <w:pStyle w:val="NoSpacing"/>
        <w:numPr>
          <w:ilvl w:val="1"/>
          <w:numId w:val="1"/>
        </w:numPr>
      </w:pPr>
      <w:r w:rsidRPr="00AD0A38">
        <w:t>Reproduction Rate</w:t>
      </w:r>
    </w:p>
    <w:p w:rsidR="0054012C" w:rsidRPr="00AD0A38" w:rsidRDefault="00B36524" w:rsidP="00B36524">
      <w:pPr>
        <w:pStyle w:val="NoSpacing"/>
        <w:numPr>
          <w:ilvl w:val="1"/>
          <w:numId w:val="1"/>
        </w:numPr>
      </w:pPr>
      <w:r w:rsidRPr="00AD0A38">
        <w:t>District Trajectory Classification</w:t>
      </w:r>
    </w:p>
    <w:p w:rsidR="0054012C" w:rsidRPr="00AD0A38" w:rsidRDefault="00B36524" w:rsidP="00B36524">
      <w:pPr>
        <w:pStyle w:val="NoSpacing"/>
        <w:numPr>
          <w:ilvl w:val="1"/>
          <w:numId w:val="1"/>
        </w:numPr>
      </w:pPr>
      <w:r w:rsidRPr="00AD0A38">
        <w:t>Surge Detection</w:t>
      </w:r>
    </w:p>
    <w:p w:rsidR="0054012C" w:rsidRPr="00AD0A38" w:rsidRDefault="00B36524" w:rsidP="00B36524">
      <w:pPr>
        <w:pStyle w:val="NoSpacing"/>
        <w:numPr>
          <w:ilvl w:val="1"/>
          <w:numId w:val="1"/>
        </w:numPr>
      </w:pPr>
      <w:r w:rsidRPr="00AD0A38">
        <w:t>Age-specific attack rates</w:t>
      </w:r>
    </w:p>
    <w:p w:rsidR="00AD0A38" w:rsidRDefault="00AD0A38" w:rsidP="00B36524">
      <w:pPr>
        <w:pStyle w:val="NoSpacing"/>
        <w:numPr>
          <w:ilvl w:val="0"/>
          <w:numId w:val="1"/>
        </w:numPr>
      </w:pPr>
      <w:r>
        <w:t>Detection = time between symptom onset and diagnosis (positive COVID-19 test) – has varied throughout the pandemic, and in Aug was about 4.6 days</w:t>
      </w:r>
    </w:p>
    <w:p w:rsidR="00AD0A38" w:rsidRDefault="00AD0A38" w:rsidP="00B36524">
      <w:pPr>
        <w:pStyle w:val="NoSpacing"/>
        <w:numPr>
          <w:ilvl w:val="0"/>
          <w:numId w:val="1"/>
        </w:numPr>
      </w:pPr>
      <w:r>
        <w:t>Social Distancing (slide 6) – data from Google based on cellphones location data</w:t>
      </w:r>
    </w:p>
    <w:p w:rsidR="00AD0A38" w:rsidRDefault="00AD0A38" w:rsidP="00B36524">
      <w:pPr>
        <w:pStyle w:val="NoSpacing"/>
        <w:numPr>
          <w:ilvl w:val="0"/>
          <w:numId w:val="1"/>
        </w:numPr>
      </w:pPr>
      <w:r>
        <w:t xml:space="preserve">Slide 7 – Transmission Rate (the number of people a positive case is likely to spread the disease to) – has decreased </w:t>
      </w:r>
      <w:r w:rsidR="005D653E">
        <w:t xml:space="preserve">at end of Aug, early Sep. </w:t>
      </w:r>
    </w:p>
    <w:p w:rsidR="005D653E" w:rsidRDefault="005D653E" w:rsidP="00B36524">
      <w:pPr>
        <w:pStyle w:val="NoSpacing"/>
        <w:numPr>
          <w:ilvl w:val="0"/>
          <w:numId w:val="1"/>
        </w:numPr>
      </w:pPr>
      <w:r>
        <w:t xml:space="preserve">Slide 8 – Health District Trajectories – some districts declining, some plateauing, some in slow growth, and some in Surge. </w:t>
      </w:r>
    </w:p>
    <w:p w:rsidR="005D653E" w:rsidRDefault="005D653E" w:rsidP="00B36524">
      <w:pPr>
        <w:pStyle w:val="NoSpacing"/>
        <w:numPr>
          <w:ilvl w:val="1"/>
          <w:numId w:val="1"/>
        </w:numPr>
      </w:pPr>
      <w:r>
        <w:t>Declining and plateauing indicate direction (does not reflect the overall case number which may be still high in many cases)</w:t>
      </w:r>
    </w:p>
    <w:p w:rsidR="005D653E" w:rsidRDefault="005D653E" w:rsidP="00B36524">
      <w:pPr>
        <w:pStyle w:val="NoSpacing"/>
        <w:numPr>
          <w:ilvl w:val="0"/>
          <w:numId w:val="1"/>
        </w:numPr>
      </w:pPr>
      <w:r>
        <w:t>Slides 9 &amp; 10 – surging areas – Central Shenandoah and New River (reflecting on-campus surges among 0-29 year olds).  So far, not affecting other age groups or population sub-sets (at least not that can be detected yet)</w:t>
      </w:r>
    </w:p>
    <w:p w:rsidR="005D653E" w:rsidRDefault="005D653E" w:rsidP="00B36524">
      <w:pPr>
        <w:pStyle w:val="NoSpacing"/>
        <w:numPr>
          <w:ilvl w:val="0"/>
          <w:numId w:val="1"/>
        </w:numPr>
      </w:pPr>
      <w:r>
        <w:t xml:space="preserve">Slide 11 – Declining after a brief surge in early Sep.  No college campus surge detected. </w:t>
      </w:r>
    </w:p>
    <w:p w:rsidR="005D653E" w:rsidRDefault="005D653E" w:rsidP="00B36524">
      <w:pPr>
        <w:pStyle w:val="NoSpacing"/>
        <w:numPr>
          <w:ilvl w:val="0"/>
          <w:numId w:val="1"/>
        </w:numPr>
      </w:pPr>
      <w:r>
        <w:t xml:space="preserve">Slide 12 – Other Districts with surges among 0-29 year olds (Thomas Jefferson) and 0-29 year olds and 30-49 year olds in Chickahominy. </w:t>
      </w:r>
    </w:p>
    <w:p w:rsidR="005D653E" w:rsidRDefault="005D653E" w:rsidP="00B36524">
      <w:pPr>
        <w:pStyle w:val="NoSpacing"/>
        <w:numPr>
          <w:ilvl w:val="0"/>
          <w:numId w:val="1"/>
        </w:numPr>
      </w:pPr>
      <w:r>
        <w:t>Slide 13 – Projections:  Cases likely to peak in Virginia around Oct 11.  Two what-if scenarios around Low Impact (10% increase) and high impact (20% increase)</w:t>
      </w:r>
    </w:p>
    <w:p w:rsidR="005D653E" w:rsidRDefault="005D653E" w:rsidP="00B36524">
      <w:pPr>
        <w:pStyle w:val="NoSpacing"/>
        <w:numPr>
          <w:ilvl w:val="0"/>
          <w:numId w:val="1"/>
        </w:numPr>
      </w:pPr>
      <w:r>
        <w:t>Slide 14 – projected surges are unlikely to significantly impact hospitals</w:t>
      </w:r>
    </w:p>
    <w:p w:rsidR="005D653E" w:rsidRDefault="005D653E" w:rsidP="00B36524">
      <w:pPr>
        <w:pStyle w:val="NoSpacing"/>
        <w:numPr>
          <w:ilvl w:val="0"/>
          <w:numId w:val="1"/>
        </w:numPr>
      </w:pPr>
      <w:r>
        <w:t>Slide 15 – Potential triggers that could increase or decrease spread</w:t>
      </w:r>
    </w:p>
    <w:p w:rsidR="005D653E" w:rsidRDefault="005D653E" w:rsidP="00B36524">
      <w:pPr>
        <w:pStyle w:val="NoSpacing"/>
        <w:numPr>
          <w:ilvl w:val="0"/>
          <w:numId w:val="1"/>
        </w:numPr>
      </w:pPr>
      <w:r>
        <w:t>Slide 16 – Website addresses and points of contact</w:t>
      </w:r>
    </w:p>
    <w:p w:rsidR="00B36524" w:rsidRDefault="00B36524" w:rsidP="00B36524">
      <w:pPr>
        <w:pStyle w:val="NoSpacing"/>
        <w:rPr>
          <w:b/>
        </w:rPr>
      </w:pPr>
    </w:p>
    <w:p w:rsidR="005D653E" w:rsidRPr="00B36524" w:rsidRDefault="005D653E" w:rsidP="00B36524">
      <w:pPr>
        <w:pStyle w:val="NoSpacing"/>
        <w:rPr>
          <w:b/>
        </w:rPr>
      </w:pPr>
      <w:r w:rsidRPr="00B36524">
        <w:rPr>
          <w:b/>
        </w:rPr>
        <w:t>Community Mitigation Project</w:t>
      </w:r>
      <w:r w:rsidR="00B36524">
        <w:rPr>
          <w:b/>
        </w:rPr>
        <w:t xml:space="preserve"> – Rachel </w:t>
      </w:r>
      <w:proofErr w:type="spellStart"/>
      <w:r w:rsidR="00B36524">
        <w:rPr>
          <w:b/>
        </w:rPr>
        <w:t>Ellick</w:t>
      </w:r>
      <w:proofErr w:type="spellEnd"/>
      <w:r w:rsidRPr="00B36524">
        <w:rPr>
          <w:b/>
        </w:rPr>
        <w:t>:</w:t>
      </w:r>
    </w:p>
    <w:p w:rsidR="005D653E" w:rsidRDefault="00CF0F7B" w:rsidP="00B36524">
      <w:pPr>
        <w:pStyle w:val="NoSpacing"/>
        <w:numPr>
          <w:ilvl w:val="0"/>
          <w:numId w:val="1"/>
        </w:numPr>
      </w:pPr>
      <w:r>
        <w:t>Working closely with higher education and other partners</w:t>
      </w:r>
    </w:p>
    <w:p w:rsidR="00CF0F7B" w:rsidRDefault="00CF0F7B" w:rsidP="00B36524">
      <w:pPr>
        <w:pStyle w:val="NoSpacing"/>
        <w:numPr>
          <w:ilvl w:val="0"/>
          <w:numId w:val="1"/>
        </w:numPr>
      </w:pPr>
      <w:r>
        <w:t>Partners in the working group included leaders in higher education, governor’s office and VDH</w:t>
      </w:r>
    </w:p>
    <w:p w:rsidR="00CF0F7B" w:rsidRDefault="00CF0F7B" w:rsidP="00B36524">
      <w:pPr>
        <w:pStyle w:val="NoSpacing"/>
        <w:numPr>
          <w:ilvl w:val="0"/>
          <w:numId w:val="1"/>
        </w:numPr>
      </w:pPr>
      <w:r>
        <w:lastRenderedPageBreak/>
        <w:t>There is no one-size-fits-all guidelines for each type of institution.  Instead, the institution was given general guidelines and then was tasked to create their own plans to consider residence halls, dining facilities, classroom instruction, fitness centers, sports and recreation, etc., as applicable</w:t>
      </w:r>
    </w:p>
    <w:p w:rsidR="00CF0F7B" w:rsidRDefault="00CF0F7B" w:rsidP="00B36524">
      <w:pPr>
        <w:pStyle w:val="NoSpacing"/>
        <w:numPr>
          <w:ilvl w:val="0"/>
          <w:numId w:val="1"/>
        </w:numPr>
      </w:pPr>
      <w:r>
        <w:t>Required to have plans in place prior to opening, and were encouraged to work closely with their local health department in developing and implementing those plans</w:t>
      </w:r>
    </w:p>
    <w:p w:rsidR="00CF0F7B" w:rsidRDefault="00CF0F7B" w:rsidP="00B36524">
      <w:pPr>
        <w:pStyle w:val="NoSpacing"/>
        <w:numPr>
          <w:ilvl w:val="0"/>
          <w:numId w:val="1"/>
        </w:numPr>
      </w:pPr>
      <w:r>
        <w:t>Required to lay out roles and responsibilities for the institution and the local health department for testing, contact tracing, isolation and quarantine</w:t>
      </w:r>
    </w:p>
    <w:p w:rsidR="00CF0F7B" w:rsidRDefault="00CF0F7B" w:rsidP="00B36524">
      <w:pPr>
        <w:pStyle w:val="NoSpacing"/>
        <w:numPr>
          <w:ilvl w:val="0"/>
          <w:numId w:val="1"/>
        </w:numPr>
      </w:pPr>
      <w:r>
        <w:t>VDH has developed guidance for students to respond to outbreaks – guidance for staying on campus during outbreaks, and guidance for safely returning home to their families</w:t>
      </w:r>
    </w:p>
    <w:p w:rsidR="00CF0F7B" w:rsidRDefault="00CF0F7B" w:rsidP="00B36524">
      <w:pPr>
        <w:pStyle w:val="NoSpacing"/>
        <w:numPr>
          <w:ilvl w:val="0"/>
          <w:numId w:val="1"/>
        </w:numPr>
      </w:pPr>
      <w:r>
        <w:t xml:space="preserve">VDH has presented fairly regularly to the council of university presidents. </w:t>
      </w:r>
    </w:p>
    <w:p w:rsidR="00CF0F7B" w:rsidRDefault="00CF0F7B" w:rsidP="00B36524">
      <w:pPr>
        <w:pStyle w:val="NoSpacing"/>
        <w:numPr>
          <w:ilvl w:val="0"/>
          <w:numId w:val="1"/>
        </w:numPr>
      </w:pPr>
      <w:r>
        <w:t>VDH has a working group with campus medical providers that has been meeting regularly</w:t>
      </w:r>
    </w:p>
    <w:p w:rsidR="00CF0F7B" w:rsidRDefault="00CF0F7B" w:rsidP="00B36524">
      <w:pPr>
        <w:pStyle w:val="NoSpacing"/>
        <w:numPr>
          <w:ilvl w:val="0"/>
          <w:numId w:val="1"/>
        </w:numPr>
      </w:pPr>
      <w:r>
        <w:t xml:space="preserve">Other collaborations with larger institutions, the local health departments and VDH Central Office. </w:t>
      </w:r>
    </w:p>
    <w:p w:rsidR="00C374BF" w:rsidRDefault="00CF0F7B" w:rsidP="00B36524">
      <w:pPr>
        <w:pStyle w:val="NoSpacing"/>
        <w:numPr>
          <w:ilvl w:val="0"/>
          <w:numId w:val="1"/>
        </w:numPr>
      </w:pPr>
      <w:r>
        <w:t xml:space="preserve">VDH’s higher education website is kept up to date with all of the latest guidance. </w:t>
      </w:r>
    </w:p>
    <w:p w:rsidR="00CF0F7B" w:rsidRDefault="00E624E4" w:rsidP="00B36524">
      <w:pPr>
        <w:pStyle w:val="NoSpacing"/>
        <w:numPr>
          <w:ilvl w:val="1"/>
          <w:numId w:val="1"/>
        </w:numPr>
      </w:pPr>
      <w:hyperlink r:id="rId6" w:history="1">
        <w:r w:rsidR="00CF0F7B" w:rsidRPr="004A557A">
          <w:rPr>
            <w:rStyle w:val="Hyperlink"/>
          </w:rPr>
          <w:t>https://www.vdh.virginia.gov/coronavirus/schools-workplaces-community-locations/institutes-of-higher-education/</w:t>
        </w:r>
      </w:hyperlink>
    </w:p>
    <w:p w:rsidR="00B36524" w:rsidRDefault="00B36524" w:rsidP="00B36524">
      <w:pPr>
        <w:pStyle w:val="NoSpacing"/>
      </w:pPr>
    </w:p>
    <w:p w:rsidR="00CF0F7B" w:rsidRPr="00B36524" w:rsidRDefault="00CF0F7B" w:rsidP="00B36524">
      <w:pPr>
        <w:pStyle w:val="NoSpacing"/>
        <w:rPr>
          <w:b/>
        </w:rPr>
      </w:pPr>
      <w:r w:rsidRPr="00B36524">
        <w:rPr>
          <w:b/>
        </w:rPr>
        <w:t>COVID-19 Antigen Testing</w:t>
      </w:r>
      <w:r w:rsidR="00B36524">
        <w:rPr>
          <w:b/>
        </w:rPr>
        <w:t xml:space="preserve"> – Brooke Rossheim</w:t>
      </w:r>
    </w:p>
    <w:p w:rsidR="00CF0F7B" w:rsidRDefault="00CF0F7B" w:rsidP="00B36524">
      <w:pPr>
        <w:pStyle w:val="NoSpacing"/>
        <w:numPr>
          <w:ilvl w:val="0"/>
          <w:numId w:val="1"/>
        </w:numPr>
      </w:pPr>
      <w:r>
        <w:t xml:space="preserve">Slide 2: </w:t>
      </w:r>
      <w:r w:rsidRPr="00CF0F7B">
        <w:t>PCR-based tests used for months as primary diagnostic test; however, more interest in antigen testing as another option</w:t>
      </w:r>
      <w:r>
        <w:t>.  Advantages of antigen tests:</w:t>
      </w:r>
    </w:p>
    <w:p w:rsidR="0054012C" w:rsidRPr="00CF0F7B" w:rsidRDefault="00B36524" w:rsidP="00B36524">
      <w:pPr>
        <w:pStyle w:val="NoSpacing"/>
        <w:numPr>
          <w:ilvl w:val="1"/>
          <w:numId w:val="1"/>
        </w:numPr>
      </w:pPr>
      <w:r w:rsidRPr="00CF0F7B">
        <w:t>Like PCR, antigen test is meant for diagnosis of COVID-19</w:t>
      </w:r>
    </w:p>
    <w:p w:rsidR="0054012C" w:rsidRPr="00CF0F7B" w:rsidRDefault="00B36524" w:rsidP="00B36524">
      <w:pPr>
        <w:pStyle w:val="NoSpacing"/>
        <w:numPr>
          <w:ilvl w:val="1"/>
          <w:numId w:val="1"/>
        </w:numPr>
      </w:pPr>
      <w:r w:rsidRPr="00CF0F7B">
        <w:t>Faster lab turnaround time than PCR testing</w:t>
      </w:r>
    </w:p>
    <w:p w:rsidR="0054012C" w:rsidRPr="00CF0F7B" w:rsidRDefault="00B36524" w:rsidP="00B36524">
      <w:pPr>
        <w:pStyle w:val="NoSpacing"/>
        <w:numPr>
          <w:ilvl w:val="1"/>
          <w:numId w:val="1"/>
        </w:numPr>
      </w:pPr>
      <w:r w:rsidRPr="00CF0F7B">
        <w:t>Less expensive than PCR tests</w:t>
      </w:r>
    </w:p>
    <w:p w:rsidR="0054012C" w:rsidRPr="00CF0F7B" w:rsidRDefault="00B36524" w:rsidP="00B36524">
      <w:pPr>
        <w:pStyle w:val="NoSpacing"/>
        <w:numPr>
          <w:ilvl w:val="1"/>
          <w:numId w:val="1"/>
        </w:numPr>
      </w:pPr>
      <w:r w:rsidRPr="00CF0F7B">
        <w:t>US Department of HHS distributing rapid point-of-care COVID-19 antigen testing devices and test kits from different manufacturers to nursing homes.</w:t>
      </w:r>
    </w:p>
    <w:p w:rsidR="0054012C" w:rsidRPr="00CF0F7B" w:rsidRDefault="00B36524" w:rsidP="00B36524">
      <w:pPr>
        <w:pStyle w:val="NoSpacing"/>
        <w:numPr>
          <w:ilvl w:val="1"/>
          <w:numId w:val="1"/>
        </w:numPr>
      </w:pPr>
      <w:r w:rsidRPr="00CF0F7B">
        <w:t>Positive test = high probability that person has COVID-19</w:t>
      </w:r>
    </w:p>
    <w:p w:rsidR="00CF0F7B" w:rsidRDefault="00CF0F7B" w:rsidP="00B36524">
      <w:pPr>
        <w:pStyle w:val="NoSpacing"/>
        <w:numPr>
          <w:ilvl w:val="0"/>
          <w:numId w:val="1"/>
        </w:numPr>
      </w:pPr>
      <w:r>
        <w:t>Challenges with Antigen Tests:</w:t>
      </w:r>
    </w:p>
    <w:p w:rsidR="0054012C" w:rsidRPr="00CF0F7B" w:rsidRDefault="00B36524" w:rsidP="00B36524">
      <w:pPr>
        <w:pStyle w:val="NoSpacing"/>
        <w:numPr>
          <w:ilvl w:val="1"/>
          <w:numId w:val="1"/>
        </w:numPr>
      </w:pPr>
      <w:r w:rsidRPr="00CF0F7B">
        <w:t>Antigen testing not as sensitive as PCR – can lead to more false negative results</w:t>
      </w:r>
    </w:p>
    <w:p w:rsidR="0054012C" w:rsidRPr="00CF0F7B" w:rsidRDefault="00B36524" w:rsidP="00B36524">
      <w:pPr>
        <w:pStyle w:val="NoSpacing"/>
        <w:numPr>
          <w:ilvl w:val="1"/>
          <w:numId w:val="1"/>
        </w:numPr>
      </w:pPr>
      <w:r w:rsidRPr="00CF0F7B">
        <w:t>May need follow-up PCR testing in some cases</w:t>
      </w:r>
    </w:p>
    <w:p w:rsidR="0054012C" w:rsidRPr="00CF0F7B" w:rsidRDefault="00B36524" w:rsidP="00B36524">
      <w:pPr>
        <w:pStyle w:val="NoSpacing"/>
        <w:numPr>
          <w:ilvl w:val="1"/>
          <w:numId w:val="1"/>
        </w:numPr>
      </w:pPr>
      <w:r w:rsidRPr="00CF0F7B">
        <w:t>Role in testing asymptomatic people is not clear at this time</w:t>
      </w:r>
    </w:p>
    <w:p w:rsidR="00CF0F7B" w:rsidRDefault="00CF0F7B" w:rsidP="00B36524">
      <w:pPr>
        <w:pStyle w:val="NoSpacing"/>
        <w:numPr>
          <w:ilvl w:val="0"/>
          <w:numId w:val="1"/>
        </w:numPr>
      </w:pPr>
      <w:r>
        <w:t xml:space="preserve">Slide 3: </w:t>
      </w:r>
      <w:r w:rsidRPr="00CF0F7B">
        <w:t>Commonwealth’s Antigen Testing Team  (CATT)</w:t>
      </w:r>
      <w:r w:rsidR="00C374BF">
        <w:t xml:space="preserve">: </w:t>
      </w:r>
      <w:r w:rsidR="00C374BF" w:rsidRPr="00C374BF">
        <w:t>assist</w:t>
      </w:r>
      <w:r w:rsidR="00C374BF">
        <w:t>s</w:t>
      </w:r>
      <w:r w:rsidR="00C374BF" w:rsidRPr="00C374BF">
        <w:t xml:space="preserve"> in providing direction and guidance on </w:t>
      </w:r>
      <w:r w:rsidR="00C374BF">
        <w:t>u</w:t>
      </w:r>
      <w:r w:rsidR="00C374BF" w:rsidRPr="00C374BF">
        <w:t>se of antigen testing, facilitat</w:t>
      </w:r>
      <w:r w:rsidR="00C374BF">
        <w:t>es</w:t>
      </w:r>
      <w:r w:rsidR="00C374BF" w:rsidRPr="00C374BF">
        <w:t xml:space="preserve"> purchase and procurement, and ultimately the distribution of these tests as purchased from private vendors or received from the U.S. Health and Human Services (HHS) distribution.</w:t>
      </w:r>
      <w:r w:rsidR="00C374BF">
        <w:t xml:space="preserve">  First meeting was earlier this month. </w:t>
      </w:r>
    </w:p>
    <w:p w:rsidR="00C374BF" w:rsidRDefault="00C374BF" w:rsidP="00B36524">
      <w:pPr>
        <w:pStyle w:val="NoSpacing"/>
        <w:numPr>
          <w:ilvl w:val="0"/>
          <w:numId w:val="1"/>
        </w:numPr>
      </w:pPr>
      <w:r w:rsidRPr="00C374BF">
        <w:t>Commonwealth’s Antigen Testing Team  (CATT)</w:t>
      </w:r>
      <w:r>
        <w:t xml:space="preserve"> members:</w:t>
      </w:r>
    </w:p>
    <w:p w:rsidR="00C374BF" w:rsidRPr="00C374BF" w:rsidRDefault="00C374BF" w:rsidP="00B36524">
      <w:pPr>
        <w:pStyle w:val="NoSpacing"/>
        <w:numPr>
          <w:ilvl w:val="1"/>
          <w:numId w:val="1"/>
        </w:numPr>
      </w:pPr>
      <w:r w:rsidRPr="00C374BF">
        <w:t xml:space="preserve">Office of the Secretary of Health and Human Resources (SHHR) </w:t>
      </w:r>
    </w:p>
    <w:p w:rsidR="00C374BF" w:rsidRPr="00C374BF" w:rsidRDefault="00C374BF" w:rsidP="00B36524">
      <w:pPr>
        <w:pStyle w:val="NoSpacing"/>
        <w:numPr>
          <w:ilvl w:val="1"/>
          <w:numId w:val="1"/>
        </w:numPr>
      </w:pPr>
      <w:r w:rsidRPr="00C374BF">
        <w:t>Virginia Department of Health (VDH)</w:t>
      </w:r>
    </w:p>
    <w:p w:rsidR="00C374BF" w:rsidRDefault="00C374BF" w:rsidP="00B36524">
      <w:pPr>
        <w:pStyle w:val="NoSpacing"/>
        <w:numPr>
          <w:ilvl w:val="2"/>
          <w:numId w:val="1"/>
        </w:numPr>
      </w:pPr>
      <w:r w:rsidRPr="00C374BF">
        <w:t>Office of the Commissioner &amp; Offices of Epidemiology (</w:t>
      </w:r>
      <w:proofErr w:type="spellStart"/>
      <w:r w:rsidRPr="00C374BF">
        <w:t>Oepi</w:t>
      </w:r>
      <w:proofErr w:type="spellEnd"/>
      <w:r w:rsidRPr="00C374BF">
        <w:t>)</w:t>
      </w:r>
    </w:p>
    <w:p w:rsidR="00C374BF" w:rsidRDefault="00C374BF" w:rsidP="00B36524">
      <w:pPr>
        <w:pStyle w:val="NoSpacing"/>
        <w:numPr>
          <w:ilvl w:val="2"/>
          <w:numId w:val="1"/>
        </w:numPr>
      </w:pPr>
      <w:r w:rsidRPr="00C374BF">
        <w:t>Emergency Preparedness (OEP)</w:t>
      </w:r>
    </w:p>
    <w:p w:rsidR="00C374BF" w:rsidRPr="00C374BF" w:rsidRDefault="00C374BF" w:rsidP="00B36524">
      <w:pPr>
        <w:pStyle w:val="NoSpacing"/>
        <w:numPr>
          <w:ilvl w:val="2"/>
          <w:numId w:val="1"/>
        </w:numPr>
      </w:pPr>
      <w:r w:rsidRPr="00C374BF">
        <w:t xml:space="preserve">Licensure and Certification (OLC) </w:t>
      </w:r>
    </w:p>
    <w:p w:rsidR="00C374BF" w:rsidRPr="00C374BF" w:rsidRDefault="00C374BF" w:rsidP="00B36524">
      <w:pPr>
        <w:pStyle w:val="NoSpacing"/>
        <w:numPr>
          <w:ilvl w:val="1"/>
          <w:numId w:val="1"/>
        </w:numPr>
      </w:pPr>
      <w:r w:rsidRPr="00C374BF">
        <w:t>Governor’s Testing Advisory Council (TAC)</w:t>
      </w:r>
    </w:p>
    <w:p w:rsidR="00C374BF" w:rsidRPr="00C374BF" w:rsidRDefault="00C374BF" w:rsidP="00B36524">
      <w:pPr>
        <w:pStyle w:val="NoSpacing"/>
        <w:numPr>
          <w:ilvl w:val="1"/>
          <w:numId w:val="1"/>
        </w:numPr>
      </w:pPr>
      <w:r w:rsidRPr="00C374BF">
        <w:t xml:space="preserve">Governor’s Long Term Care Taskforce </w:t>
      </w:r>
    </w:p>
    <w:p w:rsidR="00C374BF" w:rsidRPr="00C374BF" w:rsidRDefault="00C374BF" w:rsidP="00B36524">
      <w:pPr>
        <w:pStyle w:val="NoSpacing"/>
        <w:numPr>
          <w:ilvl w:val="1"/>
          <w:numId w:val="1"/>
        </w:numPr>
      </w:pPr>
      <w:r w:rsidRPr="00C374BF">
        <w:t xml:space="preserve">Department of Medical Assistance Services (DMAS) </w:t>
      </w:r>
    </w:p>
    <w:p w:rsidR="00C374BF" w:rsidRPr="00C374BF" w:rsidRDefault="00C374BF" w:rsidP="00B36524">
      <w:pPr>
        <w:pStyle w:val="NoSpacing"/>
        <w:numPr>
          <w:ilvl w:val="1"/>
          <w:numId w:val="1"/>
        </w:numPr>
      </w:pPr>
      <w:r w:rsidRPr="00C374BF">
        <w:t>Department of General Services - Procurement</w:t>
      </w:r>
    </w:p>
    <w:p w:rsidR="00C374BF" w:rsidRPr="00C374BF" w:rsidRDefault="00C374BF" w:rsidP="00B36524">
      <w:pPr>
        <w:pStyle w:val="NoSpacing"/>
        <w:numPr>
          <w:ilvl w:val="1"/>
          <w:numId w:val="1"/>
        </w:numPr>
      </w:pPr>
      <w:r w:rsidRPr="00C374BF">
        <w:t>Department of General Services - State Lab (DCLS)</w:t>
      </w:r>
    </w:p>
    <w:p w:rsidR="00C374BF" w:rsidRPr="00C374BF" w:rsidRDefault="00C374BF" w:rsidP="00B36524">
      <w:pPr>
        <w:pStyle w:val="NoSpacing"/>
        <w:numPr>
          <w:ilvl w:val="1"/>
          <w:numId w:val="1"/>
        </w:numPr>
      </w:pPr>
      <w:r w:rsidRPr="00C374BF">
        <w:t>Other Departments where Antigen testing may be deployed: DOE, DOC, DBHDS, etc.</w:t>
      </w:r>
    </w:p>
    <w:p w:rsidR="00C374BF" w:rsidRPr="00C374BF" w:rsidRDefault="00C374BF" w:rsidP="00B36524">
      <w:pPr>
        <w:pStyle w:val="NoSpacing"/>
        <w:numPr>
          <w:ilvl w:val="1"/>
          <w:numId w:val="1"/>
        </w:numPr>
      </w:pPr>
      <w:r w:rsidRPr="00C374BF">
        <w:t xml:space="preserve">Virginia Department of Emergency Management (VDEM) </w:t>
      </w:r>
    </w:p>
    <w:p w:rsidR="00C374BF" w:rsidRDefault="00C374BF" w:rsidP="00B36524">
      <w:pPr>
        <w:pStyle w:val="NoSpacing"/>
        <w:numPr>
          <w:ilvl w:val="1"/>
          <w:numId w:val="1"/>
        </w:numPr>
      </w:pPr>
      <w:r w:rsidRPr="00C374BF">
        <w:t>Virginia Hospital and Healthcare Association - Emergency Management Program</w:t>
      </w:r>
    </w:p>
    <w:p w:rsidR="00C374BF" w:rsidRDefault="00C374BF" w:rsidP="00B36524">
      <w:pPr>
        <w:pStyle w:val="NoSpacing"/>
        <w:numPr>
          <w:ilvl w:val="0"/>
          <w:numId w:val="1"/>
        </w:numPr>
      </w:pPr>
      <w:r>
        <w:t xml:space="preserve">Slide 4: Virginia is also part of a </w:t>
      </w:r>
      <w:r w:rsidRPr="00C374BF">
        <w:t>Multistate COVID-19 Antigen Test Collaborative</w:t>
      </w:r>
      <w:r>
        <w:t xml:space="preserve">: A collaborative of 10 states that have agreed to purchase up to 500,000 antigen tests each to prime the pump for the vendors to make production worthwhile. </w:t>
      </w:r>
    </w:p>
    <w:p w:rsidR="00B36524" w:rsidRDefault="00B36524" w:rsidP="00B36524">
      <w:pPr>
        <w:pStyle w:val="NoSpacing"/>
      </w:pPr>
    </w:p>
    <w:p w:rsidR="00C374BF" w:rsidRDefault="00C374BF" w:rsidP="00B36524">
      <w:pPr>
        <w:pStyle w:val="NoSpacing"/>
      </w:pPr>
      <w:r w:rsidRPr="00B36524">
        <w:rPr>
          <w:b/>
        </w:rPr>
        <w:t>Q &amp; A Session:</w:t>
      </w:r>
      <w:r>
        <w:t xml:space="preserve">  No questions</w:t>
      </w:r>
    </w:p>
    <w:p w:rsidR="00B36524" w:rsidRDefault="00B36524" w:rsidP="00B36524">
      <w:pPr>
        <w:pStyle w:val="NoSpacing"/>
      </w:pPr>
    </w:p>
    <w:p w:rsidR="00C374BF" w:rsidRPr="00AD0A38" w:rsidRDefault="00B36524" w:rsidP="00B36524">
      <w:pPr>
        <w:pStyle w:val="NoSpacing"/>
      </w:pPr>
      <w:r w:rsidRPr="00B36524">
        <w:rPr>
          <w:b/>
        </w:rPr>
        <w:t xml:space="preserve">Special </w:t>
      </w:r>
      <w:r w:rsidR="00C374BF" w:rsidRPr="00B36524">
        <w:rPr>
          <w:b/>
        </w:rPr>
        <w:t>Announcement:</w:t>
      </w:r>
      <w:r w:rsidR="00C374BF">
        <w:t xml:space="preserve"> Battelle System for decontaminating N-95 masks.  These systems will be demobilized in </w:t>
      </w:r>
      <w:r w:rsidR="001D5220">
        <w:t xml:space="preserve">Virginia </w:t>
      </w:r>
      <w:proofErr w:type="gramStart"/>
      <w:r w:rsidR="001D5220">
        <w:t xml:space="preserve">in  </w:t>
      </w:r>
      <w:r w:rsidR="00C374BF">
        <w:t>early</w:t>
      </w:r>
      <w:proofErr w:type="gramEnd"/>
      <w:r w:rsidR="00C374BF">
        <w:t xml:space="preserve"> October due to low utilization. </w:t>
      </w:r>
      <w:r w:rsidR="001D5220">
        <w:t>It can still be utilized by facilities in Virginia by sending them to other units.</w:t>
      </w:r>
    </w:p>
    <w:sectPr w:rsidR="00C374BF" w:rsidRPr="00AD0A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5C11A0"/>
    <w:multiLevelType w:val="hybridMultilevel"/>
    <w:tmpl w:val="99280836"/>
    <w:lvl w:ilvl="0" w:tplc="82C8AE52">
      <w:start w:val="1"/>
      <w:numFmt w:val="bullet"/>
      <w:lvlText w:val="•"/>
      <w:lvlJc w:val="left"/>
      <w:pPr>
        <w:tabs>
          <w:tab w:val="num" w:pos="720"/>
        </w:tabs>
        <w:ind w:left="720" w:hanging="360"/>
      </w:pPr>
      <w:rPr>
        <w:rFonts w:ascii="Times New Roman" w:hAnsi="Times New Roman" w:hint="default"/>
      </w:rPr>
    </w:lvl>
    <w:lvl w:ilvl="1" w:tplc="EBFCAF9C">
      <w:start w:val="1"/>
      <w:numFmt w:val="bullet"/>
      <w:lvlText w:val="•"/>
      <w:lvlJc w:val="left"/>
      <w:pPr>
        <w:tabs>
          <w:tab w:val="num" w:pos="1440"/>
        </w:tabs>
        <w:ind w:left="1440" w:hanging="360"/>
      </w:pPr>
      <w:rPr>
        <w:rFonts w:ascii="Times New Roman" w:hAnsi="Times New Roman" w:hint="default"/>
      </w:rPr>
    </w:lvl>
    <w:lvl w:ilvl="2" w:tplc="9C1419FA" w:tentative="1">
      <w:start w:val="1"/>
      <w:numFmt w:val="bullet"/>
      <w:lvlText w:val="•"/>
      <w:lvlJc w:val="left"/>
      <w:pPr>
        <w:tabs>
          <w:tab w:val="num" w:pos="2160"/>
        </w:tabs>
        <w:ind w:left="2160" w:hanging="360"/>
      </w:pPr>
      <w:rPr>
        <w:rFonts w:ascii="Times New Roman" w:hAnsi="Times New Roman" w:hint="default"/>
      </w:rPr>
    </w:lvl>
    <w:lvl w:ilvl="3" w:tplc="EC4220C0" w:tentative="1">
      <w:start w:val="1"/>
      <w:numFmt w:val="bullet"/>
      <w:lvlText w:val="•"/>
      <w:lvlJc w:val="left"/>
      <w:pPr>
        <w:tabs>
          <w:tab w:val="num" w:pos="2880"/>
        </w:tabs>
        <w:ind w:left="2880" w:hanging="360"/>
      </w:pPr>
      <w:rPr>
        <w:rFonts w:ascii="Times New Roman" w:hAnsi="Times New Roman" w:hint="default"/>
      </w:rPr>
    </w:lvl>
    <w:lvl w:ilvl="4" w:tplc="D67E178C" w:tentative="1">
      <w:start w:val="1"/>
      <w:numFmt w:val="bullet"/>
      <w:lvlText w:val="•"/>
      <w:lvlJc w:val="left"/>
      <w:pPr>
        <w:tabs>
          <w:tab w:val="num" w:pos="3600"/>
        </w:tabs>
        <w:ind w:left="3600" w:hanging="360"/>
      </w:pPr>
      <w:rPr>
        <w:rFonts w:ascii="Times New Roman" w:hAnsi="Times New Roman" w:hint="default"/>
      </w:rPr>
    </w:lvl>
    <w:lvl w:ilvl="5" w:tplc="A418D444" w:tentative="1">
      <w:start w:val="1"/>
      <w:numFmt w:val="bullet"/>
      <w:lvlText w:val="•"/>
      <w:lvlJc w:val="left"/>
      <w:pPr>
        <w:tabs>
          <w:tab w:val="num" w:pos="4320"/>
        </w:tabs>
        <w:ind w:left="4320" w:hanging="360"/>
      </w:pPr>
      <w:rPr>
        <w:rFonts w:ascii="Times New Roman" w:hAnsi="Times New Roman" w:hint="default"/>
      </w:rPr>
    </w:lvl>
    <w:lvl w:ilvl="6" w:tplc="DAE655A8" w:tentative="1">
      <w:start w:val="1"/>
      <w:numFmt w:val="bullet"/>
      <w:lvlText w:val="•"/>
      <w:lvlJc w:val="left"/>
      <w:pPr>
        <w:tabs>
          <w:tab w:val="num" w:pos="5040"/>
        </w:tabs>
        <w:ind w:left="5040" w:hanging="360"/>
      </w:pPr>
      <w:rPr>
        <w:rFonts w:ascii="Times New Roman" w:hAnsi="Times New Roman" w:hint="default"/>
      </w:rPr>
    </w:lvl>
    <w:lvl w:ilvl="7" w:tplc="9AA29DA6" w:tentative="1">
      <w:start w:val="1"/>
      <w:numFmt w:val="bullet"/>
      <w:lvlText w:val="•"/>
      <w:lvlJc w:val="left"/>
      <w:pPr>
        <w:tabs>
          <w:tab w:val="num" w:pos="5760"/>
        </w:tabs>
        <w:ind w:left="5760" w:hanging="360"/>
      </w:pPr>
      <w:rPr>
        <w:rFonts w:ascii="Times New Roman" w:hAnsi="Times New Roman" w:hint="default"/>
      </w:rPr>
    </w:lvl>
    <w:lvl w:ilvl="8" w:tplc="6004FD10"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23E07932"/>
    <w:multiLevelType w:val="hybridMultilevel"/>
    <w:tmpl w:val="9D984852"/>
    <w:lvl w:ilvl="0" w:tplc="CE146EBC">
      <w:start w:val="1"/>
      <w:numFmt w:val="bullet"/>
      <w:lvlText w:val="•"/>
      <w:lvlJc w:val="left"/>
      <w:pPr>
        <w:tabs>
          <w:tab w:val="num" w:pos="720"/>
        </w:tabs>
        <w:ind w:left="720" w:hanging="360"/>
      </w:pPr>
      <w:rPr>
        <w:rFonts w:ascii="Arial" w:hAnsi="Arial" w:hint="default"/>
      </w:rPr>
    </w:lvl>
    <w:lvl w:ilvl="1" w:tplc="ABD0E48A" w:tentative="1">
      <w:start w:val="1"/>
      <w:numFmt w:val="bullet"/>
      <w:lvlText w:val="•"/>
      <w:lvlJc w:val="left"/>
      <w:pPr>
        <w:tabs>
          <w:tab w:val="num" w:pos="1440"/>
        </w:tabs>
        <w:ind w:left="1440" w:hanging="360"/>
      </w:pPr>
      <w:rPr>
        <w:rFonts w:ascii="Arial" w:hAnsi="Arial" w:hint="default"/>
      </w:rPr>
    </w:lvl>
    <w:lvl w:ilvl="2" w:tplc="07F24D8E" w:tentative="1">
      <w:start w:val="1"/>
      <w:numFmt w:val="bullet"/>
      <w:lvlText w:val="•"/>
      <w:lvlJc w:val="left"/>
      <w:pPr>
        <w:tabs>
          <w:tab w:val="num" w:pos="2160"/>
        </w:tabs>
        <w:ind w:left="2160" w:hanging="360"/>
      </w:pPr>
      <w:rPr>
        <w:rFonts w:ascii="Arial" w:hAnsi="Arial" w:hint="default"/>
      </w:rPr>
    </w:lvl>
    <w:lvl w:ilvl="3" w:tplc="9F061FA4" w:tentative="1">
      <w:start w:val="1"/>
      <w:numFmt w:val="bullet"/>
      <w:lvlText w:val="•"/>
      <w:lvlJc w:val="left"/>
      <w:pPr>
        <w:tabs>
          <w:tab w:val="num" w:pos="2880"/>
        </w:tabs>
        <w:ind w:left="2880" w:hanging="360"/>
      </w:pPr>
      <w:rPr>
        <w:rFonts w:ascii="Arial" w:hAnsi="Arial" w:hint="default"/>
      </w:rPr>
    </w:lvl>
    <w:lvl w:ilvl="4" w:tplc="31365772" w:tentative="1">
      <w:start w:val="1"/>
      <w:numFmt w:val="bullet"/>
      <w:lvlText w:val="•"/>
      <w:lvlJc w:val="left"/>
      <w:pPr>
        <w:tabs>
          <w:tab w:val="num" w:pos="3600"/>
        </w:tabs>
        <w:ind w:left="3600" w:hanging="360"/>
      </w:pPr>
      <w:rPr>
        <w:rFonts w:ascii="Arial" w:hAnsi="Arial" w:hint="default"/>
      </w:rPr>
    </w:lvl>
    <w:lvl w:ilvl="5" w:tplc="29143D30" w:tentative="1">
      <w:start w:val="1"/>
      <w:numFmt w:val="bullet"/>
      <w:lvlText w:val="•"/>
      <w:lvlJc w:val="left"/>
      <w:pPr>
        <w:tabs>
          <w:tab w:val="num" w:pos="4320"/>
        </w:tabs>
        <w:ind w:left="4320" w:hanging="360"/>
      </w:pPr>
      <w:rPr>
        <w:rFonts w:ascii="Arial" w:hAnsi="Arial" w:hint="default"/>
      </w:rPr>
    </w:lvl>
    <w:lvl w:ilvl="6" w:tplc="B4EEA6FC" w:tentative="1">
      <w:start w:val="1"/>
      <w:numFmt w:val="bullet"/>
      <w:lvlText w:val="•"/>
      <w:lvlJc w:val="left"/>
      <w:pPr>
        <w:tabs>
          <w:tab w:val="num" w:pos="5040"/>
        </w:tabs>
        <w:ind w:left="5040" w:hanging="360"/>
      </w:pPr>
      <w:rPr>
        <w:rFonts w:ascii="Arial" w:hAnsi="Arial" w:hint="default"/>
      </w:rPr>
    </w:lvl>
    <w:lvl w:ilvl="7" w:tplc="C17057F2" w:tentative="1">
      <w:start w:val="1"/>
      <w:numFmt w:val="bullet"/>
      <w:lvlText w:val="•"/>
      <w:lvlJc w:val="left"/>
      <w:pPr>
        <w:tabs>
          <w:tab w:val="num" w:pos="5760"/>
        </w:tabs>
        <w:ind w:left="5760" w:hanging="360"/>
      </w:pPr>
      <w:rPr>
        <w:rFonts w:ascii="Arial" w:hAnsi="Arial" w:hint="default"/>
      </w:rPr>
    </w:lvl>
    <w:lvl w:ilvl="8" w:tplc="2F60DA7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43C64CC6"/>
    <w:multiLevelType w:val="hybridMultilevel"/>
    <w:tmpl w:val="13FAA9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7816320"/>
    <w:multiLevelType w:val="hybridMultilevel"/>
    <w:tmpl w:val="4168A846"/>
    <w:lvl w:ilvl="0" w:tplc="34FC0648">
      <w:start w:val="1"/>
      <w:numFmt w:val="bullet"/>
      <w:lvlText w:val="•"/>
      <w:lvlJc w:val="left"/>
      <w:pPr>
        <w:tabs>
          <w:tab w:val="num" w:pos="720"/>
        </w:tabs>
        <w:ind w:left="720" w:hanging="360"/>
      </w:pPr>
      <w:rPr>
        <w:rFonts w:ascii="Arial" w:hAnsi="Arial" w:hint="default"/>
      </w:rPr>
    </w:lvl>
    <w:lvl w:ilvl="1" w:tplc="716CD800" w:tentative="1">
      <w:start w:val="1"/>
      <w:numFmt w:val="bullet"/>
      <w:lvlText w:val="•"/>
      <w:lvlJc w:val="left"/>
      <w:pPr>
        <w:tabs>
          <w:tab w:val="num" w:pos="1440"/>
        </w:tabs>
        <w:ind w:left="1440" w:hanging="360"/>
      </w:pPr>
      <w:rPr>
        <w:rFonts w:ascii="Arial" w:hAnsi="Arial" w:hint="default"/>
      </w:rPr>
    </w:lvl>
    <w:lvl w:ilvl="2" w:tplc="09B6CBF2">
      <w:start w:val="1"/>
      <w:numFmt w:val="bullet"/>
      <w:lvlText w:val="•"/>
      <w:lvlJc w:val="left"/>
      <w:pPr>
        <w:tabs>
          <w:tab w:val="num" w:pos="2160"/>
        </w:tabs>
        <w:ind w:left="2160" w:hanging="360"/>
      </w:pPr>
      <w:rPr>
        <w:rFonts w:ascii="Arial" w:hAnsi="Arial" w:hint="default"/>
      </w:rPr>
    </w:lvl>
    <w:lvl w:ilvl="3" w:tplc="83E428CA" w:tentative="1">
      <w:start w:val="1"/>
      <w:numFmt w:val="bullet"/>
      <w:lvlText w:val="•"/>
      <w:lvlJc w:val="left"/>
      <w:pPr>
        <w:tabs>
          <w:tab w:val="num" w:pos="2880"/>
        </w:tabs>
        <w:ind w:left="2880" w:hanging="360"/>
      </w:pPr>
      <w:rPr>
        <w:rFonts w:ascii="Arial" w:hAnsi="Arial" w:hint="default"/>
      </w:rPr>
    </w:lvl>
    <w:lvl w:ilvl="4" w:tplc="3928FF2A" w:tentative="1">
      <w:start w:val="1"/>
      <w:numFmt w:val="bullet"/>
      <w:lvlText w:val="•"/>
      <w:lvlJc w:val="left"/>
      <w:pPr>
        <w:tabs>
          <w:tab w:val="num" w:pos="3600"/>
        </w:tabs>
        <w:ind w:left="3600" w:hanging="360"/>
      </w:pPr>
      <w:rPr>
        <w:rFonts w:ascii="Arial" w:hAnsi="Arial" w:hint="default"/>
      </w:rPr>
    </w:lvl>
    <w:lvl w:ilvl="5" w:tplc="90F47C88" w:tentative="1">
      <w:start w:val="1"/>
      <w:numFmt w:val="bullet"/>
      <w:lvlText w:val="•"/>
      <w:lvlJc w:val="left"/>
      <w:pPr>
        <w:tabs>
          <w:tab w:val="num" w:pos="4320"/>
        </w:tabs>
        <w:ind w:left="4320" w:hanging="360"/>
      </w:pPr>
      <w:rPr>
        <w:rFonts w:ascii="Arial" w:hAnsi="Arial" w:hint="default"/>
      </w:rPr>
    </w:lvl>
    <w:lvl w:ilvl="6" w:tplc="D2964BF8" w:tentative="1">
      <w:start w:val="1"/>
      <w:numFmt w:val="bullet"/>
      <w:lvlText w:val="•"/>
      <w:lvlJc w:val="left"/>
      <w:pPr>
        <w:tabs>
          <w:tab w:val="num" w:pos="5040"/>
        </w:tabs>
        <w:ind w:left="5040" w:hanging="360"/>
      </w:pPr>
      <w:rPr>
        <w:rFonts w:ascii="Arial" w:hAnsi="Arial" w:hint="default"/>
      </w:rPr>
    </w:lvl>
    <w:lvl w:ilvl="7" w:tplc="F078B392" w:tentative="1">
      <w:start w:val="1"/>
      <w:numFmt w:val="bullet"/>
      <w:lvlText w:val="•"/>
      <w:lvlJc w:val="left"/>
      <w:pPr>
        <w:tabs>
          <w:tab w:val="num" w:pos="5760"/>
        </w:tabs>
        <w:ind w:left="5760" w:hanging="360"/>
      </w:pPr>
      <w:rPr>
        <w:rFonts w:ascii="Arial" w:hAnsi="Arial" w:hint="default"/>
      </w:rPr>
    </w:lvl>
    <w:lvl w:ilvl="8" w:tplc="73CE3C3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D9179AE"/>
    <w:multiLevelType w:val="hybridMultilevel"/>
    <w:tmpl w:val="93D827FC"/>
    <w:lvl w:ilvl="0" w:tplc="630633FC">
      <w:start w:val="1"/>
      <w:numFmt w:val="bullet"/>
      <w:lvlText w:val="•"/>
      <w:lvlJc w:val="left"/>
      <w:pPr>
        <w:tabs>
          <w:tab w:val="num" w:pos="720"/>
        </w:tabs>
        <w:ind w:left="720" w:hanging="360"/>
      </w:pPr>
      <w:rPr>
        <w:rFonts w:ascii="Arial" w:hAnsi="Arial" w:hint="default"/>
      </w:rPr>
    </w:lvl>
    <w:lvl w:ilvl="1" w:tplc="B2F00E26">
      <w:start w:val="1"/>
      <w:numFmt w:val="bullet"/>
      <w:lvlText w:val="•"/>
      <w:lvlJc w:val="left"/>
      <w:pPr>
        <w:tabs>
          <w:tab w:val="num" w:pos="1440"/>
        </w:tabs>
        <w:ind w:left="1440" w:hanging="360"/>
      </w:pPr>
      <w:rPr>
        <w:rFonts w:ascii="Arial" w:hAnsi="Arial" w:hint="default"/>
      </w:rPr>
    </w:lvl>
    <w:lvl w:ilvl="2" w:tplc="4C4C7B8A" w:tentative="1">
      <w:start w:val="1"/>
      <w:numFmt w:val="bullet"/>
      <w:lvlText w:val="•"/>
      <w:lvlJc w:val="left"/>
      <w:pPr>
        <w:tabs>
          <w:tab w:val="num" w:pos="2160"/>
        </w:tabs>
        <w:ind w:left="2160" w:hanging="360"/>
      </w:pPr>
      <w:rPr>
        <w:rFonts w:ascii="Arial" w:hAnsi="Arial" w:hint="default"/>
      </w:rPr>
    </w:lvl>
    <w:lvl w:ilvl="3" w:tplc="E23E1864" w:tentative="1">
      <w:start w:val="1"/>
      <w:numFmt w:val="bullet"/>
      <w:lvlText w:val="•"/>
      <w:lvlJc w:val="left"/>
      <w:pPr>
        <w:tabs>
          <w:tab w:val="num" w:pos="2880"/>
        </w:tabs>
        <w:ind w:left="2880" w:hanging="360"/>
      </w:pPr>
      <w:rPr>
        <w:rFonts w:ascii="Arial" w:hAnsi="Arial" w:hint="default"/>
      </w:rPr>
    </w:lvl>
    <w:lvl w:ilvl="4" w:tplc="F7507476" w:tentative="1">
      <w:start w:val="1"/>
      <w:numFmt w:val="bullet"/>
      <w:lvlText w:val="•"/>
      <w:lvlJc w:val="left"/>
      <w:pPr>
        <w:tabs>
          <w:tab w:val="num" w:pos="3600"/>
        </w:tabs>
        <w:ind w:left="3600" w:hanging="360"/>
      </w:pPr>
      <w:rPr>
        <w:rFonts w:ascii="Arial" w:hAnsi="Arial" w:hint="default"/>
      </w:rPr>
    </w:lvl>
    <w:lvl w:ilvl="5" w:tplc="7652A464" w:tentative="1">
      <w:start w:val="1"/>
      <w:numFmt w:val="bullet"/>
      <w:lvlText w:val="•"/>
      <w:lvlJc w:val="left"/>
      <w:pPr>
        <w:tabs>
          <w:tab w:val="num" w:pos="4320"/>
        </w:tabs>
        <w:ind w:left="4320" w:hanging="360"/>
      </w:pPr>
      <w:rPr>
        <w:rFonts w:ascii="Arial" w:hAnsi="Arial" w:hint="default"/>
      </w:rPr>
    </w:lvl>
    <w:lvl w:ilvl="6" w:tplc="018A4342" w:tentative="1">
      <w:start w:val="1"/>
      <w:numFmt w:val="bullet"/>
      <w:lvlText w:val="•"/>
      <w:lvlJc w:val="left"/>
      <w:pPr>
        <w:tabs>
          <w:tab w:val="num" w:pos="5040"/>
        </w:tabs>
        <w:ind w:left="5040" w:hanging="360"/>
      </w:pPr>
      <w:rPr>
        <w:rFonts w:ascii="Arial" w:hAnsi="Arial" w:hint="default"/>
      </w:rPr>
    </w:lvl>
    <w:lvl w:ilvl="7" w:tplc="B8F0459E" w:tentative="1">
      <w:start w:val="1"/>
      <w:numFmt w:val="bullet"/>
      <w:lvlText w:val="•"/>
      <w:lvlJc w:val="left"/>
      <w:pPr>
        <w:tabs>
          <w:tab w:val="num" w:pos="5760"/>
        </w:tabs>
        <w:ind w:left="5760" w:hanging="360"/>
      </w:pPr>
      <w:rPr>
        <w:rFonts w:ascii="Arial" w:hAnsi="Arial" w:hint="default"/>
      </w:rPr>
    </w:lvl>
    <w:lvl w:ilvl="8" w:tplc="1B4CA88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5C6E35D6"/>
    <w:multiLevelType w:val="hybridMultilevel"/>
    <w:tmpl w:val="3EC811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A38"/>
    <w:rsid w:val="00181FFB"/>
    <w:rsid w:val="001D5220"/>
    <w:rsid w:val="004C5E92"/>
    <w:rsid w:val="0054012C"/>
    <w:rsid w:val="005D653E"/>
    <w:rsid w:val="00720F9D"/>
    <w:rsid w:val="00AD0A38"/>
    <w:rsid w:val="00B36524"/>
    <w:rsid w:val="00C374BF"/>
    <w:rsid w:val="00CF0F7B"/>
    <w:rsid w:val="00D100E2"/>
    <w:rsid w:val="00E624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ABF0C9-EEE6-4B11-A34D-FAC1E0668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D0A38"/>
    <w:pPr>
      <w:spacing w:after="0" w:line="240" w:lineRule="auto"/>
    </w:pPr>
  </w:style>
  <w:style w:type="character" w:styleId="Hyperlink">
    <w:name w:val="Hyperlink"/>
    <w:basedOn w:val="DefaultParagraphFont"/>
    <w:uiPriority w:val="99"/>
    <w:unhideWhenUsed/>
    <w:rsid w:val="00AD0A38"/>
    <w:rPr>
      <w:color w:val="0563C1" w:themeColor="hyperlink"/>
      <w:u w:val="single"/>
    </w:rPr>
  </w:style>
  <w:style w:type="paragraph" w:styleId="ListParagraph">
    <w:name w:val="List Paragraph"/>
    <w:basedOn w:val="Normal"/>
    <w:uiPriority w:val="34"/>
    <w:qFormat/>
    <w:rsid w:val="00AD0A38"/>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223200">
      <w:bodyDiv w:val="1"/>
      <w:marLeft w:val="0"/>
      <w:marRight w:val="0"/>
      <w:marTop w:val="0"/>
      <w:marBottom w:val="0"/>
      <w:divBdr>
        <w:top w:val="none" w:sz="0" w:space="0" w:color="auto"/>
        <w:left w:val="none" w:sz="0" w:space="0" w:color="auto"/>
        <w:bottom w:val="none" w:sz="0" w:space="0" w:color="auto"/>
        <w:right w:val="none" w:sz="0" w:space="0" w:color="auto"/>
      </w:divBdr>
      <w:divsChild>
        <w:div w:id="1112555562">
          <w:marLeft w:val="1166"/>
          <w:marRight w:val="0"/>
          <w:marTop w:val="96"/>
          <w:marBottom w:val="0"/>
          <w:divBdr>
            <w:top w:val="none" w:sz="0" w:space="0" w:color="auto"/>
            <w:left w:val="none" w:sz="0" w:space="0" w:color="auto"/>
            <w:bottom w:val="none" w:sz="0" w:space="0" w:color="auto"/>
            <w:right w:val="none" w:sz="0" w:space="0" w:color="auto"/>
          </w:divBdr>
        </w:div>
        <w:div w:id="484786243">
          <w:marLeft w:val="1166"/>
          <w:marRight w:val="0"/>
          <w:marTop w:val="96"/>
          <w:marBottom w:val="0"/>
          <w:divBdr>
            <w:top w:val="none" w:sz="0" w:space="0" w:color="auto"/>
            <w:left w:val="none" w:sz="0" w:space="0" w:color="auto"/>
            <w:bottom w:val="none" w:sz="0" w:space="0" w:color="auto"/>
            <w:right w:val="none" w:sz="0" w:space="0" w:color="auto"/>
          </w:divBdr>
        </w:div>
        <w:div w:id="19859378">
          <w:marLeft w:val="1166"/>
          <w:marRight w:val="0"/>
          <w:marTop w:val="96"/>
          <w:marBottom w:val="0"/>
          <w:divBdr>
            <w:top w:val="none" w:sz="0" w:space="0" w:color="auto"/>
            <w:left w:val="none" w:sz="0" w:space="0" w:color="auto"/>
            <w:bottom w:val="none" w:sz="0" w:space="0" w:color="auto"/>
            <w:right w:val="none" w:sz="0" w:space="0" w:color="auto"/>
          </w:divBdr>
        </w:div>
        <w:div w:id="1183399995">
          <w:marLeft w:val="1166"/>
          <w:marRight w:val="0"/>
          <w:marTop w:val="96"/>
          <w:marBottom w:val="0"/>
          <w:divBdr>
            <w:top w:val="none" w:sz="0" w:space="0" w:color="auto"/>
            <w:left w:val="none" w:sz="0" w:space="0" w:color="auto"/>
            <w:bottom w:val="none" w:sz="0" w:space="0" w:color="auto"/>
            <w:right w:val="none" w:sz="0" w:space="0" w:color="auto"/>
          </w:divBdr>
        </w:div>
        <w:div w:id="732512031">
          <w:marLeft w:val="1166"/>
          <w:marRight w:val="0"/>
          <w:marTop w:val="96"/>
          <w:marBottom w:val="0"/>
          <w:divBdr>
            <w:top w:val="none" w:sz="0" w:space="0" w:color="auto"/>
            <w:left w:val="none" w:sz="0" w:space="0" w:color="auto"/>
            <w:bottom w:val="none" w:sz="0" w:space="0" w:color="auto"/>
            <w:right w:val="none" w:sz="0" w:space="0" w:color="auto"/>
          </w:divBdr>
        </w:div>
      </w:divsChild>
    </w:div>
    <w:div w:id="1110316105">
      <w:bodyDiv w:val="1"/>
      <w:marLeft w:val="0"/>
      <w:marRight w:val="0"/>
      <w:marTop w:val="0"/>
      <w:marBottom w:val="0"/>
      <w:divBdr>
        <w:top w:val="none" w:sz="0" w:space="0" w:color="auto"/>
        <w:left w:val="none" w:sz="0" w:space="0" w:color="auto"/>
        <w:bottom w:val="none" w:sz="0" w:space="0" w:color="auto"/>
        <w:right w:val="none" w:sz="0" w:space="0" w:color="auto"/>
      </w:divBdr>
      <w:divsChild>
        <w:div w:id="81142814">
          <w:marLeft w:val="446"/>
          <w:marRight w:val="0"/>
          <w:marTop w:val="0"/>
          <w:marBottom w:val="0"/>
          <w:divBdr>
            <w:top w:val="none" w:sz="0" w:space="0" w:color="auto"/>
            <w:left w:val="none" w:sz="0" w:space="0" w:color="auto"/>
            <w:bottom w:val="none" w:sz="0" w:space="0" w:color="auto"/>
            <w:right w:val="none" w:sz="0" w:space="0" w:color="auto"/>
          </w:divBdr>
        </w:div>
        <w:div w:id="856190966">
          <w:marLeft w:val="446"/>
          <w:marRight w:val="0"/>
          <w:marTop w:val="0"/>
          <w:marBottom w:val="0"/>
          <w:divBdr>
            <w:top w:val="none" w:sz="0" w:space="0" w:color="auto"/>
            <w:left w:val="none" w:sz="0" w:space="0" w:color="auto"/>
            <w:bottom w:val="none" w:sz="0" w:space="0" w:color="auto"/>
            <w:right w:val="none" w:sz="0" w:space="0" w:color="auto"/>
          </w:divBdr>
        </w:div>
        <w:div w:id="1573155838">
          <w:marLeft w:val="446"/>
          <w:marRight w:val="0"/>
          <w:marTop w:val="0"/>
          <w:marBottom w:val="0"/>
          <w:divBdr>
            <w:top w:val="none" w:sz="0" w:space="0" w:color="auto"/>
            <w:left w:val="none" w:sz="0" w:space="0" w:color="auto"/>
            <w:bottom w:val="none" w:sz="0" w:space="0" w:color="auto"/>
            <w:right w:val="none" w:sz="0" w:space="0" w:color="auto"/>
          </w:divBdr>
        </w:div>
        <w:div w:id="351494302">
          <w:marLeft w:val="446"/>
          <w:marRight w:val="0"/>
          <w:marTop w:val="0"/>
          <w:marBottom w:val="0"/>
          <w:divBdr>
            <w:top w:val="none" w:sz="0" w:space="0" w:color="auto"/>
            <w:left w:val="none" w:sz="0" w:space="0" w:color="auto"/>
            <w:bottom w:val="none" w:sz="0" w:space="0" w:color="auto"/>
            <w:right w:val="none" w:sz="0" w:space="0" w:color="auto"/>
          </w:divBdr>
        </w:div>
        <w:div w:id="924875870">
          <w:marLeft w:val="446"/>
          <w:marRight w:val="0"/>
          <w:marTop w:val="0"/>
          <w:marBottom w:val="0"/>
          <w:divBdr>
            <w:top w:val="none" w:sz="0" w:space="0" w:color="auto"/>
            <w:left w:val="none" w:sz="0" w:space="0" w:color="auto"/>
            <w:bottom w:val="none" w:sz="0" w:space="0" w:color="auto"/>
            <w:right w:val="none" w:sz="0" w:space="0" w:color="auto"/>
          </w:divBdr>
        </w:div>
        <w:div w:id="49891251">
          <w:marLeft w:val="446"/>
          <w:marRight w:val="0"/>
          <w:marTop w:val="0"/>
          <w:marBottom w:val="0"/>
          <w:divBdr>
            <w:top w:val="none" w:sz="0" w:space="0" w:color="auto"/>
            <w:left w:val="none" w:sz="0" w:space="0" w:color="auto"/>
            <w:bottom w:val="none" w:sz="0" w:space="0" w:color="auto"/>
            <w:right w:val="none" w:sz="0" w:space="0" w:color="auto"/>
          </w:divBdr>
        </w:div>
      </w:divsChild>
    </w:div>
    <w:div w:id="1336498945">
      <w:bodyDiv w:val="1"/>
      <w:marLeft w:val="0"/>
      <w:marRight w:val="0"/>
      <w:marTop w:val="0"/>
      <w:marBottom w:val="0"/>
      <w:divBdr>
        <w:top w:val="none" w:sz="0" w:space="0" w:color="auto"/>
        <w:left w:val="none" w:sz="0" w:space="0" w:color="auto"/>
        <w:bottom w:val="none" w:sz="0" w:space="0" w:color="auto"/>
        <w:right w:val="none" w:sz="0" w:space="0" w:color="auto"/>
      </w:divBdr>
    </w:div>
    <w:div w:id="1679035941">
      <w:bodyDiv w:val="1"/>
      <w:marLeft w:val="0"/>
      <w:marRight w:val="0"/>
      <w:marTop w:val="0"/>
      <w:marBottom w:val="0"/>
      <w:divBdr>
        <w:top w:val="none" w:sz="0" w:space="0" w:color="auto"/>
        <w:left w:val="none" w:sz="0" w:space="0" w:color="auto"/>
        <w:bottom w:val="none" w:sz="0" w:space="0" w:color="auto"/>
        <w:right w:val="none" w:sz="0" w:space="0" w:color="auto"/>
      </w:divBdr>
      <w:divsChild>
        <w:div w:id="668479746">
          <w:marLeft w:val="1080"/>
          <w:marRight w:val="0"/>
          <w:marTop w:val="96"/>
          <w:marBottom w:val="0"/>
          <w:divBdr>
            <w:top w:val="none" w:sz="0" w:space="0" w:color="auto"/>
            <w:left w:val="none" w:sz="0" w:space="0" w:color="auto"/>
            <w:bottom w:val="none" w:sz="0" w:space="0" w:color="auto"/>
            <w:right w:val="none" w:sz="0" w:space="0" w:color="auto"/>
          </w:divBdr>
        </w:div>
        <w:div w:id="1672220274">
          <w:marLeft w:val="1080"/>
          <w:marRight w:val="0"/>
          <w:marTop w:val="96"/>
          <w:marBottom w:val="0"/>
          <w:divBdr>
            <w:top w:val="none" w:sz="0" w:space="0" w:color="auto"/>
            <w:left w:val="none" w:sz="0" w:space="0" w:color="auto"/>
            <w:bottom w:val="none" w:sz="0" w:space="0" w:color="auto"/>
            <w:right w:val="none" w:sz="0" w:space="0" w:color="auto"/>
          </w:divBdr>
        </w:div>
        <w:div w:id="982661593">
          <w:marLeft w:val="1080"/>
          <w:marRight w:val="0"/>
          <w:marTop w:val="96"/>
          <w:marBottom w:val="0"/>
          <w:divBdr>
            <w:top w:val="none" w:sz="0" w:space="0" w:color="auto"/>
            <w:left w:val="none" w:sz="0" w:space="0" w:color="auto"/>
            <w:bottom w:val="none" w:sz="0" w:space="0" w:color="auto"/>
            <w:right w:val="none" w:sz="0" w:space="0" w:color="auto"/>
          </w:divBdr>
        </w:div>
      </w:divsChild>
    </w:div>
    <w:div w:id="1702320181">
      <w:bodyDiv w:val="1"/>
      <w:marLeft w:val="0"/>
      <w:marRight w:val="0"/>
      <w:marTop w:val="0"/>
      <w:marBottom w:val="0"/>
      <w:divBdr>
        <w:top w:val="none" w:sz="0" w:space="0" w:color="auto"/>
        <w:left w:val="none" w:sz="0" w:space="0" w:color="auto"/>
        <w:bottom w:val="none" w:sz="0" w:space="0" w:color="auto"/>
        <w:right w:val="none" w:sz="0" w:space="0" w:color="auto"/>
      </w:divBdr>
    </w:div>
    <w:div w:id="2040424257">
      <w:bodyDiv w:val="1"/>
      <w:marLeft w:val="0"/>
      <w:marRight w:val="0"/>
      <w:marTop w:val="0"/>
      <w:marBottom w:val="0"/>
      <w:divBdr>
        <w:top w:val="none" w:sz="0" w:space="0" w:color="auto"/>
        <w:left w:val="none" w:sz="0" w:space="0" w:color="auto"/>
        <w:bottom w:val="none" w:sz="0" w:space="0" w:color="auto"/>
        <w:right w:val="none" w:sz="0" w:space="0" w:color="auto"/>
      </w:divBdr>
      <w:divsChild>
        <w:div w:id="345787982">
          <w:marLeft w:val="878"/>
          <w:marRight w:val="0"/>
          <w:marTop w:val="86"/>
          <w:marBottom w:val="0"/>
          <w:divBdr>
            <w:top w:val="none" w:sz="0" w:space="0" w:color="auto"/>
            <w:left w:val="none" w:sz="0" w:space="0" w:color="auto"/>
            <w:bottom w:val="none" w:sz="0" w:space="0" w:color="auto"/>
            <w:right w:val="none" w:sz="0" w:space="0" w:color="auto"/>
          </w:divBdr>
        </w:div>
        <w:div w:id="1329215435">
          <w:marLeft w:val="878"/>
          <w:marRight w:val="0"/>
          <w:marTop w:val="86"/>
          <w:marBottom w:val="0"/>
          <w:divBdr>
            <w:top w:val="none" w:sz="0" w:space="0" w:color="auto"/>
            <w:left w:val="none" w:sz="0" w:space="0" w:color="auto"/>
            <w:bottom w:val="none" w:sz="0" w:space="0" w:color="auto"/>
            <w:right w:val="none" w:sz="0" w:space="0" w:color="auto"/>
          </w:divBdr>
        </w:div>
        <w:div w:id="1958178413">
          <w:marLeft w:val="878"/>
          <w:marRight w:val="0"/>
          <w:marTop w:val="8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vdh.virginia.gov/coronavirus/schools-workplaces-community-locations/institutes-of-higher-education/" TargetMode="External"/><Relationship Id="rId5" Type="http://schemas.openxmlformats.org/officeDocument/2006/relationships/hyperlink" Target="https://www.vdh.virginia.gov/emergency-preparedness/emergency-preparedness/covid-19-informa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931</Words>
  <Characters>5307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Virginia Information Technologies Agency</Company>
  <LinksUpToDate>false</LinksUpToDate>
  <CharactersWithSpaces>6226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Magner, Michael (VDH)</dc:creator>
  <cp:keywords/>
  <dc:description/>
  <cp:lastModifiedBy>VITA Program</cp:lastModifiedBy>
  <cp:revision>2</cp:revision>
  <dcterms:created xsi:type="dcterms:W3CDTF">2020-09-24T14:40:00Z</dcterms:created>
  <dcterms:modified xsi:type="dcterms:W3CDTF">2020-09-24T14:40:00Z</dcterms:modified>
</cp:coreProperties>
</file>