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3AEF" w14:textId="77777777" w:rsidR="00525816" w:rsidRDefault="00525816" w:rsidP="00955F17">
      <w:pPr>
        <w:pStyle w:val="Heading1"/>
        <w:spacing w:before="0"/>
      </w:pPr>
      <w:r>
        <w:t>Exercise Evaluation Guide</w:t>
      </w:r>
    </w:p>
    <w:tbl>
      <w:tblPr>
        <w:tblStyle w:val="TableGrid"/>
        <w:tblW w:w="5000" w:type="pct"/>
        <w:jc w:val="center"/>
        <w:tblLook w:val="04A0" w:firstRow="1" w:lastRow="0" w:firstColumn="1" w:lastColumn="0" w:noHBand="0" w:noVBand="1"/>
        <w:tblDescription w:val="This table provides the Exercise Objective, Organizational Capability Targets, and Critical Tasks specific to the core capability and mission area."/>
      </w:tblPr>
      <w:tblGrid>
        <w:gridCol w:w="5359"/>
        <w:gridCol w:w="3794"/>
        <w:gridCol w:w="3797"/>
      </w:tblGrid>
      <w:tr w:rsidR="00525816" w:rsidRPr="000F268D" w14:paraId="0A48432C" w14:textId="77777777" w:rsidTr="00696EBE">
        <w:trPr>
          <w:trHeight w:val="720"/>
          <w:jc w:val="center"/>
        </w:trPr>
        <w:tc>
          <w:tcPr>
            <w:tcW w:w="2069" w:type="pct"/>
            <w:tcBorders>
              <w:bottom w:val="single" w:sz="4" w:space="0" w:color="auto"/>
            </w:tcBorders>
            <w:vAlign w:val="center"/>
          </w:tcPr>
          <w:p w14:paraId="023BDA57" w14:textId="77777777" w:rsidR="00525816" w:rsidRPr="000D2BE8" w:rsidRDefault="00525816" w:rsidP="00525816">
            <w:pPr>
              <w:spacing w:before="60" w:after="60"/>
              <w:rPr>
                <w:szCs w:val="24"/>
              </w:rPr>
            </w:pPr>
            <w:r w:rsidRPr="000F268D">
              <w:rPr>
                <w:i/>
                <w:szCs w:val="24"/>
              </w:rPr>
              <w:t xml:space="preserve">Exercise Name:  </w:t>
            </w:r>
            <w:r w:rsidRPr="000D2BE8">
              <w:rPr>
                <w:szCs w:val="24"/>
                <w:highlight w:val="lightGray"/>
              </w:rPr>
              <w:t>[Insert exercise name]</w:t>
            </w:r>
          </w:p>
          <w:p w14:paraId="4D33E44B" w14:textId="77777777" w:rsidR="00525816" w:rsidRPr="000F268D" w:rsidRDefault="00525816" w:rsidP="00525816">
            <w:pPr>
              <w:spacing w:before="60" w:after="60"/>
              <w:rPr>
                <w:b/>
                <w:szCs w:val="24"/>
              </w:rPr>
            </w:pPr>
            <w:r>
              <w:rPr>
                <w:i/>
                <w:szCs w:val="24"/>
              </w:rPr>
              <w:t>Exercise Date</w:t>
            </w:r>
            <w:r w:rsidRPr="000F268D">
              <w:rPr>
                <w:i/>
                <w:szCs w:val="24"/>
              </w:rPr>
              <w:t xml:space="preserve">: </w:t>
            </w:r>
            <w:r w:rsidRPr="00644FEE">
              <w:rPr>
                <w:szCs w:val="24"/>
                <w:highlight w:val="lightGray"/>
                <w:shd w:val="clear" w:color="auto" w:fill="D9D9D9" w:themeFill="background1" w:themeFillShade="D9"/>
              </w:rPr>
              <w:t xml:space="preserve">[Insert </w:t>
            </w:r>
            <w:r w:rsidR="006335A3">
              <w:rPr>
                <w:szCs w:val="24"/>
                <w:highlight w:val="lightGray"/>
                <w:shd w:val="clear" w:color="auto" w:fill="D9D9D9" w:themeFill="background1" w:themeFillShade="D9"/>
              </w:rPr>
              <w:t>exercise date</w:t>
            </w:r>
            <w:r w:rsidRPr="00644FEE">
              <w:rPr>
                <w:szCs w:val="24"/>
                <w:highlight w:val="lightGray"/>
                <w:shd w:val="clear" w:color="auto" w:fill="D9D9D9" w:themeFill="background1" w:themeFillShade="D9"/>
              </w:rPr>
              <w:t>]</w:t>
            </w:r>
            <w:r w:rsidRPr="000F268D">
              <w:rPr>
                <w:szCs w:val="24"/>
                <w:shd w:val="clear" w:color="auto" w:fill="D9D9D9" w:themeFill="background1" w:themeFillShade="D9"/>
              </w:rPr>
              <w:t xml:space="preserve"> </w:t>
            </w:r>
          </w:p>
        </w:tc>
        <w:tc>
          <w:tcPr>
            <w:tcW w:w="1465" w:type="pct"/>
            <w:tcBorders>
              <w:bottom w:val="single" w:sz="4" w:space="0" w:color="auto"/>
            </w:tcBorders>
            <w:vAlign w:val="center"/>
          </w:tcPr>
          <w:p w14:paraId="5AC9DCED" w14:textId="77777777" w:rsidR="00525816" w:rsidRPr="000F268D" w:rsidRDefault="00525816" w:rsidP="00525816">
            <w:pPr>
              <w:spacing w:before="60" w:after="60"/>
              <w:rPr>
                <w:i/>
                <w:szCs w:val="24"/>
              </w:rPr>
            </w:pPr>
            <w:r w:rsidRPr="000F268D">
              <w:rPr>
                <w:i/>
                <w:szCs w:val="24"/>
              </w:rPr>
              <w:t>Organization</w:t>
            </w:r>
            <w:r>
              <w:rPr>
                <w:i/>
                <w:szCs w:val="24"/>
              </w:rPr>
              <w:t>/Jurisdiction</w:t>
            </w:r>
            <w:r w:rsidRPr="000F268D">
              <w:rPr>
                <w:i/>
                <w:szCs w:val="24"/>
              </w:rPr>
              <w:t>:</w:t>
            </w:r>
          </w:p>
          <w:p w14:paraId="0D2D4C1D" w14:textId="77777777" w:rsidR="00525816" w:rsidRPr="000F268D" w:rsidRDefault="00525816" w:rsidP="00525816">
            <w:pPr>
              <w:spacing w:before="60" w:after="60"/>
              <w:rPr>
                <w:szCs w:val="24"/>
              </w:rPr>
            </w:pPr>
            <w:r w:rsidRPr="00644FEE">
              <w:rPr>
                <w:szCs w:val="24"/>
                <w:highlight w:val="lightGray"/>
                <w:shd w:val="clear" w:color="auto" w:fill="D9D9D9" w:themeFill="background1" w:themeFillShade="D9"/>
              </w:rPr>
              <w:t xml:space="preserve">[Insert </w:t>
            </w:r>
            <w:r>
              <w:rPr>
                <w:szCs w:val="24"/>
                <w:highlight w:val="lightGray"/>
                <w:shd w:val="clear" w:color="auto" w:fill="D9D9D9" w:themeFill="background1" w:themeFillShade="D9"/>
              </w:rPr>
              <w:t>organization or jurisdiction</w:t>
            </w:r>
            <w:r w:rsidRPr="00644FEE">
              <w:rPr>
                <w:szCs w:val="24"/>
                <w:highlight w:val="lightGray"/>
                <w:shd w:val="clear" w:color="auto" w:fill="D9D9D9" w:themeFill="background1" w:themeFillShade="D9"/>
              </w:rPr>
              <w:t>]</w:t>
            </w:r>
          </w:p>
        </w:tc>
        <w:tc>
          <w:tcPr>
            <w:tcW w:w="1466" w:type="pct"/>
            <w:tcBorders>
              <w:bottom w:val="single" w:sz="4" w:space="0" w:color="auto"/>
            </w:tcBorders>
            <w:vAlign w:val="center"/>
          </w:tcPr>
          <w:p w14:paraId="1DCDAA1C" w14:textId="77777777" w:rsidR="00525816" w:rsidRPr="000F268D" w:rsidRDefault="00525816" w:rsidP="00525816">
            <w:pPr>
              <w:spacing w:before="60" w:after="60"/>
              <w:rPr>
                <w:i/>
                <w:szCs w:val="24"/>
              </w:rPr>
            </w:pPr>
            <w:r>
              <w:rPr>
                <w:i/>
                <w:szCs w:val="24"/>
              </w:rPr>
              <w:t>Venue:</w:t>
            </w:r>
          </w:p>
          <w:p w14:paraId="7603C923" w14:textId="77777777" w:rsidR="00525816" w:rsidRPr="000F268D" w:rsidRDefault="00525816" w:rsidP="006335A3">
            <w:pPr>
              <w:spacing w:before="60" w:after="60"/>
              <w:rPr>
                <w:szCs w:val="24"/>
              </w:rPr>
            </w:pPr>
            <w:r w:rsidRPr="00644FEE">
              <w:rPr>
                <w:szCs w:val="24"/>
                <w:highlight w:val="lightGray"/>
                <w:shd w:val="clear" w:color="auto" w:fill="D9D9D9" w:themeFill="background1" w:themeFillShade="D9"/>
              </w:rPr>
              <w:t>[Insert venue name]</w:t>
            </w:r>
          </w:p>
        </w:tc>
      </w:tr>
      <w:tr w:rsidR="00525816" w:rsidRPr="000F268D" w14:paraId="374E1C5A" w14:textId="77777777" w:rsidTr="00696EBE">
        <w:trPr>
          <w:trHeight w:val="422"/>
          <w:jc w:val="center"/>
        </w:trPr>
        <w:tc>
          <w:tcPr>
            <w:tcW w:w="5000" w:type="pct"/>
            <w:gridSpan w:val="3"/>
            <w:shd w:val="clear" w:color="auto" w:fill="003366"/>
            <w:vAlign w:val="center"/>
          </w:tcPr>
          <w:p w14:paraId="1145A16A" w14:textId="77777777" w:rsidR="00525816" w:rsidRPr="000F268D" w:rsidRDefault="00F133CC" w:rsidP="00525816">
            <w:pPr>
              <w:spacing w:before="60" w:after="60"/>
              <w:jc w:val="center"/>
              <w:rPr>
                <w:b/>
                <w:szCs w:val="24"/>
              </w:rPr>
            </w:pPr>
            <w:r>
              <w:rPr>
                <w:b/>
                <w:szCs w:val="24"/>
              </w:rPr>
              <w:t>Response</w:t>
            </w:r>
          </w:p>
        </w:tc>
      </w:tr>
      <w:tr w:rsidR="00525816" w:rsidRPr="000F268D" w14:paraId="548B3511" w14:textId="77777777" w:rsidTr="00696EBE">
        <w:trPr>
          <w:trHeight w:val="467"/>
          <w:jc w:val="center"/>
        </w:trPr>
        <w:tc>
          <w:tcPr>
            <w:tcW w:w="5000" w:type="pct"/>
            <w:gridSpan w:val="3"/>
          </w:tcPr>
          <w:p w14:paraId="4AA26F0D" w14:textId="74FD3DE2" w:rsidR="00525816" w:rsidRPr="000F268D" w:rsidRDefault="00525816" w:rsidP="006679F9">
            <w:pPr>
              <w:spacing w:before="60" w:after="60"/>
              <w:rPr>
                <w:szCs w:val="24"/>
              </w:rPr>
            </w:pPr>
            <w:r w:rsidRPr="000D2BE8">
              <w:rPr>
                <w:i/>
                <w:szCs w:val="24"/>
              </w:rPr>
              <w:t>Exercise Objective:</w:t>
            </w:r>
            <w:r w:rsidR="005546A9" w:rsidRPr="001C2A42">
              <w:t xml:space="preserve"> </w:t>
            </w:r>
            <w:r w:rsidR="006679F9" w:rsidRPr="00C31D93">
              <w:rPr>
                <w:szCs w:val="24"/>
              </w:rPr>
              <w:t>Increase stakeholder knowledge of the local COVID 19 Vaccination Campaign Plan and their roles to support execution of the plan upon arrival of COVID vaccines in the Commonwealth.</w:t>
            </w:r>
          </w:p>
        </w:tc>
      </w:tr>
      <w:tr w:rsidR="00525816" w:rsidRPr="000F268D" w14:paraId="23CB439C" w14:textId="77777777" w:rsidTr="00696EBE">
        <w:trPr>
          <w:trHeight w:val="720"/>
          <w:jc w:val="center"/>
        </w:trPr>
        <w:tc>
          <w:tcPr>
            <w:tcW w:w="5000" w:type="pct"/>
            <w:gridSpan w:val="3"/>
          </w:tcPr>
          <w:p w14:paraId="7B7FA3DD" w14:textId="44733996" w:rsidR="0077085D" w:rsidRDefault="00525816" w:rsidP="00D93B9C">
            <w:pPr>
              <w:spacing w:before="60" w:after="60"/>
              <w:rPr>
                <w:b/>
                <w:szCs w:val="24"/>
              </w:rPr>
            </w:pPr>
            <w:r>
              <w:rPr>
                <w:i/>
                <w:szCs w:val="24"/>
              </w:rPr>
              <w:t>Core Capability</w:t>
            </w:r>
            <w:r w:rsidRPr="000D2BE8">
              <w:rPr>
                <w:i/>
                <w:szCs w:val="24"/>
              </w:rPr>
              <w:t>:</w:t>
            </w:r>
            <w:r>
              <w:rPr>
                <w:szCs w:val="24"/>
              </w:rPr>
              <w:t xml:space="preserve">  </w:t>
            </w:r>
            <w:r w:rsidR="00095269">
              <w:rPr>
                <w:b/>
                <w:szCs w:val="24"/>
              </w:rPr>
              <w:t xml:space="preserve">Community </w:t>
            </w:r>
            <w:r w:rsidR="00CB64A5">
              <w:rPr>
                <w:b/>
                <w:szCs w:val="24"/>
              </w:rPr>
              <w:t>Preparedness</w:t>
            </w:r>
          </w:p>
          <w:p w14:paraId="6ABE5B8E" w14:textId="5E04980E" w:rsidR="00D93B9C" w:rsidRPr="00CB64A5" w:rsidRDefault="006679F9" w:rsidP="006679F9">
            <w:pPr>
              <w:spacing w:before="60" w:after="60"/>
              <w:rPr>
                <w:szCs w:val="24"/>
              </w:rPr>
            </w:pPr>
            <w:r w:rsidRPr="006679F9">
              <w:rPr>
                <w:szCs w:val="24"/>
              </w:rPr>
              <w:t>Community preparedness is the ability of communities to prepare for, withstand, and recover from public health incidents in both the short and long term. Through engagement and coordination with a cross-section of state, local, tribal, and territorial partners and stakeholders, the public health role in community preparedness</w:t>
            </w:r>
            <w:r>
              <w:rPr>
                <w:szCs w:val="24"/>
              </w:rPr>
              <w:t>.</w:t>
            </w:r>
          </w:p>
        </w:tc>
      </w:tr>
      <w:tr w:rsidR="00525816" w:rsidRPr="000F268D" w14:paraId="38B9B5AA" w14:textId="77777777" w:rsidTr="00696EBE">
        <w:trPr>
          <w:trHeight w:val="422"/>
          <w:jc w:val="center"/>
        </w:trPr>
        <w:tc>
          <w:tcPr>
            <w:tcW w:w="5000" w:type="pct"/>
            <w:gridSpan w:val="3"/>
            <w:vAlign w:val="center"/>
          </w:tcPr>
          <w:p w14:paraId="47ED7629" w14:textId="52FC4FCF" w:rsidR="00525816" w:rsidRPr="00644FEE" w:rsidRDefault="00EA133A" w:rsidP="00525816">
            <w:pPr>
              <w:spacing w:before="60" w:after="60"/>
              <w:rPr>
                <w:b/>
                <w:szCs w:val="24"/>
              </w:rPr>
            </w:pPr>
            <w:r>
              <w:rPr>
                <w:b/>
                <w:szCs w:val="24"/>
              </w:rPr>
              <w:t>Organizational</w:t>
            </w:r>
            <w:r w:rsidR="008A1879">
              <w:rPr>
                <w:b/>
                <w:szCs w:val="24"/>
              </w:rPr>
              <w:t xml:space="preserve"> </w:t>
            </w:r>
            <w:r w:rsidR="00525816">
              <w:rPr>
                <w:b/>
                <w:szCs w:val="24"/>
              </w:rPr>
              <w:t>Capability</w:t>
            </w:r>
            <w:r w:rsidR="00525816" w:rsidRPr="000F268D">
              <w:rPr>
                <w:b/>
                <w:szCs w:val="24"/>
              </w:rPr>
              <w:t xml:space="preserve"> Target 1</w:t>
            </w:r>
            <w:r w:rsidR="00525816">
              <w:rPr>
                <w:b/>
                <w:szCs w:val="24"/>
              </w:rPr>
              <w:t xml:space="preserve">: </w:t>
            </w:r>
            <w:r w:rsidR="00452029">
              <w:rPr>
                <w:b/>
                <w:szCs w:val="24"/>
              </w:rPr>
              <w:t xml:space="preserve"> </w:t>
            </w:r>
            <w:r w:rsidR="009875B5">
              <w:rPr>
                <w:b/>
                <w:szCs w:val="24"/>
              </w:rPr>
              <w:t>Determine risks to the health of the jurisdiction</w:t>
            </w:r>
          </w:p>
          <w:p w14:paraId="26F67150" w14:textId="57212A6F" w:rsidR="005900D6" w:rsidRPr="005900D6" w:rsidRDefault="00525816" w:rsidP="005900D6">
            <w:pPr>
              <w:spacing w:before="60" w:after="60"/>
              <w:rPr>
                <w:szCs w:val="24"/>
              </w:rPr>
            </w:pPr>
            <w:r w:rsidRPr="000F268D">
              <w:rPr>
                <w:i/>
                <w:szCs w:val="24"/>
              </w:rPr>
              <w:t>Critical Task:</w:t>
            </w:r>
            <w:r w:rsidRPr="000F268D">
              <w:rPr>
                <w:szCs w:val="24"/>
              </w:rPr>
              <w:t xml:space="preserve"> </w:t>
            </w:r>
            <w:r w:rsidR="00282935">
              <w:rPr>
                <w:szCs w:val="24"/>
              </w:rPr>
              <w:t>Discuss</w:t>
            </w:r>
            <w:r w:rsidR="005900D6">
              <w:rPr>
                <w:szCs w:val="24"/>
              </w:rPr>
              <w:t xml:space="preserve"> </w:t>
            </w:r>
            <w:r w:rsidR="005900D6" w:rsidRPr="005900D6">
              <w:rPr>
                <w:szCs w:val="24"/>
              </w:rPr>
              <w:t>the public health, medical, and mental/behavioral health services for which the jurisdiction needs to have access to mitigate identified disaster health risks.</w:t>
            </w:r>
          </w:p>
          <w:p w14:paraId="4C388A0C" w14:textId="656CC094" w:rsidR="005900D6" w:rsidRPr="005900D6" w:rsidRDefault="00525816" w:rsidP="005900D6">
            <w:pPr>
              <w:spacing w:before="60" w:after="60"/>
              <w:rPr>
                <w:szCs w:val="24"/>
              </w:rPr>
            </w:pPr>
            <w:r w:rsidRPr="000F268D">
              <w:rPr>
                <w:i/>
                <w:szCs w:val="24"/>
              </w:rPr>
              <w:t>Critical Task:</w:t>
            </w:r>
            <w:r>
              <w:rPr>
                <w:i/>
                <w:szCs w:val="24"/>
              </w:rPr>
              <w:t xml:space="preserve"> </w:t>
            </w:r>
            <w:r w:rsidR="00282935">
              <w:rPr>
                <w:szCs w:val="24"/>
              </w:rPr>
              <w:t>Discuss</w:t>
            </w:r>
            <w:r w:rsidR="005900D6">
              <w:rPr>
                <w:szCs w:val="24"/>
              </w:rPr>
              <w:t xml:space="preserve"> </w:t>
            </w:r>
            <w:r w:rsidR="005900D6" w:rsidRPr="005900D6">
              <w:rPr>
                <w:szCs w:val="24"/>
              </w:rPr>
              <w:t>the public health, medical, and mental/behavioral health services within the jurisdiction that currently support the mitigation of identified disaster health risks</w:t>
            </w:r>
          </w:p>
          <w:p w14:paraId="3560BDF7" w14:textId="0DC26E13" w:rsidR="00525816" w:rsidRPr="00682C89" w:rsidRDefault="005900D6" w:rsidP="005900D6">
            <w:pPr>
              <w:spacing w:before="60" w:after="60"/>
              <w:rPr>
                <w:szCs w:val="24"/>
              </w:rPr>
            </w:pPr>
            <w:r w:rsidRPr="005900D6">
              <w:rPr>
                <w:i/>
                <w:szCs w:val="24"/>
              </w:rPr>
              <w:t xml:space="preserve"> </w:t>
            </w:r>
          </w:p>
          <w:p w14:paraId="5B647A6E" w14:textId="77777777"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r w:rsidR="00525816" w:rsidRPr="000F268D" w14:paraId="45C72AFF" w14:textId="77777777" w:rsidTr="00696EBE">
        <w:trPr>
          <w:trHeight w:val="422"/>
          <w:jc w:val="center"/>
        </w:trPr>
        <w:tc>
          <w:tcPr>
            <w:tcW w:w="5000" w:type="pct"/>
            <w:gridSpan w:val="3"/>
            <w:vAlign w:val="center"/>
          </w:tcPr>
          <w:p w14:paraId="477AFD38" w14:textId="62F1D37A" w:rsidR="00525816" w:rsidRPr="000F268D" w:rsidRDefault="00EA133A" w:rsidP="00525816">
            <w:pPr>
              <w:spacing w:before="60" w:after="60"/>
              <w:rPr>
                <w:b/>
                <w:szCs w:val="24"/>
              </w:rPr>
            </w:pPr>
            <w:r>
              <w:rPr>
                <w:b/>
                <w:szCs w:val="24"/>
              </w:rPr>
              <w:t>Organizational</w:t>
            </w:r>
            <w:r w:rsidR="00351DDD">
              <w:rPr>
                <w:b/>
                <w:szCs w:val="24"/>
              </w:rPr>
              <w:t xml:space="preserve"> </w:t>
            </w:r>
            <w:r w:rsidR="00525816">
              <w:rPr>
                <w:b/>
                <w:szCs w:val="24"/>
              </w:rPr>
              <w:t>Capability</w:t>
            </w:r>
            <w:r w:rsidR="00525816" w:rsidRPr="000F268D">
              <w:rPr>
                <w:b/>
                <w:szCs w:val="24"/>
              </w:rPr>
              <w:t xml:space="preserve"> Target </w:t>
            </w:r>
            <w:r w:rsidR="00525816">
              <w:rPr>
                <w:b/>
                <w:szCs w:val="24"/>
              </w:rPr>
              <w:t>2:</w:t>
            </w:r>
            <w:r w:rsidR="00452029">
              <w:rPr>
                <w:b/>
                <w:szCs w:val="24"/>
              </w:rPr>
              <w:t xml:space="preserve"> </w:t>
            </w:r>
            <w:r w:rsidR="00525816">
              <w:rPr>
                <w:b/>
                <w:szCs w:val="24"/>
              </w:rPr>
              <w:t xml:space="preserve"> </w:t>
            </w:r>
            <w:r w:rsidR="00E20FDA">
              <w:rPr>
                <w:b/>
                <w:szCs w:val="24"/>
              </w:rPr>
              <w:t>Build community partnerships to support health preparedness</w:t>
            </w:r>
          </w:p>
          <w:p w14:paraId="54512B9A" w14:textId="00E5DAD8" w:rsidR="00525816" w:rsidRPr="000F268D" w:rsidRDefault="00525816" w:rsidP="00682C89">
            <w:pPr>
              <w:spacing w:before="60" w:after="60"/>
              <w:rPr>
                <w:szCs w:val="24"/>
              </w:rPr>
            </w:pPr>
            <w:r w:rsidRPr="000F268D">
              <w:rPr>
                <w:i/>
                <w:szCs w:val="24"/>
              </w:rPr>
              <w:t>Critical Task:</w:t>
            </w:r>
            <w:r w:rsidRPr="000F268D">
              <w:rPr>
                <w:szCs w:val="24"/>
              </w:rPr>
              <w:t xml:space="preserve"> </w:t>
            </w:r>
            <w:r w:rsidR="00282935">
              <w:rPr>
                <w:szCs w:val="24"/>
              </w:rPr>
              <w:t>Discuss</w:t>
            </w:r>
            <w:r w:rsidR="00E20FDA" w:rsidRPr="00E20FDA">
              <w:rPr>
                <w:szCs w:val="24"/>
              </w:rPr>
              <w:t xml:space="preserve"> community sector groups to be engaged for partnership based upon the jurisdictional risk assessment</w:t>
            </w:r>
            <w:r w:rsidR="00E20FDA">
              <w:rPr>
                <w:szCs w:val="24"/>
              </w:rPr>
              <w:t>.</w:t>
            </w:r>
          </w:p>
          <w:p w14:paraId="4902A01E" w14:textId="581D0E89" w:rsidR="00525816" w:rsidRPr="00193E3E" w:rsidRDefault="00525816" w:rsidP="00525816">
            <w:pPr>
              <w:spacing w:before="60" w:after="60"/>
              <w:rPr>
                <w:i/>
                <w:szCs w:val="24"/>
              </w:rPr>
            </w:pPr>
            <w:r w:rsidRPr="000F268D">
              <w:rPr>
                <w:i/>
                <w:szCs w:val="24"/>
              </w:rPr>
              <w:t>Critical Task:</w:t>
            </w:r>
            <w:r>
              <w:rPr>
                <w:i/>
                <w:szCs w:val="24"/>
              </w:rPr>
              <w:t xml:space="preserve"> </w:t>
            </w:r>
            <w:r w:rsidRPr="000F268D">
              <w:rPr>
                <w:i/>
                <w:szCs w:val="24"/>
              </w:rPr>
              <w:t xml:space="preserve"> </w:t>
            </w:r>
            <w:r w:rsidR="00282935">
              <w:rPr>
                <w:szCs w:val="24"/>
              </w:rPr>
              <w:t>Discuss</w:t>
            </w:r>
            <w:r w:rsidR="00193E3E" w:rsidRPr="00193E3E">
              <w:rPr>
                <w:szCs w:val="24"/>
              </w:rPr>
              <w:t xml:space="preserve"> strategies for ongoing engagement with community partners who may be able to provide services to mitigate identified public health threats or incidents (concept of “strategic advisory council” or joint collaborative).</w:t>
            </w:r>
          </w:p>
          <w:p w14:paraId="04C56B54" w14:textId="49CF2FFF" w:rsidR="00525816" w:rsidRPr="00193E3E" w:rsidRDefault="00525816" w:rsidP="00193E3E">
            <w:pPr>
              <w:spacing w:before="60" w:after="60"/>
              <w:rPr>
                <w:szCs w:val="24"/>
              </w:rPr>
            </w:pPr>
            <w:r w:rsidRPr="000F268D">
              <w:rPr>
                <w:i/>
                <w:szCs w:val="24"/>
              </w:rPr>
              <w:t xml:space="preserve">Critical Task:  </w:t>
            </w:r>
            <w:r w:rsidR="00193E3E">
              <w:rPr>
                <w:szCs w:val="24"/>
              </w:rPr>
              <w:t xml:space="preserve">Discuss </w:t>
            </w:r>
            <w:r w:rsidR="00193E3E" w:rsidRPr="00193E3E">
              <w:rPr>
                <w:szCs w:val="24"/>
              </w:rPr>
              <w:t>community and faith-based partnerships as well as collaborations with any age</w:t>
            </w:r>
            <w:r w:rsidR="00193E3E">
              <w:rPr>
                <w:szCs w:val="24"/>
              </w:rPr>
              <w:t xml:space="preserve">ncies primarily responsible for </w:t>
            </w:r>
            <w:r w:rsidR="00193E3E" w:rsidRPr="00193E3E">
              <w:rPr>
                <w:szCs w:val="24"/>
              </w:rPr>
              <w:t>providing direct health-related services to help assure the community’s ability to deliver public health, medical, and</w:t>
            </w:r>
            <w:r w:rsidR="00193E3E">
              <w:rPr>
                <w:szCs w:val="24"/>
              </w:rPr>
              <w:t xml:space="preserve"> </w:t>
            </w:r>
            <w:r w:rsidR="00193E3E" w:rsidRPr="00193E3E">
              <w:rPr>
                <w:szCs w:val="24"/>
              </w:rPr>
              <w:t>mental/behavioral health services in both short and long term settings during and after an incident.</w:t>
            </w:r>
          </w:p>
          <w:p w14:paraId="17EA1A8A" w14:textId="77777777" w:rsidR="00193E3E" w:rsidRPr="00193E3E" w:rsidRDefault="00525816" w:rsidP="00193E3E">
            <w:pPr>
              <w:spacing w:before="60" w:after="60"/>
              <w:rPr>
                <w:i/>
                <w:szCs w:val="24"/>
              </w:rPr>
            </w:pPr>
            <w:r w:rsidRPr="000F268D">
              <w:rPr>
                <w:i/>
                <w:szCs w:val="24"/>
              </w:rPr>
              <w:t xml:space="preserve">Critical Task:  </w:t>
            </w:r>
            <w:r w:rsidR="00193E3E" w:rsidRPr="00193E3E">
              <w:rPr>
                <w:szCs w:val="24"/>
              </w:rPr>
              <w:t>Discuss a continuous quality improvement process to incorporate feedback from community and faith-based partners into jurisdictional emergency operations plans.</w:t>
            </w:r>
          </w:p>
          <w:p w14:paraId="24B3337C" w14:textId="2550CF06" w:rsidR="00525816" w:rsidRDefault="003340EA" w:rsidP="00525816">
            <w:pPr>
              <w:spacing w:before="60" w:after="60"/>
              <w:rPr>
                <w:i/>
                <w:szCs w:val="24"/>
              </w:rPr>
            </w:pPr>
            <w:r w:rsidRPr="000F268D">
              <w:rPr>
                <w:i/>
                <w:szCs w:val="24"/>
              </w:rPr>
              <w:t xml:space="preserve">Critical Task:  </w:t>
            </w:r>
            <w:r w:rsidR="00282935">
              <w:rPr>
                <w:szCs w:val="24"/>
              </w:rPr>
              <w:t>Discuss</w:t>
            </w:r>
            <w:r w:rsidRPr="003340EA">
              <w:rPr>
                <w:szCs w:val="24"/>
              </w:rPr>
              <w:t xml:space="preserve"> community leaders that can act as trusted spokespersons to deliver public health messages</w:t>
            </w:r>
            <w:r>
              <w:rPr>
                <w:szCs w:val="24"/>
              </w:rPr>
              <w:t xml:space="preserve">. </w:t>
            </w:r>
          </w:p>
          <w:p w14:paraId="66056B3C" w14:textId="77777777" w:rsidR="003340EA" w:rsidRDefault="003340EA" w:rsidP="00525816">
            <w:pPr>
              <w:spacing w:before="60" w:after="60"/>
              <w:rPr>
                <w:szCs w:val="24"/>
              </w:rPr>
            </w:pPr>
          </w:p>
          <w:p w14:paraId="09CAD7D8" w14:textId="77777777"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r w:rsidR="00525816" w:rsidRPr="000F268D" w14:paraId="258DFB42" w14:textId="77777777" w:rsidTr="00696EBE">
        <w:trPr>
          <w:trHeight w:val="422"/>
          <w:jc w:val="center"/>
        </w:trPr>
        <w:tc>
          <w:tcPr>
            <w:tcW w:w="5000" w:type="pct"/>
            <w:gridSpan w:val="3"/>
            <w:vAlign w:val="center"/>
          </w:tcPr>
          <w:p w14:paraId="04C954F4" w14:textId="072DF0AD" w:rsidR="00525816" w:rsidRPr="000F268D" w:rsidRDefault="00EA133A" w:rsidP="00525816">
            <w:pPr>
              <w:spacing w:before="60" w:after="60"/>
              <w:rPr>
                <w:b/>
                <w:szCs w:val="24"/>
              </w:rPr>
            </w:pPr>
            <w:r>
              <w:rPr>
                <w:b/>
                <w:szCs w:val="24"/>
              </w:rPr>
              <w:lastRenderedPageBreak/>
              <w:t>Organizational</w:t>
            </w:r>
            <w:r w:rsidR="008A1879">
              <w:rPr>
                <w:b/>
                <w:szCs w:val="24"/>
              </w:rPr>
              <w:t xml:space="preserve"> </w:t>
            </w:r>
            <w:r w:rsidR="00525816">
              <w:rPr>
                <w:b/>
                <w:szCs w:val="24"/>
              </w:rPr>
              <w:t>Capability</w:t>
            </w:r>
            <w:r w:rsidR="00525816" w:rsidRPr="000F268D">
              <w:rPr>
                <w:b/>
                <w:szCs w:val="24"/>
              </w:rPr>
              <w:t xml:space="preserve"> Target </w:t>
            </w:r>
            <w:r w:rsidR="00525816">
              <w:rPr>
                <w:b/>
                <w:szCs w:val="24"/>
              </w:rPr>
              <w:t>3:</w:t>
            </w:r>
            <w:r w:rsidR="00452029">
              <w:rPr>
                <w:b/>
                <w:szCs w:val="24"/>
              </w:rPr>
              <w:t xml:space="preserve"> </w:t>
            </w:r>
            <w:r w:rsidR="00BA55BA">
              <w:rPr>
                <w:b/>
                <w:szCs w:val="24"/>
              </w:rPr>
              <w:t xml:space="preserve">Engage with community organizations to foster public health, medical, and mental/behavioral health social networks </w:t>
            </w:r>
          </w:p>
          <w:p w14:paraId="55A9DCE6" w14:textId="77777777" w:rsidR="00BA55BA" w:rsidRPr="00BA55BA" w:rsidRDefault="00525816" w:rsidP="00BA55BA">
            <w:pPr>
              <w:rPr>
                <w:rFonts w:eastAsia="Times New Roman"/>
                <w:szCs w:val="24"/>
              </w:rPr>
            </w:pPr>
            <w:r w:rsidRPr="000F268D">
              <w:rPr>
                <w:i/>
                <w:szCs w:val="24"/>
              </w:rPr>
              <w:t>Critical Task:</w:t>
            </w:r>
            <w:r w:rsidRPr="000F268D">
              <w:rPr>
                <w:szCs w:val="24"/>
              </w:rPr>
              <w:t xml:space="preserve">  </w:t>
            </w:r>
            <w:r w:rsidR="00BA55BA" w:rsidRPr="00BA55BA">
              <w:rPr>
                <w:szCs w:val="24"/>
              </w:rPr>
              <w:t xml:space="preserve">Discuss </w:t>
            </w:r>
            <w:r w:rsidR="00BA55BA" w:rsidRPr="00BA55BA">
              <w:rPr>
                <w:rFonts w:eastAsia="Times New Roman"/>
                <w:szCs w:val="24"/>
              </w:rPr>
              <w:t>how to connect to public health to participate in public health and community partner preparedness efforts.</w:t>
            </w:r>
          </w:p>
          <w:p w14:paraId="3532D312" w14:textId="77777777" w:rsidR="00BA55BA" w:rsidRPr="00BA55BA" w:rsidRDefault="00525816" w:rsidP="00BA55BA">
            <w:pPr>
              <w:spacing w:before="60" w:after="60"/>
              <w:rPr>
                <w:i/>
                <w:szCs w:val="24"/>
              </w:rPr>
            </w:pPr>
            <w:r w:rsidRPr="000F268D">
              <w:rPr>
                <w:i/>
                <w:szCs w:val="24"/>
              </w:rPr>
              <w:t>Critical Task:</w:t>
            </w:r>
            <w:r>
              <w:rPr>
                <w:i/>
                <w:szCs w:val="24"/>
              </w:rPr>
              <w:t xml:space="preserve"> </w:t>
            </w:r>
            <w:r w:rsidRPr="000F268D">
              <w:rPr>
                <w:i/>
                <w:szCs w:val="24"/>
              </w:rPr>
              <w:t xml:space="preserve"> </w:t>
            </w:r>
            <w:r w:rsidR="00BA55BA" w:rsidRPr="00BA55BA">
              <w:rPr>
                <w:szCs w:val="24"/>
              </w:rPr>
              <w:t>Discuss how essential health services to the community are connected to jurisdictional public health preparedness plans and efforts.</w:t>
            </w:r>
          </w:p>
          <w:p w14:paraId="2945CCFD" w14:textId="2723EF60" w:rsidR="00BA55BA" w:rsidRPr="00BA55BA" w:rsidRDefault="00525816" w:rsidP="00BA55BA">
            <w:pPr>
              <w:spacing w:before="60" w:after="60"/>
              <w:rPr>
                <w:i/>
                <w:szCs w:val="24"/>
              </w:rPr>
            </w:pPr>
            <w:r w:rsidRPr="000F268D">
              <w:rPr>
                <w:i/>
                <w:szCs w:val="24"/>
              </w:rPr>
              <w:t xml:space="preserve">Critical Task:  </w:t>
            </w:r>
            <w:r w:rsidR="00BA55BA" w:rsidRPr="00BA55BA">
              <w:rPr>
                <w:szCs w:val="24"/>
              </w:rPr>
              <w:t>Discuss jurisdictional networks (e.g., local businesses, community and faith-based organizations, ethnic radio/media, and, if used by the jurisdiction, social networking sites) for public health, medical, and mental/behavioral health information dissemination before, during, and after the incident</w:t>
            </w:r>
            <w:r w:rsidR="00BA55BA">
              <w:rPr>
                <w:szCs w:val="24"/>
              </w:rPr>
              <w:t>.</w:t>
            </w:r>
          </w:p>
          <w:p w14:paraId="6B3740EC" w14:textId="77777777" w:rsidR="004C2E82" w:rsidRDefault="004C2E82" w:rsidP="00545B7E">
            <w:pPr>
              <w:spacing w:before="60" w:after="60"/>
              <w:rPr>
                <w:szCs w:val="24"/>
              </w:rPr>
            </w:pPr>
          </w:p>
          <w:p w14:paraId="026987DE" w14:textId="77777777" w:rsidR="00C737F2" w:rsidRPr="000F268D" w:rsidRDefault="006C6F5E" w:rsidP="00525816">
            <w:pPr>
              <w:spacing w:before="60" w:after="60"/>
              <w:rPr>
                <w:szCs w:val="24"/>
              </w:rPr>
            </w:pPr>
            <w:r>
              <w:rPr>
                <w:b/>
                <w:szCs w:val="24"/>
              </w:rPr>
              <w:t xml:space="preserve">Source(s): </w:t>
            </w:r>
            <w:r>
              <w:rPr>
                <w:szCs w:val="24"/>
                <w:highlight w:val="lightGray"/>
              </w:rPr>
              <w:t>[Insert name of plan, policy, procedure, or reference]</w:t>
            </w:r>
          </w:p>
        </w:tc>
      </w:tr>
      <w:tr w:rsidR="00BA55BA" w:rsidRPr="000F268D" w14:paraId="249C5A9D" w14:textId="77777777" w:rsidTr="00696EBE">
        <w:trPr>
          <w:trHeight w:val="422"/>
          <w:jc w:val="center"/>
        </w:trPr>
        <w:tc>
          <w:tcPr>
            <w:tcW w:w="5000" w:type="pct"/>
            <w:gridSpan w:val="3"/>
            <w:vAlign w:val="center"/>
          </w:tcPr>
          <w:p w14:paraId="13205370" w14:textId="77777777" w:rsidR="00BA55BA" w:rsidRDefault="00BA55BA" w:rsidP="00525816">
            <w:pPr>
              <w:spacing w:before="60" w:after="60"/>
              <w:rPr>
                <w:b/>
                <w:szCs w:val="24"/>
              </w:rPr>
            </w:pPr>
            <w:r>
              <w:rPr>
                <w:b/>
                <w:szCs w:val="24"/>
              </w:rPr>
              <w:t>Organizational Capability</w:t>
            </w:r>
            <w:r w:rsidRPr="000F268D">
              <w:rPr>
                <w:b/>
                <w:szCs w:val="24"/>
              </w:rPr>
              <w:t xml:space="preserve"> Target</w:t>
            </w:r>
            <w:r>
              <w:rPr>
                <w:b/>
                <w:szCs w:val="24"/>
              </w:rPr>
              <w:t xml:space="preserve"> 4: </w:t>
            </w:r>
            <w:r w:rsidR="004C2E82">
              <w:rPr>
                <w:b/>
                <w:szCs w:val="24"/>
              </w:rPr>
              <w:t xml:space="preserve">Coordinate training or guidance to ensure community engagement in preparedness efforts </w:t>
            </w:r>
          </w:p>
          <w:p w14:paraId="223B668E" w14:textId="6288AE43" w:rsidR="004C2E82" w:rsidRDefault="004C2E82" w:rsidP="004C2E82">
            <w:pPr>
              <w:spacing w:before="60" w:after="60"/>
              <w:rPr>
                <w:szCs w:val="24"/>
              </w:rPr>
            </w:pPr>
            <w:r w:rsidRPr="000F268D">
              <w:rPr>
                <w:i/>
                <w:szCs w:val="24"/>
              </w:rPr>
              <w:t>Critical Task:</w:t>
            </w:r>
            <w:r w:rsidRPr="000F268D">
              <w:rPr>
                <w:szCs w:val="24"/>
              </w:rPr>
              <w:t xml:space="preserve">  </w:t>
            </w:r>
            <w:r>
              <w:rPr>
                <w:szCs w:val="24"/>
              </w:rPr>
              <w:t xml:space="preserve">Discuss </w:t>
            </w:r>
            <w:r w:rsidRPr="004C2E82">
              <w:rPr>
                <w:szCs w:val="24"/>
              </w:rPr>
              <w:t>community-derived approaches to support the provision</w:t>
            </w:r>
            <w:r>
              <w:rPr>
                <w:szCs w:val="24"/>
              </w:rPr>
              <w:t xml:space="preserve"> </w:t>
            </w:r>
            <w:r w:rsidRPr="004C2E82">
              <w:rPr>
                <w:szCs w:val="24"/>
              </w:rPr>
              <w:t>of public health, medical, and mental/behavioral health services during and after an incid</w:t>
            </w:r>
            <w:r>
              <w:rPr>
                <w:szCs w:val="24"/>
              </w:rPr>
              <w:t xml:space="preserve">ent, into existing training and </w:t>
            </w:r>
            <w:r w:rsidRPr="004C2E82">
              <w:rPr>
                <w:szCs w:val="24"/>
              </w:rPr>
              <w:t>educational programs related to crisis and disaster preparedness and response.</w:t>
            </w:r>
          </w:p>
          <w:p w14:paraId="593B1E39" w14:textId="7176641F" w:rsidR="004C2E82" w:rsidRDefault="004C2E82" w:rsidP="00B06B5B">
            <w:pPr>
              <w:spacing w:before="60" w:after="60"/>
              <w:rPr>
                <w:szCs w:val="24"/>
              </w:rPr>
            </w:pPr>
            <w:r w:rsidRPr="000F268D">
              <w:rPr>
                <w:i/>
                <w:szCs w:val="24"/>
              </w:rPr>
              <w:t>Critical Task:</w:t>
            </w:r>
            <w:r w:rsidRPr="000F268D">
              <w:rPr>
                <w:szCs w:val="24"/>
              </w:rPr>
              <w:t xml:space="preserve">  </w:t>
            </w:r>
            <w:r w:rsidR="00282935">
              <w:rPr>
                <w:szCs w:val="24"/>
              </w:rPr>
              <w:t>Discuss</w:t>
            </w:r>
            <w:r w:rsidR="00B06B5B">
              <w:rPr>
                <w:szCs w:val="24"/>
              </w:rPr>
              <w:t xml:space="preserve"> training for</w:t>
            </w:r>
            <w:r w:rsidR="00B06B5B" w:rsidRPr="00B06B5B">
              <w:rPr>
                <w:szCs w:val="24"/>
              </w:rPr>
              <w:t xml:space="preserve"> community partners that may have a supporting role to publ</w:t>
            </w:r>
            <w:r w:rsidR="00B06B5B">
              <w:rPr>
                <w:szCs w:val="24"/>
              </w:rPr>
              <w:t xml:space="preserve">ic health, medical, and mental/ </w:t>
            </w:r>
            <w:r w:rsidR="00B06B5B" w:rsidRPr="00B06B5B">
              <w:rPr>
                <w:szCs w:val="24"/>
              </w:rPr>
              <w:t>behavioral health sectors</w:t>
            </w:r>
            <w:r w:rsidR="00B06B5B">
              <w:rPr>
                <w:szCs w:val="24"/>
              </w:rPr>
              <w:t xml:space="preserve">. </w:t>
            </w:r>
          </w:p>
          <w:p w14:paraId="3475385C" w14:textId="211378F5" w:rsidR="004C2E82" w:rsidRDefault="004C2E82" w:rsidP="00525816">
            <w:pPr>
              <w:spacing w:before="60" w:after="60"/>
              <w:rPr>
                <w:szCs w:val="24"/>
              </w:rPr>
            </w:pPr>
            <w:r w:rsidRPr="000F268D">
              <w:rPr>
                <w:i/>
                <w:szCs w:val="24"/>
              </w:rPr>
              <w:t>Critical Task:</w:t>
            </w:r>
            <w:r w:rsidRPr="000F268D">
              <w:rPr>
                <w:szCs w:val="24"/>
              </w:rPr>
              <w:t xml:space="preserve">  </w:t>
            </w:r>
            <w:r w:rsidR="00763950" w:rsidRPr="00B06B5B">
              <w:rPr>
                <w:szCs w:val="24"/>
              </w:rPr>
              <w:t>Discuss guidance</w:t>
            </w:r>
            <w:r w:rsidR="00DD15B8">
              <w:rPr>
                <w:szCs w:val="24"/>
              </w:rPr>
              <w:t xml:space="preserve"> that would provided</w:t>
            </w:r>
            <w:r w:rsidR="00763950" w:rsidRPr="00B06B5B">
              <w:rPr>
                <w:szCs w:val="24"/>
              </w:rPr>
              <w:t xml:space="preserve"> to community partners, particularly groups representing the functional needs of at-risk populations, to assist them in educating their own constituency groups regarding plans for addressing preparedness for and recovery from the jurisdiction’s identified risks and for access to health services that may apply to the incident.</w:t>
            </w:r>
          </w:p>
          <w:p w14:paraId="71D5929F" w14:textId="77777777" w:rsidR="004C2E82" w:rsidRDefault="004C2E82" w:rsidP="00525816">
            <w:pPr>
              <w:spacing w:before="60" w:after="60"/>
              <w:rPr>
                <w:szCs w:val="24"/>
              </w:rPr>
            </w:pPr>
          </w:p>
          <w:p w14:paraId="4F2048F9" w14:textId="2966DE0A" w:rsidR="004C2E82" w:rsidRDefault="004C2E82" w:rsidP="00525816">
            <w:pPr>
              <w:spacing w:before="60" w:after="60"/>
              <w:rPr>
                <w:b/>
                <w:szCs w:val="24"/>
              </w:rPr>
            </w:pPr>
            <w:r>
              <w:rPr>
                <w:b/>
                <w:szCs w:val="24"/>
              </w:rPr>
              <w:t xml:space="preserve">Source(s): </w:t>
            </w:r>
            <w:r>
              <w:rPr>
                <w:szCs w:val="24"/>
                <w:highlight w:val="lightGray"/>
              </w:rPr>
              <w:t>[Insert name of plan, policy, procedure, or reference]</w:t>
            </w:r>
          </w:p>
        </w:tc>
      </w:tr>
    </w:tbl>
    <w:p w14:paraId="52ECE1E1" w14:textId="77777777" w:rsidR="00FB101F" w:rsidRDefault="00FB101F" w:rsidP="00955F17">
      <w:pPr>
        <w:spacing w:before="120" w:after="120"/>
        <w:rPr>
          <w:b/>
          <w:szCs w:val="24"/>
        </w:rPr>
        <w:sectPr w:rsidR="00FB101F" w:rsidSect="006C6F5E">
          <w:footerReference w:type="default" r:id="rId8"/>
          <w:type w:val="continuous"/>
          <w:pgSz w:w="15840" w:h="12240" w:orient="landscape"/>
          <w:pgMar w:top="720" w:right="1440" w:bottom="720" w:left="1440" w:header="720" w:footer="432" w:gutter="0"/>
          <w:cols w:space="720"/>
          <w:docGrid w:linePitch="360"/>
        </w:sectPr>
      </w:pPr>
    </w:p>
    <w:p w14:paraId="64A2497B" w14:textId="77777777" w:rsidR="00FB101F" w:rsidRPr="000F268D" w:rsidRDefault="00FB101F" w:rsidP="00955F17">
      <w:pPr>
        <w:spacing w:before="120" w:after="120"/>
        <w:rPr>
          <w:b/>
          <w:szCs w:val="24"/>
        </w:rPr>
      </w:pPr>
    </w:p>
    <w:tbl>
      <w:tblPr>
        <w:tblStyle w:val="TableGrid"/>
        <w:tblW w:w="5000" w:type="pct"/>
        <w:jc w:val="center"/>
        <w:tblLook w:val="04A0" w:firstRow="1" w:lastRow="0" w:firstColumn="1" w:lastColumn="0" w:noHBand="0" w:noVBand="1"/>
      </w:tblPr>
      <w:tblGrid>
        <w:gridCol w:w="2105"/>
        <w:gridCol w:w="3401"/>
        <w:gridCol w:w="6395"/>
        <w:gridCol w:w="1049"/>
      </w:tblGrid>
      <w:tr w:rsidR="00EA133A" w:rsidRPr="006335A3" w14:paraId="70E8CA10" w14:textId="77777777" w:rsidTr="00696EBE">
        <w:trPr>
          <w:jc w:val="center"/>
        </w:trPr>
        <w:tc>
          <w:tcPr>
            <w:tcW w:w="813" w:type="pct"/>
            <w:shd w:val="clear" w:color="auto" w:fill="003366"/>
            <w:vAlign w:val="center"/>
          </w:tcPr>
          <w:p w14:paraId="40E9DE3B" w14:textId="77777777" w:rsidR="00C56E61" w:rsidRPr="006335A3" w:rsidRDefault="00EA133A" w:rsidP="0021261C">
            <w:pPr>
              <w:jc w:val="center"/>
              <w:rPr>
                <w:rFonts w:ascii="Arial" w:hAnsi="Arial" w:cs="Arial"/>
                <w:b/>
                <w:color w:val="FFFFFF" w:themeColor="background1"/>
                <w:szCs w:val="24"/>
              </w:rPr>
            </w:pPr>
            <w:r>
              <w:rPr>
                <w:rFonts w:ascii="Arial" w:hAnsi="Arial" w:cs="Arial"/>
                <w:b/>
                <w:color w:val="FFFFFF" w:themeColor="background1"/>
                <w:szCs w:val="24"/>
              </w:rPr>
              <w:t xml:space="preserve">Organizational </w:t>
            </w:r>
            <w:r w:rsidR="00C56E61" w:rsidRPr="006335A3">
              <w:rPr>
                <w:rFonts w:ascii="Arial" w:hAnsi="Arial" w:cs="Arial"/>
                <w:b/>
                <w:color w:val="FFFFFF" w:themeColor="background1"/>
                <w:szCs w:val="24"/>
              </w:rPr>
              <w:t>Capability Target</w:t>
            </w:r>
          </w:p>
        </w:tc>
        <w:tc>
          <w:tcPr>
            <w:tcW w:w="1313" w:type="pct"/>
            <w:shd w:val="clear" w:color="auto" w:fill="003366"/>
            <w:vAlign w:val="center"/>
          </w:tcPr>
          <w:p w14:paraId="66FF6283" w14:textId="77777777"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Associated Critical Tasks</w:t>
            </w:r>
          </w:p>
        </w:tc>
        <w:tc>
          <w:tcPr>
            <w:tcW w:w="2469" w:type="pct"/>
            <w:shd w:val="clear" w:color="auto" w:fill="003366"/>
            <w:vAlign w:val="center"/>
          </w:tcPr>
          <w:p w14:paraId="6E7316B3" w14:textId="77777777"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 xml:space="preserve">Observation Notes </w:t>
            </w:r>
            <w:r w:rsidR="00644FEE" w:rsidRPr="006335A3">
              <w:rPr>
                <w:rFonts w:ascii="Arial" w:hAnsi="Arial" w:cs="Arial"/>
                <w:b/>
                <w:color w:val="FFFFFF" w:themeColor="background1"/>
                <w:szCs w:val="24"/>
              </w:rPr>
              <w:t xml:space="preserve">and </w:t>
            </w:r>
          </w:p>
          <w:p w14:paraId="503ACC6F" w14:textId="77777777" w:rsidR="00C56E61" w:rsidRPr="006335A3" w:rsidRDefault="00C56E61" w:rsidP="00FF7445">
            <w:pPr>
              <w:jc w:val="center"/>
              <w:rPr>
                <w:rFonts w:ascii="Arial" w:hAnsi="Arial" w:cs="Arial"/>
                <w:b/>
                <w:color w:val="FFFFFF" w:themeColor="background1"/>
                <w:szCs w:val="24"/>
              </w:rPr>
            </w:pPr>
            <w:r w:rsidRPr="006335A3">
              <w:rPr>
                <w:rFonts w:ascii="Arial" w:hAnsi="Arial" w:cs="Arial"/>
                <w:b/>
                <w:color w:val="FFFFFF" w:themeColor="background1"/>
                <w:szCs w:val="24"/>
              </w:rPr>
              <w:t>Explanation of Rating</w:t>
            </w:r>
          </w:p>
        </w:tc>
        <w:tc>
          <w:tcPr>
            <w:tcW w:w="406" w:type="pct"/>
            <w:shd w:val="clear" w:color="auto" w:fill="003366"/>
          </w:tcPr>
          <w:p w14:paraId="7AC19E74" w14:textId="77777777" w:rsidR="00C56E61" w:rsidRPr="006335A3" w:rsidRDefault="00C56E61" w:rsidP="00955F17">
            <w:pPr>
              <w:jc w:val="center"/>
              <w:rPr>
                <w:rFonts w:ascii="Arial" w:hAnsi="Arial" w:cs="Arial"/>
                <w:b/>
                <w:color w:val="FFFFFF" w:themeColor="background1"/>
                <w:szCs w:val="24"/>
              </w:rPr>
            </w:pPr>
            <w:r w:rsidRPr="006335A3">
              <w:rPr>
                <w:rFonts w:ascii="Arial" w:hAnsi="Arial" w:cs="Arial"/>
                <w:b/>
                <w:color w:val="FFFFFF" w:themeColor="background1"/>
                <w:szCs w:val="24"/>
              </w:rPr>
              <w:t>Target Rating</w:t>
            </w:r>
          </w:p>
        </w:tc>
      </w:tr>
      <w:tr w:rsidR="00EA133A" w:rsidRPr="000F268D" w14:paraId="0DE58D82" w14:textId="77777777" w:rsidTr="00696EBE">
        <w:trPr>
          <w:trHeight w:val="2160"/>
          <w:jc w:val="center"/>
        </w:trPr>
        <w:tc>
          <w:tcPr>
            <w:tcW w:w="813" w:type="pct"/>
          </w:tcPr>
          <w:p w14:paraId="3425F7CD" w14:textId="1630555A" w:rsidR="005928A9" w:rsidRPr="00644FEE" w:rsidRDefault="005928A9" w:rsidP="005928A9">
            <w:pPr>
              <w:spacing w:before="60" w:after="60"/>
              <w:rPr>
                <w:b/>
                <w:szCs w:val="24"/>
              </w:rPr>
            </w:pPr>
            <w:r>
              <w:rPr>
                <w:b/>
                <w:szCs w:val="24"/>
              </w:rPr>
              <w:t>Determine risks to the health of the jurisdiction</w:t>
            </w:r>
          </w:p>
          <w:p w14:paraId="72841544" w14:textId="74F0D3B3" w:rsidR="00C56E61" w:rsidRPr="000F268D" w:rsidRDefault="00C56E61" w:rsidP="00644FEE">
            <w:pPr>
              <w:spacing w:before="60" w:after="60"/>
              <w:rPr>
                <w:szCs w:val="24"/>
              </w:rPr>
            </w:pPr>
          </w:p>
        </w:tc>
        <w:tc>
          <w:tcPr>
            <w:tcW w:w="1313" w:type="pct"/>
          </w:tcPr>
          <w:p w14:paraId="7D6C439A" w14:textId="4AD654B3" w:rsidR="005928A9" w:rsidRPr="005928A9" w:rsidRDefault="005928A9" w:rsidP="005928A9">
            <w:pPr>
              <w:pStyle w:val="ListParagraph"/>
              <w:numPr>
                <w:ilvl w:val="0"/>
                <w:numId w:val="4"/>
              </w:numPr>
              <w:spacing w:before="60" w:after="60"/>
              <w:rPr>
                <w:szCs w:val="24"/>
              </w:rPr>
            </w:pPr>
            <w:r w:rsidRPr="005928A9">
              <w:rPr>
                <w:szCs w:val="24"/>
              </w:rPr>
              <w:t xml:space="preserve">Critical Task: </w:t>
            </w:r>
            <w:r w:rsidR="00282935">
              <w:rPr>
                <w:szCs w:val="24"/>
              </w:rPr>
              <w:t>Discuss</w:t>
            </w:r>
            <w:r w:rsidRPr="005928A9">
              <w:rPr>
                <w:szCs w:val="24"/>
              </w:rPr>
              <w:t xml:space="preserve"> the public health, medical, and mental/behavioral health services for which the jurisdiction needs to have access to mitigate identified disaster health risks.</w:t>
            </w:r>
          </w:p>
          <w:p w14:paraId="5030CDA2" w14:textId="78A26C13" w:rsidR="00C56E61" w:rsidRPr="00452029" w:rsidRDefault="005928A9" w:rsidP="00282935">
            <w:pPr>
              <w:pStyle w:val="ListParagraph"/>
              <w:numPr>
                <w:ilvl w:val="0"/>
                <w:numId w:val="4"/>
              </w:numPr>
              <w:spacing w:before="60" w:after="60"/>
              <w:rPr>
                <w:szCs w:val="24"/>
              </w:rPr>
            </w:pPr>
            <w:r w:rsidRPr="005928A9">
              <w:rPr>
                <w:szCs w:val="24"/>
              </w:rPr>
              <w:t xml:space="preserve">Critical Task: </w:t>
            </w:r>
            <w:r w:rsidR="00282935">
              <w:rPr>
                <w:szCs w:val="24"/>
              </w:rPr>
              <w:t>Discuss</w:t>
            </w:r>
            <w:r w:rsidRPr="005928A9">
              <w:rPr>
                <w:szCs w:val="24"/>
              </w:rPr>
              <w:t xml:space="preserve"> the public health, medical, and mental/behavioral health services within the jurisdiction that currently support the mitigation of identified disaster health risks</w:t>
            </w:r>
          </w:p>
        </w:tc>
        <w:tc>
          <w:tcPr>
            <w:tcW w:w="2469" w:type="pct"/>
          </w:tcPr>
          <w:p w14:paraId="7B4DAA79" w14:textId="77777777" w:rsidR="00C56E61" w:rsidRPr="000F268D" w:rsidRDefault="00C56E61" w:rsidP="00452029">
            <w:pPr>
              <w:rPr>
                <w:b/>
                <w:szCs w:val="24"/>
              </w:rPr>
            </w:pPr>
          </w:p>
        </w:tc>
        <w:tc>
          <w:tcPr>
            <w:tcW w:w="406" w:type="pct"/>
          </w:tcPr>
          <w:p w14:paraId="6D91D000" w14:textId="77777777" w:rsidR="00C56E61" w:rsidRPr="000F268D" w:rsidRDefault="00C56E61" w:rsidP="008D3B07">
            <w:pPr>
              <w:jc w:val="center"/>
              <w:rPr>
                <w:b/>
                <w:szCs w:val="24"/>
              </w:rPr>
            </w:pPr>
          </w:p>
        </w:tc>
      </w:tr>
      <w:tr w:rsidR="00EA133A" w:rsidRPr="000F268D" w14:paraId="60E79ABE" w14:textId="77777777" w:rsidTr="00696EBE">
        <w:trPr>
          <w:trHeight w:val="2160"/>
          <w:jc w:val="center"/>
        </w:trPr>
        <w:tc>
          <w:tcPr>
            <w:tcW w:w="813" w:type="pct"/>
            <w:tcBorders>
              <w:bottom w:val="single" w:sz="4" w:space="0" w:color="auto"/>
            </w:tcBorders>
          </w:tcPr>
          <w:p w14:paraId="33FC5C27" w14:textId="57471118" w:rsidR="005928A9" w:rsidRPr="000F268D" w:rsidRDefault="005928A9" w:rsidP="005928A9">
            <w:pPr>
              <w:spacing w:before="60" w:after="60"/>
              <w:rPr>
                <w:b/>
                <w:szCs w:val="24"/>
              </w:rPr>
            </w:pPr>
            <w:r>
              <w:rPr>
                <w:b/>
                <w:szCs w:val="24"/>
              </w:rPr>
              <w:t>Build community partnerships to support health preparedness</w:t>
            </w:r>
          </w:p>
          <w:p w14:paraId="53712582" w14:textId="77777777" w:rsidR="00452029" w:rsidRPr="000F268D" w:rsidRDefault="00452029" w:rsidP="00644FEE">
            <w:pPr>
              <w:rPr>
                <w:szCs w:val="24"/>
              </w:rPr>
            </w:pPr>
          </w:p>
        </w:tc>
        <w:tc>
          <w:tcPr>
            <w:tcW w:w="1313" w:type="pct"/>
            <w:tcBorders>
              <w:bottom w:val="single" w:sz="4" w:space="0" w:color="auto"/>
            </w:tcBorders>
          </w:tcPr>
          <w:p w14:paraId="42592D0D" w14:textId="674BF8B1" w:rsidR="005928A9" w:rsidRPr="005928A9" w:rsidRDefault="005928A9" w:rsidP="005928A9">
            <w:pPr>
              <w:pStyle w:val="ListParagraph"/>
              <w:numPr>
                <w:ilvl w:val="0"/>
                <w:numId w:val="4"/>
              </w:numPr>
              <w:spacing w:before="60" w:after="60"/>
              <w:rPr>
                <w:szCs w:val="24"/>
              </w:rPr>
            </w:pPr>
            <w:r w:rsidRPr="005928A9">
              <w:rPr>
                <w:szCs w:val="24"/>
              </w:rPr>
              <w:t xml:space="preserve">Critical Task: </w:t>
            </w:r>
            <w:r w:rsidR="00282935">
              <w:rPr>
                <w:szCs w:val="24"/>
              </w:rPr>
              <w:t>Discuss</w:t>
            </w:r>
            <w:r w:rsidRPr="005928A9">
              <w:rPr>
                <w:szCs w:val="24"/>
              </w:rPr>
              <w:t xml:space="preserve"> community sector groups to be engaged for partnership based upon the jurisdictional risk assessment.</w:t>
            </w:r>
          </w:p>
          <w:p w14:paraId="72223631" w14:textId="73A406D3" w:rsidR="005928A9" w:rsidRPr="005928A9" w:rsidRDefault="005928A9" w:rsidP="005928A9">
            <w:pPr>
              <w:pStyle w:val="ListParagraph"/>
              <w:numPr>
                <w:ilvl w:val="0"/>
                <w:numId w:val="4"/>
              </w:numPr>
              <w:spacing w:before="60" w:after="60"/>
              <w:rPr>
                <w:szCs w:val="24"/>
              </w:rPr>
            </w:pPr>
            <w:r w:rsidRPr="005928A9">
              <w:rPr>
                <w:szCs w:val="24"/>
              </w:rPr>
              <w:t xml:space="preserve">Critical Task:  </w:t>
            </w:r>
            <w:r w:rsidR="00282935">
              <w:rPr>
                <w:szCs w:val="24"/>
              </w:rPr>
              <w:t>Discuss</w:t>
            </w:r>
            <w:r w:rsidRPr="005928A9">
              <w:rPr>
                <w:szCs w:val="24"/>
              </w:rPr>
              <w:t xml:space="preserve"> strategies for ongoing engagement with community partners who may be able to provide services to mitigate identified public health threats or incidents (concept of “strategic advisory council” or joint collaborative).</w:t>
            </w:r>
          </w:p>
          <w:p w14:paraId="2585FA47" w14:textId="77777777" w:rsidR="005928A9" w:rsidRPr="005928A9" w:rsidRDefault="005928A9" w:rsidP="005928A9">
            <w:pPr>
              <w:pStyle w:val="ListParagraph"/>
              <w:numPr>
                <w:ilvl w:val="0"/>
                <w:numId w:val="4"/>
              </w:numPr>
              <w:spacing w:before="60" w:after="60"/>
              <w:rPr>
                <w:szCs w:val="24"/>
              </w:rPr>
            </w:pPr>
            <w:r w:rsidRPr="005928A9">
              <w:rPr>
                <w:szCs w:val="24"/>
              </w:rPr>
              <w:t xml:space="preserve">Critical Task:  Discuss community and faith-based </w:t>
            </w:r>
            <w:r w:rsidRPr="005928A9">
              <w:rPr>
                <w:szCs w:val="24"/>
              </w:rPr>
              <w:lastRenderedPageBreak/>
              <w:t>partnerships as well as collaborations with any agencies primarily responsible for providing direct health-related services to help assure the community’s ability to deliver public health, medical, and mental/behavioral health services in both short and long term settings during and after an incident.</w:t>
            </w:r>
          </w:p>
          <w:p w14:paraId="1FDF2EAA" w14:textId="77777777" w:rsidR="005928A9" w:rsidRPr="005928A9" w:rsidRDefault="005928A9" w:rsidP="005928A9">
            <w:pPr>
              <w:pStyle w:val="ListParagraph"/>
              <w:numPr>
                <w:ilvl w:val="0"/>
                <w:numId w:val="4"/>
              </w:numPr>
              <w:spacing w:before="60" w:after="60"/>
              <w:rPr>
                <w:szCs w:val="24"/>
              </w:rPr>
            </w:pPr>
            <w:r w:rsidRPr="005928A9">
              <w:rPr>
                <w:szCs w:val="24"/>
              </w:rPr>
              <w:t>Critical Task:  Discuss a continuous quality improvement process to incorporate feedback from community and faith-based partners into jurisdictional emergency operations plans.</w:t>
            </w:r>
          </w:p>
          <w:p w14:paraId="36B8CF35" w14:textId="46015499" w:rsidR="00452029" w:rsidRPr="00452029" w:rsidRDefault="005928A9" w:rsidP="00282935">
            <w:pPr>
              <w:pStyle w:val="ListParagraph"/>
              <w:numPr>
                <w:ilvl w:val="0"/>
                <w:numId w:val="4"/>
              </w:numPr>
              <w:spacing w:before="60" w:after="60"/>
              <w:rPr>
                <w:szCs w:val="24"/>
              </w:rPr>
            </w:pPr>
            <w:r w:rsidRPr="005928A9">
              <w:rPr>
                <w:szCs w:val="24"/>
              </w:rPr>
              <w:t xml:space="preserve">Critical Task:  </w:t>
            </w:r>
            <w:r w:rsidR="00282935">
              <w:rPr>
                <w:szCs w:val="24"/>
              </w:rPr>
              <w:t>Discuss</w:t>
            </w:r>
            <w:r w:rsidRPr="005928A9">
              <w:rPr>
                <w:szCs w:val="24"/>
              </w:rPr>
              <w:t xml:space="preserve"> community leaders that can act as trusted spokespersons to deliver public health messages.</w:t>
            </w:r>
          </w:p>
        </w:tc>
        <w:tc>
          <w:tcPr>
            <w:tcW w:w="2469" w:type="pct"/>
          </w:tcPr>
          <w:p w14:paraId="6AF1FC11" w14:textId="77777777" w:rsidR="00452029" w:rsidRPr="000F268D" w:rsidRDefault="00452029" w:rsidP="00452029">
            <w:pPr>
              <w:rPr>
                <w:b/>
                <w:szCs w:val="24"/>
              </w:rPr>
            </w:pPr>
          </w:p>
        </w:tc>
        <w:tc>
          <w:tcPr>
            <w:tcW w:w="406" w:type="pct"/>
          </w:tcPr>
          <w:p w14:paraId="606013E1" w14:textId="77777777" w:rsidR="00452029" w:rsidRPr="000F268D" w:rsidRDefault="00452029" w:rsidP="008D3B07">
            <w:pPr>
              <w:jc w:val="center"/>
              <w:rPr>
                <w:b/>
                <w:szCs w:val="24"/>
              </w:rPr>
            </w:pPr>
          </w:p>
        </w:tc>
      </w:tr>
      <w:tr w:rsidR="00C10983" w:rsidRPr="000F268D" w14:paraId="4774DF96" w14:textId="77777777" w:rsidTr="00696EBE">
        <w:trPr>
          <w:trHeight w:val="2160"/>
          <w:jc w:val="center"/>
        </w:trPr>
        <w:tc>
          <w:tcPr>
            <w:tcW w:w="813" w:type="pct"/>
            <w:tcBorders>
              <w:bottom w:val="single" w:sz="4" w:space="0" w:color="auto"/>
            </w:tcBorders>
          </w:tcPr>
          <w:p w14:paraId="7A0C7EA6" w14:textId="6A44E7D5" w:rsidR="005928A9" w:rsidRPr="000F268D" w:rsidRDefault="005928A9" w:rsidP="005928A9">
            <w:pPr>
              <w:spacing w:before="60" w:after="60"/>
              <w:rPr>
                <w:b/>
                <w:szCs w:val="24"/>
              </w:rPr>
            </w:pPr>
            <w:r>
              <w:rPr>
                <w:b/>
                <w:szCs w:val="24"/>
              </w:rPr>
              <w:t xml:space="preserve">Engage with community organizations to foster public health, medical, and mental/behavioral health social networks </w:t>
            </w:r>
          </w:p>
          <w:p w14:paraId="41D2FB0C" w14:textId="77777777" w:rsidR="00C10983" w:rsidRDefault="00C10983" w:rsidP="00644FEE">
            <w:pPr>
              <w:rPr>
                <w:szCs w:val="24"/>
                <w:highlight w:val="lightGray"/>
              </w:rPr>
            </w:pPr>
          </w:p>
        </w:tc>
        <w:tc>
          <w:tcPr>
            <w:tcW w:w="1313" w:type="pct"/>
            <w:tcBorders>
              <w:bottom w:val="single" w:sz="4" w:space="0" w:color="auto"/>
            </w:tcBorders>
          </w:tcPr>
          <w:p w14:paraId="08955E31" w14:textId="77777777" w:rsidR="005928A9" w:rsidRPr="005928A9" w:rsidRDefault="005928A9" w:rsidP="005928A9">
            <w:pPr>
              <w:pStyle w:val="ListParagraph"/>
              <w:numPr>
                <w:ilvl w:val="0"/>
                <w:numId w:val="4"/>
              </w:numPr>
              <w:spacing w:before="60" w:after="60"/>
              <w:rPr>
                <w:szCs w:val="24"/>
              </w:rPr>
            </w:pPr>
            <w:r w:rsidRPr="005928A9">
              <w:rPr>
                <w:szCs w:val="24"/>
              </w:rPr>
              <w:t>Critical Task:  Discuss how to connect to public health to participate in public health and community partner preparedness efforts.</w:t>
            </w:r>
          </w:p>
          <w:p w14:paraId="654B2848" w14:textId="77777777" w:rsidR="005928A9" w:rsidRPr="005928A9" w:rsidRDefault="005928A9" w:rsidP="005928A9">
            <w:pPr>
              <w:pStyle w:val="ListParagraph"/>
              <w:numPr>
                <w:ilvl w:val="0"/>
                <w:numId w:val="4"/>
              </w:numPr>
              <w:spacing w:before="60" w:after="60"/>
              <w:rPr>
                <w:szCs w:val="24"/>
              </w:rPr>
            </w:pPr>
            <w:r w:rsidRPr="005928A9">
              <w:rPr>
                <w:szCs w:val="24"/>
              </w:rPr>
              <w:t>Critical Task:  Discuss how essential health services to the community are connected to jurisdictional public health preparedness plans and efforts.</w:t>
            </w:r>
          </w:p>
          <w:p w14:paraId="55F5CA1C" w14:textId="0F5551FD" w:rsidR="00C10983" w:rsidRPr="00452029" w:rsidRDefault="005928A9" w:rsidP="005928A9">
            <w:pPr>
              <w:pStyle w:val="ListParagraph"/>
              <w:numPr>
                <w:ilvl w:val="0"/>
                <w:numId w:val="4"/>
              </w:numPr>
              <w:spacing w:before="60" w:after="60"/>
              <w:rPr>
                <w:szCs w:val="24"/>
                <w:highlight w:val="lightGray"/>
              </w:rPr>
            </w:pPr>
            <w:r w:rsidRPr="005928A9">
              <w:rPr>
                <w:szCs w:val="24"/>
              </w:rPr>
              <w:lastRenderedPageBreak/>
              <w:t>Critical Task:  Discuss jurisdictional networks (e.g., local businesses, community and faith-based organizations, ethnic radio/media, and, if used by the jurisdiction, social networking sites) for public health, medical, and mental/behavioral health information dissemination before, during, and after the incident.</w:t>
            </w:r>
          </w:p>
        </w:tc>
        <w:tc>
          <w:tcPr>
            <w:tcW w:w="2469" w:type="pct"/>
          </w:tcPr>
          <w:p w14:paraId="51576A57" w14:textId="77777777" w:rsidR="00C10983" w:rsidRPr="000F268D" w:rsidRDefault="00C10983" w:rsidP="00452029">
            <w:pPr>
              <w:rPr>
                <w:b/>
                <w:szCs w:val="24"/>
              </w:rPr>
            </w:pPr>
          </w:p>
        </w:tc>
        <w:tc>
          <w:tcPr>
            <w:tcW w:w="406" w:type="pct"/>
          </w:tcPr>
          <w:p w14:paraId="2197611A" w14:textId="77777777" w:rsidR="00C10983" w:rsidRPr="000F268D" w:rsidRDefault="00C10983" w:rsidP="008D3B07">
            <w:pPr>
              <w:jc w:val="center"/>
              <w:rPr>
                <w:b/>
                <w:szCs w:val="24"/>
              </w:rPr>
            </w:pPr>
          </w:p>
        </w:tc>
      </w:tr>
      <w:tr w:rsidR="00C10983" w:rsidRPr="000F268D" w14:paraId="06405523" w14:textId="77777777" w:rsidTr="00696EBE">
        <w:trPr>
          <w:trHeight w:val="2160"/>
          <w:jc w:val="center"/>
        </w:trPr>
        <w:tc>
          <w:tcPr>
            <w:tcW w:w="813" w:type="pct"/>
            <w:tcBorders>
              <w:bottom w:val="single" w:sz="4" w:space="0" w:color="auto"/>
            </w:tcBorders>
          </w:tcPr>
          <w:p w14:paraId="17701B39" w14:textId="7C28CB5F" w:rsidR="00C10983" w:rsidRPr="005928A9" w:rsidRDefault="005928A9" w:rsidP="005928A9">
            <w:pPr>
              <w:spacing w:before="60" w:after="60"/>
              <w:rPr>
                <w:b/>
                <w:szCs w:val="24"/>
              </w:rPr>
            </w:pPr>
            <w:r>
              <w:rPr>
                <w:b/>
                <w:szCs w:val="24"/>
              </w:rPr>
              <w:t xml:space="preserve">Coordinate training or guidance to ensure community engagement in preparedness efforts </w:t>
            </w:r>
          </w:p>
        </w:tc>
        <w:tc>
          <w:tcPr>
            <w:tcW w:w="1313" w:type="pct"/>
            <w:tcBorders>
              <w:bottom w:val="single" w:sz="4" w:space="0" w:color="auto"/>
            </w:tcBorders>
          </w:tcPr>
          <w:p w14:paraId="78259AC5" w14:textId="77777777" w:rsidR="005928A9" w:rsidRPr="005928A9" w:rsidRDefault="005928A9" w:rsidP="005928A9">
            <w:pPr>
              <w:pStyle w:val="ListParagraph"/>
              <w:numPr>
                <w:ilvl w:val="0"/>
                <w:numId w:val="4"/>
              </w:numPr>
              <w:spacing w:before="60" w:after="60"/>
              <w:rPr>
                <w:szCs w:val="24"/>
              </w:rPr>
            </w:pPr>
            <w:r w:rsidRPr="005928A9">
              <w:rPr>
                <w:szCs w:val="24"/>
              </w:rPr>
              <w:t>Critical Task:  Discuss community-derived approaches to support the provision of public health, medical, and mental/behavioral health services during and after an incident, into existing training and educational programs related to crisis and disaster preparedness and response.</w:t>
            </w:r>
          </w:p>
          <w:p w14:paraId="55AF60D7" w14:textId="6743D769" w:rsidR="005928A9" w:rsidRPr="005928A9" w:rsidRDefault="005928A9" w:rsidP="005928A9">
            <w:pPr>
              <w:pStyle w:val="ListParagraph"/>
              <w:numPr>
                <w:ilvl w:val="0"/>
                <w:numId w:val="4"/>
              </w:numPr>
              <w:spacing w:before="60" w:after="60"/>
              <w:rPr>
                <w:szCs w:val="24"/>
              </w:rPr>
            </w:pPr>
            <w:r w:rsidRPr="005928A9">
              <w:rPr>
                <w:szCs w:val="24"/>
              </w:rPr>
              <w:t xml:space="preserve">Critical Task:  </w:t>
            </w:r>
            <w:r w:rsidR="00282935">
              <w:rPr>
                <w:szCs w:val="24"/>
              </w:rPr>
              <w:t>Discuss</w:t>
            </w:r>
            <w:r w:rsidRPr="005928A9">
              <w:rPr>
                <w:szCs w:val="24"/>
              </w:rPr>
              <w:t xml:space="preserve"> training for community partners that may have a supporting role to public health, medical, and mental/ behavioral health sectors. </w:t>
            </w:r>
          </w:p>
          <w:p w14:paraId="42D112F4" w14:textId="72C9BAD7" w:rsidR="00C10983" w:rsidRPr="00452029" w:rsidRDefault="005928A9" w:rsidP="005928A9">
            <w:pPr>
              <w:pStyle w:val="ListParagraph"/>
              <w:numPr>
                <w:ilvl w:val="0"/>
                <w:numId w:val="4"/>
              </w:numPr>
              <w:spacing w:before="60" w:after="60"/>
              <w:rPr>
                <w:szCs w:val="24"/>
              </w:rPr>
            </w:pPr>
            <w:r w:rsidRPr="005928A9">
              <w:rPr>
                <w:szCs w:val="24"/>
              </w:rPr>
              <w:t xml:space="preserve">Critical Task:  Discuss guidance that would </w:t>
            </w:r>
            <w:r w:rsidR="00282935">
              <w:rPr>
                <w:szCs w:val="24"/>
              </w:rPr>
              <w:t xml:space="preserve">be </w:t>
            </w:r>
            <w:r w:rsidRPr="005928A9">
              <w:rPr>
                <w:szCs w:val="24"/>
              </w:rPr>
              <w:t xml:space="preserve">provided to community partners, particularly groups representing the functional needs of at-risk populations, </w:t>
            </w:r>
            <w:r w:rsidRPr="005928A9">
              <w:rPr>
                <w:szCs w:val="24"/>
              </w:rPr>
              <w:lastRenderedPageBreak/>
              <w:t>to assist them in educating their own constituency groups regarding plans for addressing preparedness for and recovery from the jurisdiction’s identified risks and for access to health services that may apply to the incident.</w:t>
            </w:r>
          </w:p>
        </w:tc>
        <w:tc>
          <w:tcPr>
            <w:tcW w:w="2469" w:type="pct"/>
            <w:tcBorders>
              <w:bottom w:val="single" w:sz="4" w:space="0" w:color="auto"/>
            </w:tcBorders>
          </w:tcPr>
          <w:p w14:paraId="69D0EBC9" w14:textId="77777777" w:rsidR="00C10983" w:rsidRPr="000F268D" w:rsidRDefault="00C10983" w:rsidP="00452029">
            <w:pPr>
              <w:rPr>
                <w:b/>
                <w:szCs w:val="24"/>
              </w:rPr>
            </w:pPr>
            <w:bookmarkStart w:id="0" w:name="_GoBack"/>
            <w:bookmarkEnd w:id="0"/>
          </w:p>
        </w:tc>
        <w:tc>
          <w:tcPr>
            <w:tcW w:w="406" w:type="pct"/>
          </w:tcPr>
          <w:p w14:paraId="0EF2735C" w14:textId="77777777" w:rsidR="00C10983" w:rsidRPr="000F268D" w:rsidRDefault="00C10983" w:rsidP="008D3B07">
            <w:pPr>
              <w:jc w:val="center"/>
              <w:rPr>
                <w:b/>
                <w:szCs w:val="24"/>
              </w:rPr>
            </w:pPr>
          </w:p>
        </w:tc>
      </w:tr>
      <w:tr w:rsidR="00C10983" w:rsidRPr="000F268D" w14:paraId="5F323F4E" w14:textId="77777777" w:rsidTr="00696EBE">
        <w:trPr>
          <w:trHeight w:val="530"/>
          <w:jc w:val="center"/>
        </w:trPr>
        <w:tc>
          <w:tcPr>
            <w:tcW w:w="813" w:type="pct"/>
            <w:tcBorders>
              <w:top w:val="single" w:sz="4" w:space="0" w:color="auto"/>
              <w:left w:val="nil"/>
              <w:bottom w:val="nil"/>
              <w:right w:val="nil"/>
            </w:tcBorders>
          </w:tcPr>
          <w:p w14:paraId="6D0EC27B" w14:textId="77777777" w:rsidR="00C10983" w:rsidRDefault="00C10983" w:rsidP="00F46A7F">
            <w:pPr>
              <w:rPr>
                <w:szCs w:val="24"/>
                <w:highlight w:val="lightGray"/>
              </w:rPr>
            </w:pPr>
          </w:p>
        </w:tc>
        <w:tc>
          <w:tcPr>
            <w:tcW w:w="1313" w:type="pct"/>
            <w:tcBorders>
              <w:top w:val="single" w:sz="4" w:space="0" w:color="auto"/>
              <w:left w:val="nil"/>
              <w:bottom w:val="nil"/>
              <w:right w:val="single" w:sz="4" w:space="0" w:color="auto"/>
            </w:tcBorders>
          </w:tcPr>
          <w:p w14:paraId="6A47CD4F" w14:textId="77777777" w:rsidR="00C10983" w:rsidRPr="00452029" w:rsidRDefault="00C10983" w:rsidP="00EA133A">
            <w:pPr>
              <w:pStyle w:val="ListParagraph"/>
              <w:spacing w:before="60" w:after="60"/>
              <w:ind w:left="252"/>
              <w:rPr>
                <w:szCs w:val="24"/>
                <w:highlight w:val="lightGray"/>
              </w:rPr>
            </w:pPr>
          </w:p>
        </w:tc>
        <w:tc>
          <w:tcPr>
            <w:tcW w:w="2469" w:type="pct"/>
            <w:tcBorders>
              <w:left w:val="single" w:sz="4" w:space="0" w:color="auto"/>
              <w:bottom w:val="single" w:sz="4" w:space="0" w:color="auto"/>
            </w:tcBorders>
            <w:shd w:val="clear" w:color="auto" w:fill="D9D9D9" w:themeFill="background1" w:themeFillShade="D9"/>
          </w:tcPr>
          <w:p w14:paraId="5F9C4DCD" w14:textId="77777777" w:rsidR="00C10983" w:rsidRPr="00FF08C1" w:rsidRDefault="00C10983" w:rsidP="007A424F">
            <w:pPr>
              <w:jc w:val="center"/>
              <w:rPr>
                <w:rFonts w:ascii="Arial" w:hAnsi="Arial" w:cs="Arial"/>
                <w:b/>
                <w:szCs w:val="24"/>
              </w:rPr>
            </w:pPr>
            <w:r>
              <w:rPr>
                <w:rFonts w:ascii="Arial" w:hAnsi="Arial" w:cs="Arial"/>
                <w:b/>
                <w:szCs w:val="24"/>
              </w:rPr>
              <w:t>Final Core Capability Rating</w:t>
            </w:r>
          </w:p>
        </w:tc>
        <w:tc>
          <w:tcPr>
            <w:tcW w:w="406" w:type="pct"/>
            <w:shd w:val="clear" w:color="auto" w:fill="D9D9D9" w:themeFill="background1" w:themeFillShade="D9"/>
          </w:tcPr>
          <w:p w14:paraId="0A61A637" w14:textId="77777777" w:rsidR="00C10983" w:rsidRPr="000F268D" w:rsidRDefault="00C10983" w:rsidP="008D3B07">
            <w:pPr>
              <w:jc w:val="center"/>
              <w:rPr>
                <w:b/>
                <w:szCs w:val="24"/>
              </w:rPr>
            </w:pPr>
          </w:p>
        </w:tc>
      </w:tr>
    </w:tbl>
    <w:p w14:paraId="25B37D70" w14:textId="77777777" w:rsidR="00D4020E" w:rsidRDefault="00D4020E">
      <w:pPr>
        <w:rPr>
          <w:szCs w:val="24"/>
        </w:rPr>
      </w:pPr>
    </w:p>
    <w:p w14:paraId="71DFECF4" w14:textId="77777777" w:rsidR="00EA133A" w:rsidRDefault="00EA133A">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3692407B" w14:textId="77777777" w:rsidR="00EA133A" w:rsidRPr="000F268D" w:rsidRDefault="00EA133A">
      <w:pPr>
        <w:rPr>
          <w:szCs w:val="24"/>
        </w:rPr>
      </w:pPr>
    </w:p>
    <w:tbl>
      <w:tblPr>
        <w:tblStyle w:val="TableGrid"/>
        <w:tblpPr w:leftFromText="180" w:rightFromText="180" w:vertAnchor="text" w:horzAnchor="margin" w:tblpXSpec="right" w:tblpY="-9"/>
        <w:tblOverlap w:val="never"/>
        <w:tblW w:w="0" w:type="auto"/>
        <w:tblLook w:val="04A0" w:firstRow="1" w:lastRow="0" w:firstColumn="1" w:lastColumn="0" w:noHBand="0" w:noVBand="1"/>
      </w:tblPr>
      <w:tblGrid>
        <w:gridCol w:w="5652"/>
      </w:tblGrid>
      <w:tr w:rsidR="00955F17" w:rsidRPr="000F268D" w14:paraId="2B39DA40" w14:textId="77777777" w:rsidTr="00955F17">
        <w:tc>
          <w:tcPr>
            <w:tcW w:w="5652" w:type="dxa"/>
            <w:shd w:val="clear" w:color="auto" w:fill="003366"/>
            <w:vAlign w:val="center"/>
          </w:tcPr>
          <w:p w14:paraId="23C081A2" w14:textId="77777777" w:rsidR="00955F17" w:rsidRPr="006335A3" w:rsidRDefault="00955F17" w:rsidP="00955F17">
            <w:pPr>
              <w:jc w:val="center"/>
              <w:rPr>
                <w:rFonts w:ascii="Arial" w:hAnsi="Arial" w:cs="Arial"/>
                <w:b/>
                <w:color w:val="FFFFFF" w:themeColor="background1"/>
                <w:szCs w:val="24"/>
              </w:rPr>
            </w:pPr>
            <w:r w:rsidRPr="006335A3">
              <w:rPr>
                <w:rFonts w:ascii="Arial" w:hAnsi="Arial" w:cs="Arial"/>
                <w:b/>
                <w:color w:val="FFFFFF" w:themeColor="background1"/>
                <w:szCs w:val="24"/>
              </w:rPr>
              <w:t>Ratings Key</w:t>
            </w:r>
          </w:p>
        </w:tc>
      </w:tr>
      <w:tr w:rsidR="00955F17" w:rsidRPr="000F268D" w14:paraId="12B62F20" w14:textId="77777777" w:rsidTr="00955F17">
        <w:trPr>
          <w:trHeight w:val="1042"/>
        </w:trPr>
        <w:tc>
          <w:tcPr>
            <w:tcW w:w="5652" w:type="dxa"/>
            <w:vAlign w:val="center"/>
          </w:tcPr>
          <w:p w14:paraId="65769E24" w14:textId="77777777" w:rsidR="00955F17" w:rsidRPr="000F268D" w:rsidRDefault="00A25D04" w:rsidP="00A25D04">
            <w:pPr>
              <w:rPr>
                <w:szCs w:val="24"/>
              </w:rPr>
            </w:pPr>
            <w:r>
              <w:rPr>
                <w:szCs w:val="24"/>
              </w:rPr>
              <w:t>P</w:t>
            </w:r>
            <w:r w:rsidR="00955F17" w:rsidRPr="000F268D">
              <w:rPr>
                <w:szCs w:val="24"/>
              </w:rPr>
              <w:t xml:space="preserve"> – Performed without Challenges</w:t>
            </w:r>
          </w:p>
          <w:p w14:paraId="129DC391" w14:textId="77777777" w:rsidR="00955F17" w:rsidRPr="000F268D" w:rsidRDefault="00A25D04" w:rsidP="00A25D04">
            <w:pPr>
              <w:rPr>
                <w:szCs w:val="24"/>
              </w:rPr>
            </w:pPr>
            <w:r>
              <w:rPr>
                <w:szCs w:val="24"/>
              </w:rPr>
              <w:t>S</w:t>
            </w:r>
            <w:r w:rsidR="00955F17" w:rsidRPr="000F268D">
              <w:rPr>
                <w:szCs w:val="24"/>
              </w:rPr>
              <w:t xml:space="preserve"> – Performed with Some Challenges</w:t>
            </w:r>
          </w:p>
          <w:p w14:paraId="49644826" w14:textId="77777777" w:rsidR="00955F17" w:rsidRPr="000F268D" w:rsidRDefault="00A25D04" w:rsidP="00A25D04">
            <w:pPr>
              <w:rPr>
                <w:szCs w:val="24"/>
              </w:rPr>
            </w:pPr>
            <w:r>
              <w:rPr>
                <w:szCs w:val="24"/>
              </w:rPr>
              <w:t>M</w:t>
            </w:r>
            <w:r w:rsidR="00955F17" w:rsidRPr="000F268D">
              <w:rPr>
                <w:szCs w:val="24"/>
              </w:rPr>
              <w:t xml:space="preserve"> – Performed with Major Challenges</w:t>
            </w:r>
          </w:p>
          <w:p w14:paraId="2730B5AB" w14:textId="77777777" w:rsidR="00955F17" w:rsidRPr="000F268D" w:rsidRDefault="00A25D04" w:rsidP="00A25D04">
            <w:pPr>
              <w:rPr>
                <w:szCs w:val="24"/>
              </w:rPr>
            </w:pPr>
            <w:r>
              <w:rPr>
                <w:szCs w:val="24"/>
              </w:rPr>
              <w:t>U</w:t>
            </w:r>
            <w:r w:rsidR="00955F17" w:rsidRPr="000F268D">
              <w:rPr>
                <w:szCs w:val="24"/>
              </w:rPr>
              <w:t xml:space="preserve"> – Unable to be Performed </w:t>
            </w:r>
          </w:p>
        </w:tc>
      </w:tr>
    </w:tbl>
    <w:p w14:paraId="723A9578" w14:textId="77777777" w:rsidR="00A91347" w:rsidRPr="000F268D" w:rsidRDefault="00A91347" w:rsidP="00BA5844">
      <w:pPr>
        <w:tabs>
          <w:tab w:val="left" w:pos="6120"/>
        </w:tabs>
        <w:spacing w:after="120"/>
        <w:rPr>
          <w:szCs w:val="24"/>
        </w:rPr>
      </w:pPr>
      <w:r w:rsidRPr="000F268D">
        <w:rPr>
          <w:szCs w:val="24"/>
        </w:rPr>
        <w:t xml:space="preserve">Evaluator Name </w:t>
      </w:r>
      <w:r w:rsidR="00BA5844" w:rsidRPr="00BA5844">
        <w:rPr>
          <w:szCs w:val="24"/>
          <w:u w:val="single"/>
        </w:rPr>
        <w:tab/>
      </w:r>
    </w:p>
    <w:p w14:paraId="4C851B4C" w14:textId="77777777" w:rsidR="00A91347" w:rsidRPr="000F268D" w:rsidRDefault="00A91347" w:rsidP="00BA5844">
      <w:pPr>
        <w:tabs>
          <w:tab w:val="left" w:pos="6120"/>
        </w:tabs>
        <w:spacing w:after="120"/>
        <w:rPr>
          <w:szCs w:val="24"/>
        </w:rPr>
      </w:pPr>
      <w:r w:rsidRPr="000F268D">
        <w:rPr>
          <w:szCs w:val="24"/>
        </w:rPr>
        <w:t xml:space="preserve">Evaluator E-mail </w:t>
      </w:r>
      <w:r w:rsidR="00BA5844" w:rsidRPr="00BA5844">
        <w:rPr>
          <w:szCs w:val="24"/>
          <w:u w:val="single"/>
        </w:rPr>
        <w:tab/>
      </w:r>
    </w:p>
    <w:p w14:paraId="29751272" w14:textId="77777777" w:rsidR="00A91347" w:rsidRPr="000F268D" w:rsidRDefault="00A91347" w:rsidP="00BA5844">
      <w:pPr>
        <w:tabs>
          <w:tab w:val="left" w:pos="6120"/>
        </w:tabs>
        <w:spacing w:after="120"/>
        <w:rPr>
          <w:szCs w:val="24"/>
        </w:rPr>
      </w:pPr>
      <w:r w:rsidRPr="000F268D">
        <w:rPr>
          <w:szCs w:val="24"/>
        </w:rPr>
        <w:t xml:space="preserve">Phone </w:t>
      </w:r>
      <w:r w:rsidR="00BA5844" w:rsidRPr="00BA5844">
        <w:rPr>
          <w:szCs w:val="24"/>
          <w:u w:val="single"/>
        </w:rPr>
        <w:tab/>
      </w:r>
    </w:p>
    <w:p w14:paraId="0B515F1B" w14:textId="77777777" w:rsidR="00525816" w:rsidRDefault="00525816" w:rsidP="00955F17">
      <w:pPr>
        <w:rPr>
          <w:szCs w:val="24"/>
        </w:rPr>
        <w:sectPr w:rsidR="00525816" w:rsidSect="00FB101F">
          <w:footerReference w:type="default" r:id="rId9"/>
          <w:pgSz w:w="15840" w:h="12240" w:orient="landscape"/>
          <w:pgMar w:top="720" w:right="1440" w:bottom="720" w:left="1440" w:header="720" w:footer="432" w:gutter="0"/>
          <w:cols w:space="720"/>
          <w:docGrid w:linePitch="360"/>
        </w:sectPr>
      </w:pPr>
    </w:p>
    <w:p w14:paraId="4BBA516B" w14:textId="77777777" w:rsidR="006335A3" w:rsidRDefault="006335A3" w:rsidP="00955F17">
      <w:pPr>
        <w:rPr>
          <w:szCs w:val="24"/>
        </w:rPr>
      </w:pPr>
    </w:p>
    <w:p w14:paraId="45D26211" w14:textId="77777777" w:rsidR="008D3B07" w:rsidRPr="006335A3" w:rsidRDefault="000F268D" w:rsidP="006335A3">
      <w:pPr>
        <w:pStyle w:val="Heading2"/>
        <w:jc w:val="center"/>
      </w:pPr>
      <w:r w:rsidRPr="006335A3">
        <w:t>Rating</w:t>
      </w:r>
      <w:r w:rsidR="006335A3">
        <w:t>s</w:t>
      </w:r>
      <w:r w:rsidRPr="006335A3">
        <w:t xml:space="preserve"> </w:t>
      </w:r>
      <w:r w:rsidR="006335A3">
        <w:t>Definitions</w:t>
      </w:r>
    </w:p>
    <w:p w14:paraId="33090B1B" w14:textId="77777777" w:rsidR="000F268D" w:rsidRPr="000F268D" w:rsidRDefault="000F268D" w:rsidP="008D3B07">
      <w:pPr>
        <w:jc w:val="center"/>
        <w:rPr>
          <w:szCs w:val="24"/>
        </w:rPr>
      </w:pPr>
    </w:p>
    <w:tbl>
      <w:tblPr>
        <w:tblStyle w:val="TableGrid"/>
        <w:tblW w:w="0" w:type="auto"/>
        <w:jc w:val="center"/>
        <w:tblLook w:val="04A0" w:firstRow="1" w:lastRow="0" w:firstColumn="1" w:lastColumn="0" w:noHBand="0" w:noVBand="1"/>
      </w:tblPr>
      <w:tblGrid>
        <w:gridCol w:w="3175"/>
        <w:gridCol w:w="9775"/>
      </w:tblGrid>
      <w:tr w:rsidR="000F268D" w:rsidRPr="000F268D" w14:paraId="78C7B9C2" w14:textId="77777777" w:rsidTr="001E7B6F">
        <w:trPr>
          <w:jc w:val="center"/>
        </w:trPr>
        <w:tc>
          <w:tcPr>
            <w:tcW w:w="3420" w:type="dxa"/>
            <w:shd w:val="clear" w:color="auto" w:fill="003366"/>
            <w:vAlign w:val="center"/>
          </w:tcPr>
          <w:p w14:paraId="7CFBD7FB" w14:textId="77777777"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Performed without Challenges</w:t>
            </w:r>
            <w:r w:rsidR="00955F17">
              <w:rPr>
                <w:rFonts w:ascii="Arial" w:hAnsi="Arial" w:cs="Arial"/>
                <w:b/>
                <w:color w:val="FFFFFF" w:themeColor="background1"/>
                <w:szCs w:val="24"/>
              </w:rPr>
              <w:t xml:space="preserve"> (P)</w:t>
            </w:r>
          </w:p>
        </w:tc>
        <w:tc>
          <w:tcPr>
            <w:tcW w:w="10980" w:type="dxa"/>
          </w:tcPr>
          <w:p w14:paraId="6499BBD5" w14:textId="77777777" w:rsidR="00525816"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w:t>
            </w:r>
            <w:r w:rsidR="00955F17">
              <w:rPr>
                <w:szCs w:val="24"/>
              </w:rPr>
              <w:t xml:space="preserve"> safety risks for the public or </w:t>
            </w:r>
            <w:r w:rsidRPr="000F268D">
              <w:rPr>
                <w:szCs w:val="24"/>
              </w:rPr>
              <w:t>for emergency workers, and it was conducted in accordance with applicable plans, policies, procedures, regulations, and laws.</w:t>
            </w:r>
          </w:p>
        </w:tc>
      </w:tr>
      <w:tr w:rsidR="000F268D" w:rsidRPr="000F268D" w14:paraId="5516AFB3" w14:textId="77777777" w:rsidTr="001E7B6F">
        <w:trPr>
          <w:jc w:val="center"/>
        </w:trPr>
        <w:tc>
          <w:tcPr>
            <w:tcW w:w="3420" w:type="dxa"/>
            <w:shd w:val="clear" w:color="auto" w:fill="003366"/>
            <w:vAlign w:val="center"/>
          </w:tcPr>
          <w:p w14:paraId="212E5073" w14:textId="77777777" w:rsidR="000F268D" w:rsidRPr="002D6F07" w:rsidRDefault="000F268D" w:rsidP="00351DDD">
            <w:pPr>
              <w:jc w:val="center"/>
              <w:rPr>
                <w:rFonts w:ascii="Arial" w:hAnsi="Arial" w:cs="Arial"/>
                <w:b/>
                <w:color w:val="FFFFFF" w:themeColor="background1"/>
                <w:szCs w:val="24"/>
              </w:rPr>
            </w:pPr>
            <w:r w:rsidRPr="002D6F07">
              <w:rPr>
                <w:rFonts w:ascii="Arial" w:hAnsi="Arial" w:cs="Arial"/>
                <w:b/>
                <w:color w:val="FFFFFF" w:themeColor="background1"/>
                <w:szCs w:val="24"/>
              </w:rPr>
              <w:t>Performed with Some Challenges</w:t>
            </w:r>
            <w:r w:rsidR="00955F17">
              <w:rPr>
                <w:rFonts w:ascii="Arial" w:hAnsi="Arial" w:cs="Arial"/>
                <w:b/>
                <w:color w:val="FFFFFF" w:themeColor="background1"/>
                <w:szCs w:val="24"/>
              </w:rPr>
              <w:t xml:space="preserve"> (S)</w:t>
            </w:r>
          </w:p>
        </w:tc>
        <w:tc>
          <w:tcPr>
            <w:tcW w:w="10980" w:type="dxa"/>
          </w:tcPr>
          <w:p w14:paraId="08D100C1" w14:textId="77777777"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0F268D" w:rsidRPr="000F268D" w14:paraId="0ED8AD26" w14:textId="77777777" w:rsidTr="001E7B6F">
        <w:trPr>
          <w:jc w:val="center"/>
        </w:trPr>
        <w:tc>
          <w:tcPr>
            <w:tcW w:w="3420" w:type="dxa"/>
            <w:shd w:val="clear" w:color="auto" w:fill="003366"/>
            <w:vAlign w:val="center"/>
          </w:tcPr>
          <w:p w14:paraId="625F39B8" w14:textId="77777777"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Performed with Major Challenges </w:t>
            </w:r>
            <w:r w:rsidR="00955F17">
              <w:rPr>
                <w:rFonts w:ascii="Arial" w:hAnsi="Arial" w:cs="Arial"/>
                <w:b/>
                <w:color w:val="FFFFFF" w:themeColor="background1"/>
                <w:szCs w:val="24"/>
              </w:rPr>
              <w:t>(M)</w:t>
            </w:r>
          </w:p>
        </w:tc>
        <w:tc>
          <w:tcPr>
            <w:tcW w:w="10980" w:type="dxa"/>
          </w:tcPr>
          <w:p w14:paraId="7A3643EC" w14:textId="77777777"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0F268D" w:rsidRPr="000F268D" w14:paraId="66DA1917" w14:textId="77777777" w:rsidTr="001E7B6F">
        <w:trPr>
          <w:jc w:val="center"/>
        </w:trPr>
        <w:tc>
          <w:tcPr>
            <w:tcW w:w="3420" w:type="dxa"/>
            <w:shd w:val="clear" w:color="auto" w:fill="003366"/>
            <w:vAlign w:val="center"/>
          </w:tcPr>
          <w:p w14:paraId="29773A63" w14:textId="77777777" w:rsidR="000F268D" w:rsidRPr="002D6F07" w:rsidRDefault="000F268D" w:rsidP="00955F17">
            <w:pPr>
              <w:jc w:val="center"/>
              <w:rPr>
                <w:rFonts w:ascii="Arial" w:hAnsi="Arial" w:cs="Arial"/>
                <w:b/>
                <w:color w:val="FFFFFF" w:themeColor="background1"/>
                <w:szCs w:val="24"/>
              </w:rPr>
            </w:pPr>
            <w:r w:rsidRPr="002D6F07">
              <w:rPr>
                <w:rFonts w:ascii="Arial" w:hAnsi="Arial" w:cs="Arial"/>
                <w:b/>
                <w:color w:val="FFFFFF" w:themeColor="background1"/>
                <w:szCs w:val="24"/>
              </w:rPr>
              <w:t xml:space="preserve">Unable to be Performed </w:t>
            </w:r>
            <w:r w:rsidR="00955F17">
              <w:rPr>
                <w:rFonts w:ascii="Arial" w:hAnsi="Arial" w:cs="Arial"/>
                <w:b/>
                <w:color w:val="FFFFFF" w:themeColor="background1"/>
                <w:szCs w:val="24"/>
              </w:rPr>
              <w:t>(U)</w:t>
            </w:r>
          </w:p>
        </w:tc>
        <w:tc>
          <w:tcPr>
            <w:tcW w:w="10980" w:type="dxa"/>
          </w:tcPr>
          <w:p w14:paraId="5E07A88D" w14:textId="77777777" w:rsidR="000F268D" w:rsidRPr="000F268D" w:rsidRDefault="000F268D" w:rsidP="00A25D04">
            <w:pPr>
              <w:widowControl w:val="0"/>
              <w:autoSpaceDE w:val="0"/>
              <w:autoSpaceDN w:val="0"/>
              <w:adjustRightInd w:val="0"/>
              <w:spacing w:before="120" w:after="120"/>
              <w:rPr>
                <w:szCs w:val="24"/>
              </w:rPr>
            </w:pPr>
            <w:r w:rsidRPr="000F268D">
              <w:rPr>
                <w:szCs w:val="24"/>
              </w:rPr>
              <w:t>The targets and critical tasks associated with the core capability were not performed in a manner that achieved the objective(s).</w:t>
            </w:r>
          </w:p>
        </w:tc>
      </w:tr>
    </w:tbl>
    <w:p w14:paraId="58016876" w14:textId="77777777" w:rsidR="000F268D" w:rsidRPr="000F268D" w:rsidRDefault="000F268D" w:rsidP="000F268D">
      <w:pPr>
        <w:rPr>
          <w:szCs w:val="24"/>
        </w:rPr>
      </w:pPr>
    </w:p>
    <w:sectPr w:rsidR="000F268D" w:rsidRPr="000F268D" w:rsidSect="00E17DBC">
      <w:footerReference w:type="default" r:id="rId10"/>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CC8A2" w14:textId="77777777" w:rsidR="00B90DB1" w:rsidRDefault="00B90DB1" w:rsidP="00955F17">
      <w:r>
        <w:separator/>
      </w:r>
    </w:p>
  </w:endnote>
  <w:endnote w:type="continuationSeparator" w:id="0">
    <w:p w14:paraId="0916499A" w14:textId="77777777" w:rsidR="00B90DB1" w:rsidRDefault="00B90DB1" w:rsidP="0095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4468" w14:textId="64FB5F4B" w:rsidR="00BA55BA" w:rsidRPr="00C737F2" w:rsidRDefault="00BA55BA"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14:paraId="193C2F50" w14:textId="4AEC440C" w:rsidR="00BA55BA" w:rsidRPr="00C737F2" w:rsidRDefault="00BA55BA"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26EA8" w14:textId="77777777" w:rsidR="00BA55BA" w:rsidRPr="00C737F2" w:rsidRDefault="00BA55BA"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14:paraId="22BC0557" w14:textId="77777777" w:rsidR="00BA55BA" w:rsidRPr="00C737F2" w:rsidRDefault="00BA55BA"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789D" w14:textId="77777777" w:rsidR="00BA55BA" w:rsidRPr="00C737F2" w:rsidRDefault="00BA55BA" w:rsidP="001E7B6F">
    <w:pPr>
      <w:pStyle w:val="Header"/>
      <w:pBdr>
        <w:top w:val="single" w:sz="8" w:space="1" w:color="000080"/>
      </w:pBdr>
      <w:tabs>
        <w:tab w:val="clear" w:pos="4680"/>
        <w:tab w:val="center" w:pos="6480"/>
      </w:tabs>
      <w:rPr>
        <w:rStyle w:val="PageNumber"/>
        <w:rFonts w:ascii="Arial" w:eastAsia="Times New Roman" w:hAnsi="Arial" w:cs="Arial"/>
        <w:color w:val="000080"/>
        <w:sz w:val="18"/>
        <w:szCs w:val="18"/>
      </w:rPr>
    </w:pPr>
    <w:r w:rsidRPr="00C737F2">
      <w:rPr>
        <w:rStyle w:val="PageNumber"/>
        <w:rFonts w:ascii="Arial" w:eastAsia="Times New Roman" w:hAnsi="Arial" w:cs="Arial"/>
        <w:b/>
        <w:color w:val="000080"/>
        <w:sz w:val="18"/>
        <w:szCs w:val="18"/>
      </w:rPr>
      <w:tab/>
    </w:r>
    <w:r w:rsidRPr="00C737F2">
      <w:rPr>
        <w:rStyle w:val="PageNumber"/>
        <w:rFonts w:ascii="Arial" w:eastAsia="Times New Roman" w:hAnsi="Arial" w:cs="Arial"/>
        <w:color w:val="000080"/>
        <w:sz w:val="18"/>
        <w:szCs w:val="18"/>
        <w:highlight w:val="lightGray"/>
      </w:rPr>
      <w:t>[PROTECTIVE MARKING, AS APPROPRIATE]</w:t>
    </w:r>
  </w:p>
  <w:p w14:paraId="35E3CADF" w14:textId="77777777" w:rsidR="00BA55BA" w:rsidRPr="00C737F2" w:rsidRDefault="00BA55BA" w:rsidP="00C737F2">
    <w:pPr>
      <w:tabs>
        <w:tab w:val="center" w:pos="6480"/>
      </w:tabs>
      <w:spacing w:before="60"/>
      <w:rPr>
        <w:rFonts w:ascii="Arial" w:hAnsi="Arial" w:cs="Arial"/>
        <w:color w:val="000080"/>
        <w:sz w:val="18"/>
        <w:szCs w:val="18"/>
      </w:rPr>
    </w:pPr>
    <w:r w:rsidRPr="00C737F2">
      <w:rPr>
        <w:rFonts w:ascii="Arial" w:hAnsi="Arial" w:cs="Arial"/>
        <w:color w:val="000080"/>
        <w:sz w:val="18"/>
        <w:szCs w:val="18"/>
      </w:rPr>
      <w:tab/>
      <w:t>Homeland Security Exercise and Evaluation Program (HSEEP)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C5694" w14:textId="77777777" w:rsidR="00B90DB1" w:rsidRDefault="00B90DB1" w:rsidP="00955F17">
      <w:r>
        <w:separator/>
      </w:r>
    </w:p>
  </w:footnote>
  <w:footnote w:type="continuationSeparator" w:id="0">
    <w:p w14:paraId="68FC562F" w14:textId="77777777" w:rsidR="00B90DB1" w:rsidRDefault="00B90DB1" w:rsidP="00955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391"/>
    <w:multiLevelType w:val="hybridMultilevel"/>
    <w:tmpl w:val="EDE62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FD4630"/>
    <w:multiLevelType w:val="hybridMultilevel"/>
    <w:tmpl w:val="5D2A9142"/>
    <w:lvl w:ilvl="0" w:tplc="F950317E">
      <w:start w:val="1"/>
      <w:numFmt w:val="bullet"/>
      <w:pStyle w:val="Squa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05F1F"/>
    <w:multiLevelType w:val="hybridMultilevel"/>
    <w:tmpl w:val="C396E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F7D12"/>
    <w:multiLevelType w:val="hybridMultilevel"/>
    <w:tmpl w:val="FD787FB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36868"/>
    <w:rsid w:val="000633A2"/>
    <w:rsid w:val="00095269"/>
    <w:rsid w:val="000C396B"/>
    <w:rsid w:val="000C4D24"/>
    <w:rsid w:val="000D2BE8"/>
    <w:rsid w:val="000D491C"/>
    <w:rsid w:val="000E108A"/>
    <w:rsid w:val="000E2EE1"/>
    <w:rsid w:val="000F268D"/>
    <w:rsid w:val="000F521C"/>
    <w:rsid w:val="000F5E51"/>
    <w:rsid w:val="0010033C"/>
    <w:rsid w:val="00112BD0"/>
    <w:rsid w:val="00152978"/>
    <w:rsid w:val="00193E3E"/>
    <w:rsid w:val="001A4F97"/>
    <w:rsid w:val="001D6C99"/>
    <w:rsid w:val="001E7B6F"/>
    <w:rsid w:val="0020201B"/>
    <w:rsid w:val="0021261C"/>
    <w:rsid w:val="00222461"/>
    <w:rsid w:val="00282935"/>
    <w:rsid w:val="00284301"/>
    <w:rsid w:val="002B08EF"/>
    <w:rsid w:val="002B395F"/>
    <w:rsid w:val="002D6F07"/>
    <w:rsid w:val="002E0111"/>
    <w:rsid w:val="002E7D11"/>
    <w:rsid w:val="00311DEC"/>
    <w:rsid w:val="00315AF4"/>
    <w:rsid w:val="003340EA"/>
    <w:rsid w:val="00336FE6"/>
    <w:rsid w:val="00351DDD"/>
    <w:rsid w:val="00363922"/>
    <w:rsid w:val="00364E3D"/>
    <w:rsid w:val="00371A71"/>
    <w:rsid w:val="003745F2"/>
    <w:rsid w:val="0038063E"/>
    <w:rsid w:val="00381AF1"/>
    <w:rsid w:val="003A7FCC"/>
    <w:rsid w:val="003B303B"/>
    <w:rsid w:val="003C3BB5"/>
    <w:rsid w:val="003F7ABC"/>
    <w:rsid w:val="00404AC2"/>
    <w:rsid w:val="00433C20"/>
    <w:rsid w:val="00452029"/>
    <w:rsid w:val="0046656B"/>
    <w:rsid w:val="004B0220"/>
    <w:rsid w:val="004C106E"/>
    <w:rsid w:val="004C1197"/>
    <w:rsid w:val="004C2E82"/>
    <w:rsid w:val="004D237A"/>
    <w:rsid w:val="004F3766"/>
    <w:rsid w:val="004F6F29"/>
    <w:rsid w:val="00503BD8"/>
    <w:rsid w:val="00516715"/>
    <w:rsid w:val="00525816"/>
    <w:rsid w:val="0053227E"/>
    <w:rsid w:val="00537EB3"/>
    <w:rsid w:val="00545B7E"/>
    <w:rsid w:val="00546F00"/>
    <w:rsid w:val="005546A9"/>
    <w:rsid w:val="005900D6"/>
    <w:rsid w:val="005928A9"/>
    <w:rsid w:val="006335A3"/>
    <w:rsid w:val="00637663"/>
    <w:rsid w:val="00644776"/>
    <w:rsid w:val="00644FEE"/>
    <w:rsid w:val="00656C05"/>
    <w:rsid w:val="006679F9"/>
    <w:rsid w:val="006739E1"/>
    <w:rsid w:val="006776F9"/>
    <w:rsid w:val="00681319"/>
    <w:rsid w:val="00682C89"/>
    <w:rsid w:val="0069017F"/>
    <w:rsid w:val="00690875"/>
    <w:rsid w:val="00696EBE"/>
    <w:rsid w:val="006A073E"/>
    <w:rsid w:val="006A24BD"/>
    <w:rsid w:val="006A62E4"/>
    <w:rsid w:val="006C4257"/>
    <w:rsid w:val="006C6F5E"/>
    <w:rsid w:val="006E346E"/>
    <w:rsid w:val="006F2B2F"/>
    <w:rsid w:val="007130B9"/>
    <w:rsid w:val="0074097E"/>
    <w:rsid w:val="007530FB"/>
    <w:rsid w:val="007539C3"/>
    <w:rsid w:val="00763950"/>
    <w:rsid w:val="007667C7"/>
    <w:rsid w:val="0077085D"/>
    <w:rsid w:val="007850A0"/>
    <w:rsid w:val="007915FF"/>
    <w:rsid w:val="007A424F"/>
    <w:rsid w:val="007B1211"/>
    <w:rsid w:val="007B1C02"/>
    <w:rsid w:val="007C2E85"/>
    <w:rsid w:val="007D48EB"/>
    <w:rsid w:val="007F2C03"/>
    <w:rsid w:val="00823926"/>
    <w:rsid w:val="0082534B"/>
    <w:rsid w:val="008348C6"/>
    <w:rsid w:val="00837F9C"/>
    <w:rsid w:val="00844C46"/>
    <w:rsid w:val="00861EF2"/>
    <w:rsid w:val="008A1879"/>
    <w:rsid w:val="008B4ED3"/>
    <w:rsid w:val="008D0B19"/>
    <w:rsid w:val="008D3B07"/>
    <w:rsid w:val="0090703C"/>
    <w:rsid w:val="00916D16"/>
    <w:rsid w:val="0093201D"/>
    <w:rsid w:val="009341E2"/>
    <w:rsid w:val="00953F25"/>
    <w:rsid w:val="00955F17"/>
    <w:rsid w:val="00973C96"/>
    <w:rsid w:val="00986BAC"/>
    <w:rsid w:val="009875B5"/>
    <w:rsid w:val="0099787B"/>
    <w:rsid w:val="009B0B2E"/>
    <w:rsid w:val="009C0948"/>
    <w:rsid w:val="009C7185"/>
    <w:rsid w:val="009D470E"/>
    <w:rsid w:val="00A234BB"/>
    <w:rsid w:val="00A25D04"/>
    <w:rsid w:val="00A71276"/>
    <w:rsid w:val="00A91347"/>
    <w:rsid w:val="00A95616"/>
    <w:rsid w:val="00A97B28"/>
    <w:rsid w:val="00AB651F"/>
    <w:rsid w:val="00AE3828"/>
    <w:rsid w:val="00B06B5B"/>
    <w:rsid w:val="00B34F28"/>
    <w:rsid w:val="00B90DB1"/>
    <w:rsid w:val="00B95816"/>
    <w:rsid w:val="00BA55BA"/>
    <w:rsid w:val="00BA5844"/>
    <w:rsid w:val="00BE2B8C"/>
    <w:rsid w:val="00BE55D8"/>
    <w:rsid w:val="00C01FE1"/>
    <w:rsid w:val="00C10983"/>
    <w:rsid w:val="00C145F8"/>
    <w:rsid w:val="00C155A2"/>
    <w:rsid w:val="00C36890"/>
    <w:rsid w:val="00C4049A"/>
    <w:rsid w:val="00C43EC7"/>
    <w:rsid w:val="00C527E5"/>
    <w:rsid w:val="00C56E61"/>
    <w:rsid w:val="00C66244"/>
    <w:rsid w:val="00C737F2"/>
    <w:rsid w:val="00C76678"/>
    <w:rsid w:val="00C875C6"/>
    <w:rsid w:val="00CA0B73"/>
    <w:rsid w:val="00CB64A5"/>
    <w:rsid w:val="00CC7E2F"/>
    <w:rsid w:val="00D4020E"/>
    <w:rsid w:val="00D77C34"/>
    <w:rsid w:val="00D93B9C"/>
    <w:rsid w:val="00DA7AE6"/>
    <w:rsid w:val="00DB72DC"/>
    <w:rsid w:val="00DD15B8"/>
    <w:rsid w:val="00DD3050"/>
    <w:rsid w:val="00DE345E"/>
    <w:rsid w:val="00DE36A0"/>
    <w:rsid w:val="00E132C0"/>
    <w:rsid w:val="00E17DBC"/>
    <w:rsid w:val="00E20FDA"/>
    <w:rsid w:val="00E21682"/>
    <w:rsid w:val="00E47F19"/>
    <w:rsid w:val="00E52E20"/>
    <w:rsid w:val="00EA133A"/>
    <w:rsid w:val="00EA2D73"/>
    <w:rsid w:val="00ED02ED"/>
    <w:rsid w:val="00F133CC"/>
    <w:rsid w:val="00F34CCC"/>
    <w:rsid w:val="00F46A7F"/>
    <w:rsid w:val="00F55915"/>
    <w:rsid w:val="00F77D42"/>
    <w:rsid w:val="00F82C3F"/>
    <w:rsid w:val="00F91DE5"/>
    <w:rsid w:val="00FB101F"/>
    <w:rsid w:val="00FB4175"/>
    <w:rsid w:val="00FD6EC0"/>
    <w:rsid w:val="00FE468A"/>
    <w:rsid w:val="00FF08C1"/>
    <w:rsid w:val="00FF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D2F0E0"/>
  <w15:docId w15:val="{BABE17E3-0E2E-401B-875D-DB4DA59F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525816"/>
    <w:pPr>
      <w:keepNext/>
      <w:spacing w:before="240" w:after="160"/>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qFormat/>
    <w:rsid w:val="006335A3"/>
    <w:pPr>
      <w:keepNext/>
      <w:spacing w:before="240" w:after="160"/>
      <w:outlineLvl w:val="1"/>
    </w:pPr>
    <w:rPr>
      <w:rFonts w:ascii="Arial" w:eastAsia="Times New Roman" w:hAnsi="Arial" w:cs="Arial"/>
      <w:b/>
      <w:bCs/>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uareBullet">
    <w:name w:val="Square Bullet"/>
    <w:basedOn w:val="ListParagraph"/>
    <w:qFormat/>
    <w:rsid w:val="00BE2B8C"/>
    <w:pPr>
      <w:numPr>
        <w:numId w:val="1"/>
      </w:numPr>
    </w:pPr>
  </w:style>
  <w:style w:type="paragraph" w:styleId="ListParagraph">
    <w:name w:val="List Paragraph"/>
    <w:basedOn w:val="Normal"/>
    <w:uiPriority w:val="34"/>
    <w:qFormat/>
    <w:rsid w:val="00BE2B8C"/>
    <w:pPr>
      <w:ind w:left="720"/>
      <w:contextualSpacing/>
    </w:pPr>
  </w:style>
  <w:style w:type="table" w:styleId="TableGrid">
    <w:name w:val="Table Grid"/>
    <w:basedOn w:val="TableNormal"/>
    <w:uiPriority w:val="59"/>
    <w:rsid w:val="0038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56B"/>
    <w:rPr>
      <w:rFonts w:ascii="Tahoma" w:hAnsi="Tahoma" w:cs="Tahoma"/>
      <w:sz w:val="16"/>
      <w:szCs w:val="16"/>
    </w:rPr>
  </w:style>
  <w:style w:type="character" w:customStyle="1" w:styleId="BalloonTextChar">
    <w:name w:val="Balloon Text Char"/>
    <w:basedOn w:val="DefaultParagraphFont"/>
    <w:link w:val="BalloonText"/>
    <w:uiPriority w:val="99"/>
    <w:semiHidden/>
    <w:rsid w:val="0046656B"/>
    <w:rPr>
      <w:rFonts w:ascii="Tahoma" w:hAnsi="Tahoma" w:cs="Tahoma"/>
      <w:sz w:val="16"/>
      <w:szCs w:val="16"/>
    </w:rPr>
  </w:style>
  <w:style w:type="character" w:styleId="CommentReference">
    <w:name w:val="annotation reference"/>
    <w:basedOn w:val="DefaultParagraphFont"/>
    <w:uiPriority w:val="99"/>
    <w:semiHidden/>
    <w:unhideWhenUsed/>
    <w:rsid w:val="00DE36A0"/>
    <w:rPr>
      <w:sz w:val="16"/>
      <w:szCs w:val="16"/>
    </w:rPr>
  </w:style>
  <w:style w:type="paragraph" w:styleId="CommentText">
    <w:name w:val="annotation text"/>
    <w:basedOn w:val="Normal"/>
    <w:link w:val="CommentTextChar"/>
    <w:uiPriority w:val="99"/>
    <w:semiHidden/>
    <w:unhideWhenUsed/>
    <w:rsid w:val="00DE36A0"/>
    <w:rPr>
      <w:sz w:val="20"/>
      <w:szCs w:val="20"/>
    </w:rPr>
  </w:style>
  <w:style w:type="character" w:customStyle="1" w:styleId="CommentTextChar">
    <w:name w:val="Comment Text Char"/>
    <w:basedOn w:val="DefaultParagraphFont"/>
    <w:link w:val="CommentText"/>
    <w:uiPriority w:val="99"/>
    <w:semiHidden/>
    <w:rsid w:val="00DE36A0"/>
    <w:rPr>
      <w:sz w:val="20"/>
      <w:szCs w:val="20"/>
    </w:rPr>
  </w:style>
  <w:style w:type="paragraph" w:styleId="CommentSubject">
    <w:name w:val="annotation subject"/>
    <w:basedOn w:val="CommentText"/>
    <w:next w:val="CommentText"/>
    <w:link w:val="CommentSubjectChar"/>
    <w:uiPriority w:val="99"/>
    <w:semiHidden/>
    <w:unhideWhenUsed/>
    <w:rsid w:val="00DE36A0"/>
    <w:rPr>
      <w:b/>
      <w:bCs/>
    </w:rPr>
  </w:style>
  <w:style w:type="character" w:customStyle="1" w:styleId="CommentSubjectChar">
    <w:name w:val="Comment Subject Char"/>
    <w:basedOn w:val="CommentTextChar"/>
    <w:link w:val="CommentSubject"/>
    <w:uiPriority w:val="99"/>
    <w:semiHidden/>
    <w:rsid w:val="00DE36A0"/>
    <w:rPr>
      <w:b/>
      <w:bCs/>
      <w:sz w:val="20"/>
      <w:szCs w:val="20"/>
    </w:rPr>
  </w:style>
  <w:style w:type="character" w:customStyle="1" w:styleId="Heading1Char">
    <w:name w:val="Heading 1 Char"/>
    <w:basedOn w:val="DefaultParagraphFont"/>
    <w:link w:val="Heading1"/>
    <w:rsid w:val="00525816"/>
    <w:rPr>
      <w:rFonts w:ascii="Arial Bold" w:eastAsia="Times New Roman" w:hAnsi="Arial Bold" w:cs="Arial"/>
      <w:b/>
      <w:bCs/>
      <w:smallCaps/>
      <w:color w:val="000080"/>
      <w:kern w:val="32"/>
      <w:sz w:val="38"/>
      <w:szCs w:val="38"/>
    </w:rPr>
  </w:style>
  <w:style w:type="paragraph" w:styleId="BodyText">
    <w:name w:val="Body Text"/>
    <w:basedOn w:val="Normal"/>
    <w:link w:val="BodyTextChar"/>
    <w:uiPriority w:val="99"/>
    <w:semiHidden/>
    <w:unhideWhenUsed/>
    <w:rsid w:val="00525816"/>
    <w:pPr>
      <w:spacing w:after="120"/>
    </w:pPr>
  </w:style>
  <w:style w:type="character" w:customStyle="1" w:styleId="BodyTextChar">
    <w:name w:val="Body Text Char"/>
    <w:basedOn w:val="DefaultParagraphFont"/>
    <w:link w:val="BodyText"/>
    <w:uiPriority w:val="99"/>
    <w:semiHidden/>
    <w:rsid w:val="00525816"/>
  </w:style>
  <w:style w:type="paragraph" w:customStyle="1" w:styleId="TableHead">
    <w:name w:val="Table Head"/>
    <w:basedOn w:val="Normal"/>
    <w:rsid w:val="00525816"/>
    <w:pPr>
      <w:spacing w:before="40" w:after="40"/>
      <w:jc w:val="center"/>
    </w:pPr>
    <w:rPr>
      <w:rFonts w:ascii="Arial" w:eastAsia="Times New Roman" w:hAnsi="Arial"/>
      <w:b/>
      <w:sz w:val="20"/>
      <w:szCs w:val="24"/>
    </w:rPr>
  </w:style>
  <w:style w:type="character" w:customStyle="1" w:styleId="Heading2Char">
    <w:name w:val="Heading 2 Char"/>
    <w:basedOn w:val="DefaultParagraphFont"/>
    <w:link w:val="Heading2"/>
    <w:rsid w:val="006335A3"/>
    <w:rPr>
      <w:rFonts w:ascii="Arial" w:eastAsia="Times New Roman" w:hAnsi="Arial" w:cs="Arial"/>
      <w:b/>
      <w:bCs/>
      <w:iCs/>
      <w:color w:val="000080"/>
      <w:sz w:val="28"/>
      <w:szCs w:val="28"/>
    </w:rPr>
  </w:style>
  <w:style w:type="paragraph" w:styleId="Header">
    <w:name w:val="header"/>
    <w:basedOn w:val="Normal"/>
    <w:link w:val="HeaderChar"/>
    <w:unhideWhenUsed/>
    <w:rsid w:val="00955F17"/>
    <w:pPr>
      <w:tabs>
        <w:tab w:val="center" w:pos="4680"/>
        <w:tab w:val="right" w:pos="9360"/>
      </w:tabs>
    </w:pPr>
  </w:style>
  <w:style w:type="character" w:customStyle="1" w:styleId="HeaderChar">
    <w:name w:val="Header Char"/>
    <w:basedOn w:val="DefaultParagraphFont"/>
    <w:link w:val="Header"/>
    <w:rsid w:val="00955F17"/>
  </w:style>
  <w:style w:type="paragraph" w:styleId="Footer">
    <w:name w:val="footer"/>
    <w:basedOn w:val="Normal"/>
    <w:link w:val="FooterChar"/>
    <w:uiPriority w:val="99"/>
    <w:unhideWhenUsed/>
    <w:rsid w:val="00955F17"/>
    <w:pPr>
      <w:tabs>
        <w:tab w:val="center" w:pos="4680"/>
        <w:tab w:val="right" w:pos="9360"/>
      </w:tabs>
    </w:pPr>
  </w:style>
  <w:style w:type="character" w:customStyle="1" w:styleId="FooterChar">
    <w:name w:val="Footer Char"/>
    <w:basedOn w:val="DefaultParagraphFont"/>
    <w:link w:val="Footer"/>
    <w:uiPriority w:val="99"/>
    <w:rsid w:val="00955F17"/>
  </w:style>
  <w:style w:type="character" w:styleId="PageNumber">
    <w:name w:val="page number"/>
    <w:basedOn w:val="DefaultParagraphFont"/>
    <w:semiHidden/>
    <w:rsid w:val="001E7B6F"/>
  </w:style>
  <w:style w:type="paragraph" w:customStyle="1" w:styleId="Default">
    <w:name w:val="Default"/>
    <w:rsid w:val="007915FF"/>
    <w:pPr>
      <w:autoSpaceDE w:val="0"/>
      <w:autoSpaceDN w:val="0"/>
      <w:adjustRightInd w:val="0"/>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4184">
      <w:bodyDiv w:val="1"/>
      <w:marLeft w:val="0"/>
      <w:marRight w:val="0"/>
      <w:marTop w:val="0"/>
      <w:marBottom w:val="0"/>
      <w:divBdr>
        <w:top w:val="none" w:sz="0" w:space="0" w:color="auto"/>
        <w:left w:val="none" w:sz="0" w:space="0" w:color="auto"/>
        <w:bottom w:val="none" w:sz="0" w:space="0" w:color="auto"/>
        <w:right w:val="none" w:sz="0" w:space="0" w:color="auto"/>
      </w:divBdr>
    </w:div>
    <w:div w:id="41366608">
      <w:bodyDiv w:val="1"/>
      <w:marLeft w:val="0"/>
      <w:marRight w:val="0"/>
      <w:marTop w:val="0"/>
      <w:marBottom w:val="0"/>
      <w:divBdr>
        <w:top w:val="none" w:sz="0" w:space="0" w:color="auto"/>
        <w:left w:val="none" w:sz="0" w:space="0" w:color="auto"/>
        <w:bottom w:val="none" w:sz="0" w:space="0" w:color="auto"/>
        <w:right w:val="none" w:sz="0" w:space="0" w:color="auto"/>
      </w:divBdr>
    </w:div>
    <w:div w:id="108135551">
      <w:bodyDiv w:val="1"/>
      <w:marLeft w:val="0"/>
      <w:marRight w:val="0"/>
      <w:marTop w:val="0"/>
      <w:marBottom w:val="0"/>
      <w:divBdr>
        <w:top w:val="none" w:sz="0" w:space="0" w:color="auto"/>
        <w:left w:val="none" w:sz="0" w:space="0" w:color="auto"/>
        <w:bottom w:val="none" w:sz="0" w:space="0" w:color="auto"/>
        <w:right w:val="none" w:sz="0" w:space="0" w:color="auto"/>
      </w:divBdr>
    </w:div>
    <w:div w:id="116028086">
      <w:bodyDiv w:val="1"/>
      <w:marLeft w:val="0"/>
      <w:marRight w:val="0"/>
      <w:marTop w:val="0"/>
      <w:marBottom w:val="0"/>
      <w:divBdr>
        <w:top w:val="none" w:sz="0" w:space="0" w:color="auto"/>
        <w:left w:val="none" w:sz="0" w:space="0" w:color="auto"/>
        <w:bottom w:val="none" w:sz="0" w:space="0" w:color="auto"/>
        <w:right w:val="none" w:sz="0" w:space="0" w:color="auto"/>
      </w:divBdr>
    </w:div>
    <w:div w:id="400568743">
      <w:bodyDiv w:val="1"/>
      <w:marLeft w:val="0"/>
      <w:marRight w:val="0"/>
      <w:marTop w:val="0"/>
      <w:marBottom w:val="0"/>
      <w:divBdr>
        <w:top w:val="none" w:sz="0" w:space="0" w:color="auto"/>
        <w:left w:val="none" w:sz="0" w:space="0" w:color="auto"/>
        <w:bottom w:val="none" w:sz="0" w:space="0" w:color="auto"/>
        <w:right w:val="none" w:sz="0" w:space="0" w:color="auto"/>
      </w:divBdr>
    </w:div>
    <w:div w:id="408431099">
      <w:bodyDiv w:val="1"/>
      <w:marLeft w:val="0"/>
      <w:marRight w:val="0"/>
      <w:marTop w:val="0"/>
      <w:marBottom w:val="0"/>
      <w:divBdr>
        <w:top w:val="none" w:sz="0" w:space="0" w:color="auto"/>
        <w:left w:val="none" w:sz="0" w:space="0" w:color="auto"/>
        <w:bottom w:val="none" w:sz="0" w:space="0" w:color="auto"/>
        <w:right w:val="none" w:sz="0" w:space="0" w:color="auto"/>
      </w:divBdr>
    </w:div>
    <w:div w:id="421952705">
      <w:bodyDiv w:val="1"/>
      <w:marLeft w:val="0"/>
      <w:marRight w:val="0"/>
      <w:marTop w:val="0"/>
      <w:marBottom w:val="0"/>
      <w:divBdr>
        <w:top w:val="none" w:sz="0" w:space="0" w:color="auto"/>
        <w:left w:val="none" w:sz="0" w:space="0" w:color="auto"/>
        <w:bottom w:val="none" w:sz="0" w:space="0" w:color="auto"/>
        <w:right w:val="none" w:sz="0" w:space="0" w:color="auto"/>
      </w:divBdr>
    </w:div>
    <w:div w:id="456722545">
      <w:bodyDiv w:val="1"/>
      <w:marLeft w:val="0"/>
      <w:marRight w:val="0"/>
      <w:marTop w:val="0"/>
      <w:marBottom w:val="0"/>
      <w:divBdr>
        <w:top w:val="none" w:sz="0" w:space="0" w:color="auto"/>
        <w:left w:val="none" w:sz="0" w:space="0" w:color="auto"/>
        <w:bottom w:val="none" w:sz="0" w:space="0" w:color="auto"/>
        <w:right w:val="none" w:sz="0" w:space="0" w:color="auto"/>
      </w:divBdr>
    </w:div>
    <w:div w:id="552888151">
      <w:bodyDiv w:val="1"/>
      <w:marLeft w:val="0"/>
      <w:marRight w:val="0"/>
      <w:marTop w:val="0"/>
      <w:marBottom w:val="0"/>
      <w:divBdr>
        <w:top w:val="none" w:sz="0" w:space="0" w:color="auto"/>
        <w:left w:val="none" w:sz="0" w:space="0" w:color="auto"/>
        <w:bottom w:val="none" w:sz="0" w:space="0" w:color="auto"/>
        <w:right w:val="none" w:sz="0" w:space="0" w:color="auto"/>
      </w:divBdr>
    </w:div>
    <w:div w:id="555121273">
      <w:bodyDiv w:val="1"/>
      <w:marLeft w:val="0"/>
      <w:marRight w:val="0"/>
      <w:marTop w:val="0"/>
      <w:marBottom w:val="0"/>
      <w:divBdr>
        <w:top w:val="none" w:sz="0" w:space="0" w:color="auto"/>
        <w:left w:val="none" w:sz="0" w:space="0" w:color="auto"/>
        <w:bottom w:val="none" w:sz="0" w:space="0" w:color="auto"/>
        <w:right w:val="none" w:sz="0" w:space="0" w:color="auto"/>
      </w:divBdr>
    </w:div>
    <w:div w:id="565187880">
      <w:bodyDiv w:val="1"/>
      <w:marLeft w:val="0"/>
      <w:marRight w:val="0"/>
      <w:marTop w:val="0"/>
      <w:marBottom w:val="0"/>
      <w:divBdr>
        <w:top w:val="none" w:sz="0" w:space="0" w:color="auto"/>
        <w:left w:val="none" w:sz="0" w:space="0" w:color="auto"/>
        <w:bottom w:val="none" w:sz="0" w:space="0" w:color="auto"/>
        <w:right w:val="none" w:sz="0" w:space="0" w:color="auto"/>
      </w:divBdr>
    </w:div>
    <w:div w:id="568031612">
      <w:bodyDiv w:val="1"/>
      <w:marLeft w:val="0"/>
      <w:marRight w:val="0"/>
      <w:marTop w:val="0"/>
      <w:marBottom w:val="0"/>
      <w:divBdr>
        <w:top w:val="none" w:sz="0" w:space="0" w:color="auto"/>
        <w:left w:val="none" w:sz="0" w:space="0" w:color="auto"/>
        <w:bottom w:val="none" w:sz="0" w:space="0" w:color="auto"/>
        <w:right w:val="none" w:sz="0" w:space="0" w:color="auto"/>
      </w:divBdr>
    </w:div>
    <w:div w:id="575552219">
      <w:bodyDiv w:val="1"/>
      <w:marLeft w:val="0"/>
      <w:marRight w:val="0"/>
      <w:marTop w:val="0"/>
      <w:marBottom w:val="0"/>
      <w:divBdr>
        <w:top w:val="none" w:sz="0" w:space="0" w:color="auto"/>
        <w:left w:val="none" w:sz="0" w:space="0" w:color="auto"/>
        <w:bottom w:val="none" w:sz="0" w:space="0" w:color="auto"/>
        <w:right w:val="none" w:sz="0" w:space="0" w:color="auto"/>
      </w:divBdr>
    </w:div>
    <w:div w:id="643386383">
      <w:bodyDiv w:val="1"/>
      <w:marLeft w:val="0"/>
      <w:marRight w:val="0"/>
      <w:marTop w:val="0"/>
      <w:marBottom w:val="0"/>
      <w:divBdr>
        <w:top w:val="none" w:sz="0" w:space="0" w:color="auto"/>
        <w:left w:val="none" w:sz="0" w:space="0" w:color="auto"/>
        <w:bottom w:val="none" w:sz="0" w:space="0" w:color="auto"/>
        <w:right w:val="none" w:sz="0" w:space="0" w:color="auto"/>
      </w:divBdr>
    </w:div>
    <w:div w:id="749349064">
      <w:bodyDiv w:val="1"/>
      <w:marLeft w:val="0"/>
      <w:marRight w:val="0"/>
      <w:marTop w:val="0"/>
      <w:marBottom w:val="0"/>
      <w:divBdr>
        <w:top w:val="none" w:sz="0" w:space="0" w:color="auto"/>
        <w:left w:val="none" w:sz="0" w:space="0" w:color="auto"/>
        <w:bottom w:val="none" w:sz="0" w:space="0" w:color="auto"/>
        <w:right w:val="none" w:sz="0" w:space="0" w:color="auto"/>
      </w:divBdr>
    </w:div>
    <w:div w:id="944776739">
      <w:bodyDiv w:val="1"/>
      <w:marLeft w:val="0"/>
      <w:marRight w:val="0"/>
      <w:marTop w:val="0"/>
      <w:marBottom w:val="0"/>
      <w:divBdr>
        <w:top w:val="none" w:sz="0" w:space="0" w:color="auto"/>
        <w:left w:val="none" w:sz="0" w:space="0" w:color="auto"/>
        <w:bottom w:val="none" w:sz="0" w:space="0" w:color="auto"/>
        <w:right w:val="none" w:sz="0" w:space="0" w:color="auto"/>
      </w:divBdr>
    </w:div>
    <w:div w:id="1000816478">
      <w:bodyDiv w:val="1"/>
      <w:marLeft w:val="0"/>
      <w:marRight w:val="0"/>
      <w:marTop w:val="0"/>
      <w:marBottom w:val="0"/>
      <w:divBdr>
        <w:top w:val="none" w:sz="0" w:space="0" w:color="auto"/>
        <w:left w:val="none" w:sz="0" w:space="0" w:color="auto"/>
        <w:bottom w:val="none" w:sz="0" w:space="0" w:color="auto"/>
        <w:right w:val="none" w:sz="0" w:space="0" w:color="auto"/>
      </w:divBdr>
    </w:div>
    <w:div w:id="1007900740">
      <w:bodyDiv w:val="1"/>
      <w:marLeft w:val="0"/>
      <w:marRight w:val="0"/>
      <w:marTop w:val="0"/>
      <w:marBottom w:val="0"/>
      <w:divBdr>
        <w:top w:val="none" w:sz="0" w:space="0" w:color="auto"/>
        <w:left w:val="none" w:sz="0" w:space="0" w:color="auto"/>
        <w:bottom w:val="none" w:sz="0" w:space="0" w:color="auto"/>
        <w:right w:val="none" w:sz="0" w:space="0" w:color="auto"/>
      </w:divBdr>
    </w:div>
    <w:div w:id="1053430838">
      <w:bodyDiv w:val="1"/>
      <w:marLeft w:val="0"/>
      <w:marRight w:val="0"/>
      <w:marTop w:val="0"/>
      <w:marBottom w:val="0"/>
      <w:divBdr>
        <w:top w:val="none" w:sz="0" w:space="0" w:color="auto"/>
        <w:left w:val="none" w:sz="0" w:space="0" w:color="auto"/>
        <w:bottom w:val="none" w:sz="0" w:space="0" w:color="auto"/>
        <w:right w:val="none" w:sz="0" w:space="0" w:color="auto"/>
      </w:divBdr>
    </w:div>
    <w:div w:id="1081177848">
      <w:bodyDiv w:val="1"/>
      <w:marLeft w:val="0"/>
      <w:marRight w:val="0"/>
      <w:marTop w:val="0"/>
      <w:marBottom w:val="0"/>
      <w:divBdr>
        <w:top w:val="none" w:sz="0" w:space="0" w:color="auto"/>
        <w:left w:val="none" w:sz="0" w:space="0" w:color="auto"/>
        <w:bottom w:val="none" w:sz="0" w:space="0" w:color="auto"/>
        <w:right w:val="none" w:sz="0" w:space="0" w:color="auto"/>
      </w:divBdr>
    </w:div>
    <w:div w:id="1107702228">
      <w:bodyDiv w:val="1"/>
      <w:marLeft w:val="0"/>
      <w:marRight w:val="0"/>
      <w:marTop w:val="0"/>
      <w:marBottom w:val="0"/>
      <w:divBdr>
        <w:top w:val="none" w:sz="0" w:space="0" w:color="auto"/>
        <w:left w:val="none" w:sz="0" w:space="0" w:color="auto"/>
        <w:bottom w:val="none" w:sz="0" w:space="0" w:color="auto"/>
        <w:right w:val="none" w:sz="0" w:space="0" w:color="auto"/>
      </w:divBdr>
    </w:div>
    <w:div w:id="1156147381">
      <w:bodyDiv w:val="1"/>
      <w:marLeft w:val="0"/>
      <w:marRight w:val="0"/>
      <w:marTop w:val="0"/>
      <w:marBottom w:val="0"/>
      <w:divBdr>
        <w:top w:val="none" w:sz="0" w:space="0" w:color="auto"/>
        <w:left w:val="none" w:sz="0" w:space="0" w:color="auto"/>
        <w:bottom w:val="none" w:sz="0" w:space="0" w:color="auto"/>
        <w:right w:val="none" w:sz="0" w:space="0" w:color="auto"/>
      </w:divBdr>
    </w:div>
    <w:div w:id="1202980598">
      <w:bodyDiv w:val="1"/>
      <w:marLeft w:val="0"/>
      <w:marRight w:val="0"/>
      <w:marTop w:val="0"/>
      <w:marBottom w:val="0"/>
      <w:divBdr>
        <w:top w:val="none" w:sz="0" w:space="0" w:color="auto"/>
        <w:left w:val="none" w:sz="0" w:space="0" w:color="auto"/>
        <w:bottom w:val="none" w:sz="0" w:space="0" w:color="auto"/>
        <w:right w:val="none" w:sz="0" w:space="0" w:color="auto"/>
      </w:divBdr>
    </w:div>
    <w:div w:id="1237856846">
      <w:bodyDiv w:val="1"/>
      <w:marLeft w:val="0"/>
      <w:marRight w:val="0"/>
      <w:marTop w:val="0"/>
      <w:marBottom w:val="0"/>
      <w:divBdr>
        <w:top w:val="none" w:sz="0" w:space="0" w:color="auto"/>
        <w:left w:val="none" w:sz="0" w:space="0" w:color="auto"/>
        <w:bottom w:val="none" w:sz="0" w:space="0" w:color="auto"/>
        <w:right w:val="none" w:sz="0" w:space="0" w:color="auto"/>
      </w:divBdr>
    </w:div>
    <w:div w:id="1308852150">
      <w:bodyDiv w:val="1"/>
      <w:marLeft w:val="0"/>
      <w:marRight w:val="0"/>
      <w:marTop w:val="0"/>
      <w:marBottom w:val="0"/>
      <w:divBdr>
        <w:top w:val="none" w:sz="0" w:space="0" w:color="auto"/>
        <w:left w:val="none" w:sz="0" w:space="0" w:color="auto"/>
        <w:bottom w:val="none" w:sz="0" w:space="0" w:color="auto"/>
        <w:right w:val="none" w:sz="0" w:space="0" w:color="auto"/>
      </w:divBdr>
    </w:div>
    <w:div w:id="1318417031">
      <w:bodyDiv w:val="1"/>
      <w:marLeft w:val="0"/>
      <w:marRight w:val="0"/>
      <w:marTop w:val="0"/>
      <w:marBottom w:val="0"/>
      <w:divBdr>
        <w:top w:val="none" w:sz="0" w:space="0" w:color="auto"/>
        <w:left w:val="none" w:sz="0" w:space="0" w:color="auto"/>
        <w:bottom w:val="none" w:sz="0" w:space="0" w:color="auto"/>
        <w:right w:val="none" w:sz="0" w:space="0" w:color="auto"/>
      </w:divBdr>
    </w:div>
    <w:div w:id="1388919105">
      <w:bodyDiv w:val="1"/>
      <w:marLeft w:val="0"/>
      <w:marRight w:val="0"/>
      <w:marTop w:val="0"/>
      <w:marBottom w:val="0"/>
      <w:divBdr>
        <w:top w:val="none" w:sz="0" w:space="0" w:color="auto"/>
        <w:left w:val="none" w:sz="0" w:space="0" w:color="auto"/>
        <w:bottom w:val="none" w:sz="0" w:space="0" w:color="auto"/>
        <w:right w:val="none" w:sz="0" w:space="0" w:color="auto"/>
      </w:divBdr>
    </w:div>
    <w:div w:id="1421440698">
      <w:bodyDiv w:val="1"/>
      <w:marLeft w:val="0"/>
      <w:marRight w:val="0"/>
      <w:marTop w:val="0"/>
      <w:marBottom w:val="0"/>
      <w:divBdr>
        <w:top w:val="none" w:sz="0" w:space="0" w:color="auto"/>
        <w:left w:val="none" w:sz="0" w:space="0" w:color="auto"/>
        <w:bottom w:val="none" w:sz="0" w:space="0" w:color="auto"/>
        <w:right w:val="none" w:sz="0" w:space="0" w:color="auto"/>
      </w:divBdr>
    </w:div>
    <w:div w:id="1591622451">
      <w:bodyDiv w:val="1"/>
      <w:marLeft w:val="0"/>
      <w:marRight w:val="0"/>
      <w:marTop w:val="0"/>
      <w:marBottom w:val="0"/>
      <w:divBdr>
        <w:top w:val="none" w:sz="0" w:space="0" w:color="auto"/>
        <w:left w:val="none" w:sz="0" w:space="0" w:color="auto"/>
        <w:bottom w:val="none" w:sz="0" w:space="0" w:color="auto"/>
        <w:right w:val="none" w:sz="0" w:space="0" w:color="auto"/>
      </w:divBdr>
    </w:div>
    <w:div w:id="1624386996">
      <w:bodyDiv w:val="1"/>
      <w:marLeft w:val="0"/>
      <w:marRight w:val="0"/>
      <w:marTop w:val="0"/>
      <w:marBottom w:val="0"/>
      <w:divBdr>
        <w:top w:val="none" w:sz="0" w:space="0" w:color="auto"/>
        <w:left w:val="none" w:sz="0" w:space="0" w:color="auto"/>
        <w:bottom w:val="none" w:sz="0" w:space="0" w:color="auto"/>
        <w:right w:val="none" w:sz="0" w:space="0" w:color="auto"/>
      </w:divBdr>
    </w:div>
    <w:div w:id="1668706492">
      <w:bodyDiv w:val="1"/>
      <w:marLeft w:val="0"/>
      <w:marRight w:val="0"/>
      <w:marTop w:val="0"/>
      <w:marBottom w:val="0"/>
      <w:divBdr>
        <w:top w:val="none" w:sz="0" w:space="0" w:color="auto"/>
        <w:left w:val="none" w:sz="0" w:space="0" w:color="auto"/>
        <w:bottom w:val="none" w:sz="0" w:space="0" w:color="auto"/>
        <w:right w:val="none" w:sz="0" w:space="0" w:color="auto"/>
      </w:divBdr>
    </w:div>
    <w:div w:id="1751151277">
      <w:bodyDiv w:val="1"/>
      <w:marLeft w:val="0"/>
      <w:marRight w:val="0"/>
      <w:marTop w:val="0"/>
      <w:marBottom w:val="0"/>
      <w:divBdr>
        <w:top w:val="none" w:sz="0" w:space="0" w:color="auto"/>
        <w:left w:val="none" w:sz="0" w:space="0" w:color="auto"/>
        <w:bottom w:val="none" w:sz="0" w:space="0" w:color="auto"/>
        <w:right w:val="none" w:sz="0" w:space="0" w:color="auto"/>
      </w:divBdr>
    </w:div>
    <w:div w:id="1762676789">
      <w:bodyDiv w:val="1"/>
      <w:marLeft w:val="0"/>
      <w:marRight w:val="0"/>
      <w:marTop w:val="0"/>
      <w:marBottom w:val="0"/>
      <w:divBdr>
        <w:top w:val="none" w:sz="0" w:space="0" w:color="auto"/>
        <w:left w:val="none" w:sz="0" w:space="0" w:color="auto"/>
        <w:bottom w:val="none" w:sz="0" w:space="0" w:color="auto"/>
        <w:right w:val="none" w:sz="0" w:space="0" w:color="auto"/>
      </w:divBdr>
    </w:div>
    <w:div w:id="1766078072">
      <w:bodyDiv w:val="1"/>
      <w:marLeft w:val="0"/>
      <w:marRight w:val="0"/>
      <w:marTop w:val="0"/>
      <w:marBottom w:val="0"/>
      <w:divBdr>
        <w:top w:val="none" w:sz="0" w:space="0" w:color="auto"/>
        <w:left w:val="none" w:sz="0" w:space="0" w:color="auto"/>
        <w:bottom w:val="none" w:sz="0" w:space="0" w:color="auto"/>
        <w:right w:val="none" w:sz="0" w:space="0" w:color="auto"/>
      </w:divBdr>
    </w:div>
    <w:div w:id="1811946850">
      <w:bodyDiv w:val="1"/>
      <w:marLeft w:val="0"/>
      <w:marRight w:val="0"/>
      <w:marTop w:val="0"/>
      <w:marBottom w:val="0"/>
      <w:divBdr>
        <w:top w:val="none" w:sz="0" w:space="0" w:color="auto"/>
        <w:left w:val="none" w:sz="0" w:space="0" w:color="auto"/>
        <w:bottom w:val="none" w:sz="0" w:space="0" w:color="auto"/>
        <w:right w:val="none" w:sz="0" w:space="0" w:color="auto"/>
      </w:divBdr>
    </w:div>
    <w:div w:id="2037999778">
      <w:bodyDiv w:val="1"/>
      <w:marLeft w:val="0"/>
      <w:marRight w:val="0"/>
      <w:marTop w:val="0"/>
      <w:marBottom w:val="0"/>
      <w:divBdr>
        <w:top w:val="none" w:sz="0" w:space="0" w:color="auto"/>
        <w:left w:val="none" w:sz="0" w:space="0" w:color="auto"/>
        <w:bottom w:val="none" w:sz="0" w:space="0" w:color="auto"/>
        <w:right w:val="none" w:sz="0" w:space="0" w:color="auto"/>
      </w:divBdr>
    </w:div>
    <w:div w:id="2102532409">
      <w:bodyDiv w:val="1"/>
      <w:marLeft w:val="0"/>
      <w:marRight w:val="0"/>
      <w:marTop w:val="0"/>
      <w:marBottom w:val="0"/>
      <w:divBdr>
        <w:top w:val="none" w:sz="0" w:space="0" w:color="auto"/>
        <w:left w:val="none" w:sz="0" w:space="0" w:color="auto"/>
        <w:bottom w:val="none" w:sz="0" w:space="0" w:color="auto"/>
        <w:right w:val="none" w:sz="0" w:space="0" w:color="auto"/>
      </w:divBdr>
    </w:div>
    <w:div w:id="2113547948">
      <w:bodyDiv w:val="1"/>
      <w:marLeft w:val="0"/>
      <w:marRight w:val="0"/>
      <w:marTop w:val="0"/>
      <w:marBottom w:val="0"/>
      <w:divBdr>
        <w:top w:val="none" w:sz="0" w:space="0" w:color="auto"/>
        <w:left w:val="none" w:sz="0" w:space="0" w:color="auto"/>
        <w:bottom w:val="none" w:sz="0" w:space="0" w:color="auto"/>
        <w:right w:val="none" w:sz="0" w:space="0" w:color="auto"/>
      </w:divBdr>
    </w:div>
    <w:div w:id="214711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A143C-EFC1-482E-9C97-AE6C4F6D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Siceloff, Rebecca</dc:creator>
  <cp:lastModifiedBy>VITA Program</cp:lastModifiedBy>
  <cp:revision>7</cp:revision>
  <cp:lastPrinted>2013-03-29T20:22:00Z</cp:lastPrinted>
  <dcterms:created xsi:type="dcterms:W3CDTF">2018-07-31T20:13:00Z</dcterms:created>
  <dcterms:modified xsi:type="dcterms:W3CDTF">2020-11-30T16:46:00Z</dcterms:modified>
</cp:coreProperties>
</file>