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D63A" w14:textId="77777777" w:rsidR="00525816" w:rsidRDefault="00626A41" w:rsidP="00606B11">
      <w:pPr>
        <w:pStyle w:val="Heading1"/>
      </w:pPr>
      <w:r>
        <w:t xml:space="preserve"> </w:t>
      </w:r>
      <w:r w:rsidR="00525816"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C73350" w:rsidRPr="000F268D" w14:paraId="28C75B9C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3F755AAB" w14:textId="77777777" w:rsidR="00C73350" w:rsidRPr="000D2BE8" w:rsidRDefault="00C73350" w:rsidP="00C73350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>
              <w:rPr>
                <w:szCs w:val="24"/>
              </w:rPr>
              <w:t>Vaccine TTX</w:t>
            </w:r>
          </w:p>
          <w:p w14:paraId="142425AB" w14:textId="77777777" w:rsidR="00C73350" w:rsidRPr="00740920" w:rsidRDefault="00C73350" w:rsidP="00C73350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Exercise Date: </w:t>
            </w:r>
            <w:r w:rsidRPr="00E3047C">
              <w:rPr>
                <w:szCs w:val="24"/>
                <w:highlight w:val="lightGray"/>
              </w:rPr>
              <w:t>Insert Date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49C5D8E7" w14:textId="77777777" w:rsidR="00C73350" w:rsidRPr="000F268D" w:rsidRDefault="00C73350" w:rsidP="00C73350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461EF035" w14:textId="77777777" w:rsidR="00C73350" w:rsidRPr="000F268D" w:rsidRDefault="00C73350" w:rsidP="00C73350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Locality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2BF1F660" w14:textId="77777777" w:rsidR="00C73350" w:rsidRPr="000F268D" w:rsidRDefault="00C73350" w:rsidP="00C73350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C858189" w14:textId="77777777" w:rsidR="00C73350" w:rsidRPr="000F268D" w:rsidRDefault="00C73350" w:rsidP="00C73350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Location with Address</w:t>
            </w:r>
          </w:p>
        </w:tc>
      </w:tr>
      <w:tr w:rsidR="00525816" w:rsidRPr="000F268D" w14:paraId="6A59B4C9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03122673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1D1EC742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0E7966E8" w14:textId="77777777" w:rsidR="00C9030C" w:rsidRPr="007264E4" w:rsidRDefault="00331B5C" w:rsidP="00C9030C">
            <w:pPr>
              <w:tabs>
                <w:tab w:val="left" w:pos="360"/>
              </w:tabs>
              <w:ind w:right="-450"/>
              <w:jc w:val="both"/>
              <w:rPr>
                <w:rFonts w:ascii="Times" w:hAnsi="Times" w:cs="Times"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9030C">
              <w:rPr>
                <w:szCs w:val="24"/>
              </w:rPr>
              <w:t>Logistics and Supply Chain Management</w:t>
            </w:r>
          </w:p>
          <w:p w14:paraId="626D7B44" w14:textId="77777777" w:rsidR="00525816" w:rsidRPr="00EB5011" w:rsidRDefault="00C9030C" w:rsidP="007264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  <w:szCs w:val="24"/>
              </w:rPr>
            </w:pPr>
            <w:r w:rsidRPr="00EB5011">
              <w:rPr>
                <w:bCs/>
              </w:rPr>
              <w:t xml:space="preserve">Deliver essential commodities, equipment, and services in support of impacted communities and survivors, to include emergency power and fuel support, as well as the </w:t>
            </w:r>
            <w:r w:rsidRPr="00260E73">
              <w:rPr>
                <w:bCs/>
              </w:rPr>
              <w:t>coordination of access to community staples. Synchronize logistics capabilities and enable the restoration of impacted supply chains.</w:t>
            </w:r>
            <w:r w:rsidRPr="00EB5011">
              <w:rPr>
                <w:color w:val="000000"/>
                <w:szCs w:val="24"/>
              </w:rPr>
              <w:t xml:space="preserve"> </w:t>
            </w:r>
          </w:p>
        </w:tc>
      </w:tr>
      <w:tr w:rsidR="00525816" w:rsidRPr="000F268D" w14:paraId="5BFA8C00" w14:textId="77777777" w:rsidTr="007D4869">
        <w:trPr>
          <w:trHeight w:val="602"/>
          <w:jc w:val="center"/>
        </w:trPr>
        <w:tc>
          <w:tcPr>
            <w:tcW w:w="5000" w:type="pct"/>
            <w:gridSpan w:val="3"/>
          </w:tcPr>
          <w:p w14:paraId="40CEE380" w14:textId="77777777" w:rsidR="00D93B9C" w:rsidRPr="00DF032D" w:rsidRDefault="00331B5C" w:rsidP="00563A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  <w:r w:rsidR="00C9030C" w:rsidRPr="00086799">
              <w:rPr>
                <w:bCs/>
              </w:rPr>
              <w:t xml:space="preserve">Evaluate the ability of </w:t>
            </w:r>
            <w:r w:rsidR="00563AE9" w:rsidRPr="00563AE9">
              <w:rPr>
                <w:bCs/>
                <w:highlight w:val="lightGray"/>
              </w:rPr>
              <w:t>locality</w:t>
            </w:r>
            <w:r w:rsidR="00C0738C" w:rsidRPr="00260E73">
              <w:rPr>
                <w:bCs/>
                <w:color w:val="000000" w:themeColor="text1"/>
              </w:rPr>
              <w:t xml:space="preserve"> </w:t>
            </w:r>
            <w:r w:rsidR="00C9030C" w:rsidRPr="00086799">
              <w:rPr>
                <w:bCs/>
              </w:rPr>
              <w:t xml:space="preserve">Logistics Section to provide facilities, services and support in </w:t>
            </w:r>
            <w:r w:rsidR="00563AE9">
              <w:rPr>
                <w:bCs/>
              </w:rPr>
              <w:t>support of vaccination distribution i</w:t>
            </w:r>
            <w:r w:rsidR="00C9030C" w:rsidRPr="00086799">
              <w:rPr>
                <w:bCs/>
              </w:rPr>
              <w:t>n accordance with established plans, policies and procedures.</w:t>
            </w:r>
          </w:p>
        </w:tc>
      </w:tr>
      <w:tr w:rsidR="00CD4F34" w:rsidRPr="000F268D" w14:paraId="20876969" w14:textId="77777777" w:rsidTr="006103A7">
        <w:trPr>
          <w:trHeight w:val="890"/>
          <w:jc w:val="center"/>
        </w:trPr>
        <w:tc>
          <w:tcPr>
            <w:tcW w:w="5000" w:type="pct"/>
            <w:gridSpan w:val="3"/>
          </w:tcPr>
          <w:p w14:paraId="35D9C86C" w14:textId="77777777" w:rsidR="00C9030C" w:rsidRDefault="00CD4F34" w:rsidP="00C903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B5707">
              <w:rPr>
                <w:b/>
                <w:szCs w:val="24"/>
              </w:rPr>
              <w:t xml:space="preserve">Organizational Capability Target </w:t>
            </w:r>
            <w:r>
              <w:rPr>
                <w:b/>
                <w:szCs w:val="24"/>
              </w:rPr>
              <w:t>1:</w:t>
            </w:r>
            <w:r w:rsidR="00FD5A05" w:rsidRPr="00FD5A05">
              <w:rPr>
                <w:bCs/>
                <w:color w:val="0F243E" w:themeColor="text2" w:themeShade="80"/>
              </w:rPr>
              <w:t xml:space="preserve"> </w:t>
            </w:r>
            <w:r w:rsidR="00C9030C" w:rsidRPr="00FA6A14">
              <w:rPr>
                <w:b/>
                <w:szCs w:val="24"/>
              </w:rPr>
              <w:t xml:space="preserve">Mobilize and deliver </w:t>
            </w:r>
            <w:r w:rsidR="00563AE9">
              <w:rPr>
                <w:b/>
                <w:szCs w:val="24"/>
              </w:rPr>
              <w:t>vaccination to the local population to include support supplies, location of POD, and other logistical requirements</w:t>
            </w:r>
            <w:r w:rsidR="00C9030C" w:rsidRPr="00FA6A14">
              <w:rPr>
                <w:b/>
                <w:szCs w:val="24"/>
              </w:rPr>
              <w:t xml:space="preserve">. </w:t>
            </w:r>
          </w:p>
          <w:p w14:paraId="7EEAAAB3" w14:textId="5DB011A1" w:rsidR="00EB5011" w:rsidRPr="00563AE9" w:rsidRDefault="006B2695" w:rsidP="00563AE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3950F0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</w:t>
            </w:r>
            <w:r w:rsidR="004C3607">
              <w:rPr>
                <w:szCs w:val="24"/>
              </w:rPr>
              <w:t>Discuss o</w:t>
            </w:r>
            <w:r w:rsidR="009F25BA">
              <w:rPr>
                <w:szCs w:val="24"/>
              </w:rPr>
              <w:t>rder</w:t>
            </w:r>
            <w:r w:rsidR="004C3607">
              <w:rPr>
                <w:szCs w:val="24"/>
              </w:rPr>
              <w:t>ing</w:t>
            </w:r>
            <w:r w:rsidR="009F25BA">
              <w:rPr>
                <w:szCs w:val="24"/>
              </w:rPr>
              <w:t xml:space="preserve"> and track</w:t>
            </w:r>
            <w:r w:rsidR="004C3607">
              <w:rPr>
                <w:szCs w:val="24"/>
              </w:rPr>
              <w:t>ing of</w:t>
            </w:r>
            <w:r w:rsidR="00EB5011" w:rsidRPr="00EB5011">
              <w:rPr>
                <w:szCs w:val="24"/>
              </w:rPr>
              <w:t xml:space="preserve"> resources</w:t>
            </w:r>
            <w:r w:rsidR="007D4869">
              <w:rPr>
                <w:szCs w:val="24"/>
              </w:rPr>
              <w:t>.</w:t>
            </w:r>
            <w:r w:rsidR="00057765">
              <w:rPr>
                <w:szCs w:val="24"/>
              </w:rPr>
              <w:t xml:space="preserve"> </w:t>
            </w:r>
          </w:p>
          <w:p w14:paraId="0BA3A292" w14:textId="0D2AA56F" w:rsidR="00EB5011" w:rsidRDefault="006B2695" w:rsidP="00EB501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3950F0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</w:t>
            </w:r>
            <w:r w:rsidR="004C3607">
              <w:rPr>
                <w:szCs w:val="24"/>
              </w:rPr>
              <w:t>Discuss the provision of</w:t>
            </w:r>
            <w:r w:rsidR="00EB5011" w:rsidRPr="00EB5011">
              <w:rPr>
                <w:szCs w:val="24"/>
              </w:rPr>
              <w:t xml:space="preserve"> facilities, transportation, communications, supplies, equipment maintenance and fueling </w:t>
            </w:r>
            <w:r w:rsidR="00563AE9">
              <w:rPr>
                <w:szCs w:val="24"/>
              </w:rPr>
              <w:t xml:space="preserve">for all </w:t>
            </w:r>
            <w:r w:rsidR="00EB5011" w:rsidRPr="00EB5011">
              <w:rPr>
                <w:szCs w:val="24"/>
              </w:rPr>
              <w:t>incident resources</w:t>
            </w:r>
            <w:r w:rsidR="007D4869">
              <w:rPr>
                <w:szCs w:val="24"/>
              </w:rPr>
              <w:t>.</w:t>
            </w:r>
            <w:r w:rsidR="00057765">
              <w:rPr>
                <w:szCs w:val="24"/>
              </w:rPr>
              <w:t xml:space="preserve"> </w:t>
            </w:r>
          </w:p>
          <w:p w14:paraId="1FA0732A" w14:textId="2C12232B" w:rsidR="00EB5011" w:rsidRPr="00EB5011" w:rsidRDefault="006B2695" w:rsidP="00EB501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3950F0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</w:t>
            </w:r>
            <w:r w:rsidR="004C3607">
              <w:rPr>
                <w:szCs w:val="24"/>
              </w:rPr>
              <w:t>Discuss</w:t>
            </w:r>
            <w:r w:rsidR="00EB5011" w:rsidRPr="00EB5011">
              <w:rPr>
                <w:szCs w:val="24"/>
              </w:rPr>
              <w:t xml:space="preserve"> known or anticipated </w:t>
            </w:r>
            <w:r w:rsidR="00CF3866">
              <w:rPr>
                <w:szCs w:val="24"/>
              </w:rPr>
              <w:t>distribution</w:t>
            </w:r>
            <w:r w:rsidR="00AE190D">
              <w:rPr>
                <w:szCs w:val="24"/>
              </w:rPr>
              <w:t xml:space="preserve"> support needs.</w:t>
            </w:r>
          </w:p>
          <w:p w14:paraId="696EC79B" w14:textId="33AC2ABC" w:rsidR="00EB5011" w:rsidRPr="00EB5011" w:rsidRDefault="006B2695" w:rsidP="00EB501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3950F0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</w:t>
            </w:r>
            <w:r w:rsidR="004C3607">
              <w:rPr>
                <w:szCs w:val="24"/>
              </w:rPr>
              <w:t xml:space="preserve">Discuss requesting of </w:t>
            </w:r>
            <w:r w:rsidR="004C3607" w:rsidRPr="00EB5011">
              <w:rPr>
                <w:szCs w:val="24"/>
              </w:rPr>
              <w:t>additional</w:t>
            </w:r>
            <w:r w:rsidR="00EB5011" w:rsidRPr="00EB5011">
              <w:rPr>
                <w:szCs w:val="24"/>
              </w:rPr>
              <w:t xml:space="preserve"> resources as needed</w:t>
            </w:r>
            <w:r w:rsidR="00AE190D">
              <w:rPr>
                <w:szCs w:val="24"/>
              </w:rPr>
              <w:t xml:space="preserve">. </w:t>
            </w:r>
          </w:p>
          <w:p w14:paraId="59EC6BBC" w14:textId="2BBCF1AE" w:rsidR="00436420" w:rsidRPr="005C0B38" w:rsidRDefault="006B2695" w:rsidP="005C0B38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 w:rsidRPr="003950F0"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</w:t>
            </w:r>
            <w:r w:rsidR="004C3607">
              <w:rPr>
                <w:szCs w:val="24"/>
              </w:rPr>
              <w:t xml:space="preserve">Discuss the </w:t>
            </w:r>
            <w:r w:rsidR="00EB5011" w:rsidRPr="00EB5011">
              <w:rPr>
                <w:szCs w:val="24"/>
              </w:rPr>
              <w:t>development of Traffic, Medical, and Communications Plans as needed</w:t>
            </w:r>
            <w:r w:rsidR="00AE190D">
              <w:rPr>
                <w:szCs w:val="24"/>
              </w:rPr>
              <w:t xml:space="preserve">. </w:t>
            </w:r>
            <w:r w:rsidR="00EB5011" w:rsidRPr="00EB5011">
              <w:rPr>
                <w:szCs w:val="24"/>
              </w:rPr>
              <w:t xml:space="preserve"> </w:t>
            </w:r>
            <w:r w:rsidR="00880E63" w:rsidRPr="005C0B38">
              <w:rPr>
                <w:szCs w:val="24"/>
              </w:rPr>
              <w:br/>
            </w:r>
          </w:p>
          <w:p w14:paraId="5DEDF0C0" w14:textId="77777777" w:rsidR="00436420" w:rsidRDefault="007A1A0B" w:rsidP="00436420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Source</w:t>
            </w:r>
            <w:r w:rsidR="00436420">
              <w:rPr>
                <w:b/>
                <w:szCs w:val="24"/>
              </w:rPr>
              <w:t xml:space="preserve">: </w:t>
            </w:r>
          </w:p>
          <w:p w14:paraId="0C39CD58" w14:textId="77777777" w:rsidR="00EE3658" w:rsidRPr="00FA6A14" w:rsidRDefault="00C73350" w:rsidP="00FA6A14">
            <w:pPr>
              <w:widowControl w:val="0"/>
              <w:tabs>
                <w:tab w:val="left" w:pos="3114"/>
              </w:tabs>
              <w:autoSpaceDE w:val="0"/>
              <w:autoSpaceDN w:val="0"/>
              <w:adjustRightInd w:val="0"/>
              <w:spacing w:after="240"/>
              <w:rPr>
                <w:szCs w:val="24"/>
              </w:rPr>
            </w:pPr>
            <w:r w:rsidRPr="00C73350">
              <w:rPr>
                <w:szCs w:val="24"/>
                <w:highlight w:val="lightGray"/>
              </w:rPr>
              <w:t>Insert Plans</w:t>
            </w:r>
          </w:p>
        </w:tc>
      </w:tr>
    </w:tbl>
    <w:p w14:paraId="05E39CB7" w14:textId="77777777" w:rsidR="00B236C9" w:rsidRDefault="00B236C9" w:rsidP="00DF032D">
      <w:pPr>
        <w:rPr>
          <w:szCs w:val="24"/>
        </w:rPr>
      </w:pPr>
    </w:p>
    <w:p w14:paraId="07FFDB78" w14:textId="77777777" w:rsidR="00B236C9" w:rsidRDefault="00B236C9" w:rsidP="00B236C9">
      <w:pPr>
        <w:rPr>
          <w:szCs w:val="24"/>
        </w:rPr>
      </w:pPr>
    </w:p>
    <w:p w14:paraId="7D934CE7" w14:textId="77777777" w:rsidR="005C0B38" w:rsidRPr="00B236C9" w:rsidRDefault="005C0B38" w:rsidP="00B236C9">
      <w:pPr>
        <w:rPr>
          <w:szCs w:val="24"/>
        </w:rPr>
      </w:pPr>
    </w:p>
    <w:p w14:paraId="16FA309B" w14:textId="77777777" w:rsidR="008E26C3" w:rsidRDefault="008E26C3">
      <w:pPr>
        <w:rPr>
          <w:szCs w:val="24"/>
        </w:rPr>
      </w:pPr>
      <w:r>
        <w:rPr>
          <w:szCs w:val="24"/>
        </w:rPr>
        <w:br w:type="page"/>
      </w:r>
    </w:p>
    <w:p w14:paraId="1727795C" w14:textId="77777777" w:rsidR="00FB101F" w:rsidRPr="000F268D" w:rsidRDefault="00FB101F" w:rsidP="00C9030C">
      <w:pPr>
        <w:tabs>
          <w:tab w:val="left" w:pos="3650"/>
        </w:tabs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9B7323" w:rsidRPr="006335A3" w14:paraId="3E1FC52E" w14:textId="77777777" w:rsidTr="009B7323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60678A19" w14:textId="77777777"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7F29CC73" w14:textId="77777777"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01956326" w14:textId="77777777"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and </w:t>
            </w:r>
          </w:p>
          <w:p w14:paraId="5B095696" w14:textId="77777777"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104B91A9" w14:textId="77777777"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7D4869" w:rsidRPr="000F268D" w14:paraId="35AAEC72" w14:textId="77777777" w:rsidTr="009B7323">
        <w:trPr>
          <w:trHeight w:val="102"/>
          <w:jc w:val="center"/>
        </w:trPr>
        <w:tc>
          <w:tcPr>
            <w:tcW w:w="2340" w:type="dxa"/>
            <w:vMerge w:val="restart"/>
          </w:tcPr>
          <w:p w14:paraId="63DC45CF" w14:textId="77777777" w:rsidR="007D4869" w:rsidRPr="00ED78AC" w:rsidRDefault="008E26C3" w:rsidP="009B7323">
            <w:pPr>
              <w:spacing w:before="60" w:after="60"/>
              <w:rPr>
                <w:b/>
                <w:szCs w:val="24"/>
              </w:rPr>
            </w:pPr>
            <w:r w:rsidRPr="00FA6A14">
              <w:rPr>
                <w:b/>
                <w:szCs w:val="24"/>
              </w:rPr>
              <w:t xml:space="preserve">Mobilize and deliver </w:t>
            </w:r>
            <w:r>
              <w:rPr>
                <w:b/>
                <w:szCs w:val="24"/>
              </w:rPr>
              <w:t>vaccination to the local population to include support supplies, location of POD, and other logistical requirements</w:t>
            </w:r>
            <w:r w:rsidRPr="00FA6A14">
              <w:rPr>
                <w:b/>
                <w:szCs w:val="24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46EF6B6" w14:textId="29F21D3C" w:rsidR="007D4869" w:rsidRDefault="004C3607" w:rsidP="007D486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ordering and tracking of resources</w:t>
            </w:r>
            <w:r w:rsidR="007D4869" w:rsidRPr="007D4869">
              <w:rPr>
                <w:szCs w:val="24"/>
              </w:rPr>
              <w:t>.</w:t>
            </w:r>
          </w:p>
          <w:p w14:paraId="7FFB55CB" w14:textId="77777777" w:rsidR="00EE177E" w:rsidRPr="00EE177E" w:rsidRDefault="00EE177E" w:rsidP="00EE177E">
            <w:pPr>
              <w:spacing w:before="60" w:after="60"/>
              <w:rPr>
                <w:szCs w:val="24"/>
              </w:rPr>
            </w:pPr>
          </w:p>
        </w:tc>
        <w:tc>
          <w:tcPr>
            <w:tcW w:w="7110" w:type="dxa"/>
          </w:tcPr>
          <w:p w14:paraId="681736FE" w14:textId="77777777" w:rsidR="007D4869" w:rsidRPr="000F268D" w:rsidRDefault="007D4869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5DA59DFD" w14:textId="77777777" w:rsidR="007D4869" w:rsidRPr="000F268D" w:rsidRDefault="007D4869" w:rsidP="009B7323">
            <w:pPr>
              <w:jc w:val="center"/>
              <w:rPr>
                <w:b/>
                <w:szCs w:val="24"/>
              </w:rPr>
            </w:pPr>
          </w:p>
        </w:tc>
      </w:tr>
      <w:tr w:rsidR="007D4869" w:rsidRPr="000F268D" w14:paraId="0651102F" w14:textId="77777777" w:rsidTr="007D4869">
        <w:trPr>
          <w:trHeight w:val="1979"/>
          <w:jc w:val="center"/>
        </w:trPr>
        <w:tc>
          <w:tcPr>
            <w:tcW w:w="2340" w:type="dxa"/>
            <w:vMerge/>
          </w:tcPr>
          <w:p w14:paraId="793D9CB7" w14:textId="77777777" w:rsidR="007D4869" w:rsidRDefault="007D4869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BB20760" w14:textId="3F9B00C7" w:rsidR="007D4869" w:rsidRPr="007D4869" w:rsidRDefault="004C3607" w:rsidP="007D4869">
            <w:pPr>
              <w:pStyle w:val="Bullet1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provision of</w:t>
            </w:r>
            <w:r w:rsidR="007D4869" w:rsidRPr="007D4869">
              <w:rPr>
                <w:rFonts w:ascii="Times New Roman" w:hAnsi="Times New Roman"/>
                <w:sz w:val="24"/>
                <w:szCs w:val="24"/>
              </w:rPr>
              <w:t xml:space="preserve"> facilities, transportation, communications, supplies, equipment maintenance and fueling, food, and medical services for incident personnel and all off-incident resources</w:t>
            </w:r>
          </w:p>
        </w:tc>
        <w:tc>
          <w:tcPr>
            <w:tcW w:w="7110" w:type="dxa"/>
          </w:tcPr>
          <w:p w14:paraId="07D1C120" w14:textId="77777777" w:rsidR="007D4869" w:rsidRPr="000F268D" w:rsidRDefault="007D4869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14:paraId="14EA9489" w14:textId="77777777" w:rsidR="007D4869" w:rsidRPr="000F268D" w:rsidRDefault="007D4869" w:rsidP="009B7323">
            <w:pPr>
              <w:jc w:val="center"/>
              <w:rPr>
                <w:b/>
                <w:szCs w:val="24"/>
              </w:rPr>
            </w:pPr>
          </w:p>
        </w:tc>
      </w:tr>
      <w:tr w:rsidR="007D4869" w:rsidRPr="000F268D" w14:paraId="062A013B" w14:textId="77777777" w:rsidTr="007D4869">
        <w:trPr>
          <w:trHeight w:val="1070"/>
          <w:jc w:val="center"/>
        </w:trPr>
        <w:tc>
          <w:tcPr>
            <w:tcW w:w="2340" w:type="dxa"/>
            <w:vMerge/>
          </w:tcPr>
          <w:p w14:paraId="6EE68854" w14:textId="77777777" w:rsidR="007D4869" w:rsidRDefault="007D4869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D08F3A2" w14:textId="12CDDB36" w:rsidR="007D4869" w:rsidRPr="007D4869" w:rsidRDefault="004C3607" w:rsidP="007D4869">
            <w:pPr>
              <w:pStyle w:val="Bullet1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</w:t>
            </w:r>
            <w:r w:rsidR="007D4869" w:rsidRPr="007D4869">
              <w:rPr>
                <w:rFonts w:ascii="Times New Roman" w:hAnsi="Times New Roman"/>
                <w:sz w:val="24"/>
                <w:szCs w:val="24"/>
              </w:rPr>
              <w:t xml:space="preserve"> known or anticipated incident service and support needs.</w:t>
            </w:r>
          </w:p>
        </w:tc>
        <w:tc>
          <w:tcPr>
            <w:tcW w:w="7110" w:type="dxa"/>
          </w:tcPr>
          <w:p w14:paraId="7B773DBA" w14:textId="77777777" w:rsidR="007D4869" w:rsidRPr="000F268D" w:rsidRDefault="007D4869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14:paraId="28880B66" w14:textId="77777777" w:rsidR="007D4869" w:rsidRPr="000F268D" w:rsidRDefault="007D4869" w:rsidP="009B7323">
            <w:pPr>
              <w:jc w:val="center"/>
              <w:rPr>
                <w:b/>
                <w:szCs w:val="24"/>
              </w:rPr>
            </w:pPr>
          </w:p>
        </w:tc>
      </w:tr>
      <w:tr w:rsidR="007D4869" w:rsidRPr="000F268D" w14:paraId="63BD8EE0" w14:textId="77777777" w:rsidTr="007D4869">
        <w:trPr>
          <w:trHeight w:val="827"/>
          <w:jc w:val="center"/>
        </w:trPr>
        <w:tc>
          <w:tcPr>
            <w:tcW w:w="2340" w:type="dxa"/>
            <w:vMerge/>
          </w:tcPr>
          <w:p w14:paraId="147DD841" w14:textId="77777777" w:rsidR="007D4869" w:rsidRDefault="007D4869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ADDE259" w14:textId="1B0671AC" w:rsidR="007D4869" w:rsidRPr="007D4869" w:rsidRDefault="004C3607" w:rsidP="007D4869">
            <w:pPr>
              <w:pStyle w:val="Bullet1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requesting of</w:t>
            </w:r>
            <w:r w:rsidR="007D4869" w:rsidRPr="007D4869">
              <w:rPr>
                <w:rFonts w:ascii="Times New Roman" w:hAnsi="Times New Roman"/>
                <w:sz w:val="24"/>
                <w:szCs w:val="24"/>
              </w:rPr>
              <w:t xml:space="preserve"> additional resources as needed.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D4134AA" w14:textId="77777777" w:rsidR="007D4869" w:rsidRPr="000F268D" w:rsidRDefault="007D4869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14:paraId="798E50C5" w14:textId="77777777" w:rsidR="007D4869" w:rsidRPr="000F268D" w:rsidRDefault="007D4869" w:rsidP="009B7323">
            <w:pPr>
              <w:jc w:val="center"/>
              <w:rPr>
                <w:b/>
                <w:szCs w:val="24"/>
              </w:rPr>
            </w:pPr>
          </w:p>
        </w:tc>
      </w:tr>
      <w:tr w:rsidR="007D4869" w:rsidRPr="000F268D" w14:paraId="1D2FE825" w14:textId="77777777" w:rsidTr="007D4869">
        <w:trPr>
          <w:trHeight w:val="1385"/>
          <w:jc w:val="center"/>
        </w:trPr>
        <w:tc>
          <w:tcPr>
            <w:tcW w:w="2340" w:type="dxa"/>
            <w:vMerge/>
            <w:shd w:val="clear" w:color="auto" w:fill="auto"/>
          </w:tcPr>
          <w:p w14:paraId="7A1F0435" w14:textId="77777777" w:rsidR="007D4869" w:rsidRDefault="007D4869" w:rsidP="009B7323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677B" w14:textId="5239F0B4" w:rsidR="007D4869" w:rsidRPr="007D4869" w:rsidRDefault="004C3607" w:rsidP="004C3607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the</w:t>
            </w:r>
            <w:r w:rsidR="007D4869" w:rsidRPr="007D4869">
              <w:rPr>
                <w:szCs w:val="24"/>
              </w:rPr>
              <w:t xml:space="preserve"> development of Traffic, Medical, and Communications Plans as needed.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BA7D5" w14:textId="77777777" w:rsidR="007D4869" w:rsidRDefault="007D4869" w:rsidP="009B732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A028188" w14:textId="77777777" w:rsidR="007D4869" w:rsidRPr="000F268D" w:rsidRDefault="007D4869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14:paraId="1E0EE165" w14:textId="77777777" w:rsidTr="002B3468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98D96" w14:textId="77777777" w:rsidR="009B7323" w:rsidRDefault="009B7323" w:rsidP="009B7323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98B89" w14:textId="77777777" w:rsidR="009B7323" w:rsidRPr="00452029" w:rsidRDefault="009B7323" w:rsidP="009B7323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9ACAA8" w14:textId="77777777" w:rsidR="009B7323" w:rsidRPr="00FF08C1" w:rsidRDefault="009B7323" w:rsidP="009B732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5D583D" w14:textId="77777777"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</w:tbl>
    <w:p w14:paraId="3BE9B33D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F8DF2F2" w14:textId="77777777" w:rsidR="00EA133A" w:rsidRPr="000F268D" w:rsidRDefault="00EA133A">
      <w:pPr>
        <w:rPr>
          <w:szCs w:val="24"/>
        </w:rPr>
      </w:pPr>
    </w:p>
    <w:p w14:paraId="53ADE1D7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50BDCA39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  <w:bookmarkStart w:id="0" w:name="_GoBack"/>
      <w:bookmarkEnd w:id="0"/>
    </w:p>
    <w:p w14:paraId="1C03D3B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59DEA3C5" w14:textId="77777777" w:rsidR="006335A3" w:rsidRDefault="006335A3" w:rsidP="00955F17">
      <w:pPr>
        <w:rPr>
          <w:szCs w:val="24"/>
        </w:rPr>
      </w:pPr>
    </w:p>
    <w:p w14:paraId="4D3D998D" w14:textId="77777777" w:rsidR="008D3B07" w:rsidRPr="006335A3" w:rsidRDefault="000F268D" w:rsidP="006335A3">
      <w:pPr>
        <w:pStyle w:val="Heading2"/>
        <w:jc w:val="center"/>
      </w:pPr>
      <w:r w:rsidRPr="006335A3">
        <w:lastRenderedPageBreak/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4F38A005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14:paraId="4E83471A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A5FCBF0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581F942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DF9FAB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D4B8D5C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767ABEE3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7164218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5A13CF7D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450BD12A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7948A7DB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67401D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79136CFA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735C7245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C20830">
      <w:footerReference w:type="default" r:id="rId8"/>
      <w:pgSz w:w="15840" w:h="12240" w:orient="landscape"/>
      <w:pgMar w:top="864" w:right="1440" w:bottom="864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DBC2" w14:textId="77777777" w:rsidR="00641303" w:rsidRDefault="00641303" w:rsidP="00955F17">
      <w:r>
        <w:separator/>
      </w:r>
    </w:p>
  </w:endnote>
  <w:endnote w:type="continuationSeparator" w:id="0">
    <w:p w14:paraId="4BC5C87A" w14:textId="77777777" w:rsidR="00641303" w:rsidRDefault="00641303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D114" w14:textId="2371D710" w:rsidR="00C20830" w:rsidRDefault="00430659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8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6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28D0D3" w14:textId="77777777" w:rsidR="009B7323" w:rsidRPr="00C737F2" w:rsidRDefault="005C0B38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Style w:val="PageNumber"/>
        <w:rFonts w:ascii="Arial" w:eastAsia="Times New Roman" w:hAnsi="Arial" w:cs="Arial"/>
        <w:color w:val="000080"/>
        <w:sz w:val="18"/>
        <w:szCs w:val="18"/>
      </w:rPr>
      <w:t>VESTEX2019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66DFD8FC" w14:textId="77777777" w:rsidR="009B7323" w:rsidRPr="00C737F2" w:rsidRDefault="009B732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r w:rsidR="007D4869">
      <w:rPr>
        <w:rFonts w:ascii="Arial" w:hAnsi="Arial" w:cs="Arial"/>
        <w:color w:val="000080"/>
        <w:sz w:val="18"/>
        <w:szCs w:val="18"/>
      </w:rPr>
      <w:t>Logistics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CD6E" w14:textId="77777777" w:rsidR="00641303" w:rsidRDefault="00641303" w:rsidP="00955F17">
      <w:r>
        <w:separator/>
      </w:r>
    </w:p>
  </w:footnote>
  <w:footnote w:type="continuationSeparator" w:id="0">
    <w:p w14:paraId="7E421463" w14:textId="77777777" w:rsidR="00641303" w:rsidRDefault="00641303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206"/>
    <w:multiLevelType w:val="hybridMultilevel"/>
    <w:tmpl w:val="E58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DCD"/>
    <w:multiLevelType w:val="hybridMultilevel"/>
    <w:tmpl w:val="AD7E66F6"/>
    <w:lvl w:ilvl="0" w:tplc="4B82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398A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01D"/>
    <w:multiLevelType w:val="hybridMultilevel"/>
    <w:tmpl w:val="5ABC5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C4101"/>
    <w:multiLevelType w:val="hybridMultilevel"/>
    <w:tmpl w:val="1248A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F299F"/>
    <w:multiLevelType w:val="hybridMultilevel"/>
    <w:tmpl w:val="72D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71FF2"/>
    <w:multiLevelType w:val="singleLevel"/>
    <w:tmpl w:val="EBE2D302"/>
    <w:lvl w:ilvl="0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F5BC4"/>
    <w:multiLevelType w:val="hybridMultilevel"/>
    <w:tmpl w:val="602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024EC"/>
    <w:multiLevelType w:val="hybridMultilevel"/>
    <w:tmpl w:val="CF8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15F"/>
    <w:multiLevelType w:val="hybridMultilevel"/>
    <w:tmpl w:val="69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91718"/>
    <w:multiLevelType w:val="hybridMultilevel"/>
    <w:tmpl w:val="B51697C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03EC"/>
    <w:multiLevelType w:val="hybridMultilevel"/>
    <w:tmpl w:val="34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D30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4E66"/>
    <w:multiLevelType w:val="hybridMultilevel"/>
    <w:tmpl w:val="2B7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347FF"/>
    <w:multiLevelType w:val="hybridMultilevel"/>
    <w:tmpl w:val="9C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33A"/>
    <w:multiLevelType w:val="hybridMultilevel"/>
    <w:tmpl w:val="4EF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2AFE"/>
    <w:multiLevelType w:val="hybridMultilevel"/>
    <w:tmpl w:val="FA4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07BD"/>
    <w:multiLevelType w:val="hybridMultilevel"/>
    <w:tmpl w:val="0D245A52"/>
    <w:lvl w:ilvl="0" w:tplc="93EC6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7576"/>
    <w:multiLevelType w:val="hybridMultilevel"/>
    <w:tmpl w:val="E660B53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55F849E5"/>
    <w:multiLevelType w:val="hybridMultilevel"/>
    <w:tmpl w:val="4E1E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106"/>
    <w:multiLevelType w:val="hybridMultilevel"/>
    <w:tmpl w:val="F394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17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23"/>
  </w:num>
  <w:num w:numId="23">
    <w:abstractNumId w:val="4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0065"/>
    <w:rsid w:val="00036868"/>
    <w:rsid w:val="00037549"/>
    <w:rsid w:val="00057765"/>
    <w:rsid w:val="000633A2"/>
    <w:rsid w:val="00075656"/>
    <w:rsid w:val="00082AA0"/>
    <w:rsid w:val="00085650"/>
    <w:rsid w:val="000969AE"/>
    <w:rsid w:val="000B74D8"/>
    <w:rsid w:val="000C396B"/>
    <w:rsid w:val="000C4D24"/>
    <w:rsid w:val="000C4F1A"/>
    <w:rsid w:val="000D2BE8"/>
    <w:rsid w:val="000D491C"/>
    <w:rsid w:val="000E108A"/>
    <w:rsid w:val="000E2EE1"/>
    <w:rsid w:val="000E74B3"/>
    <w:rsid w:val="000F268D"/>
    <w:rsid w:val="000F521C"/>
    <w:rsid w:val="000F5E51"/>
    <w:rsid w:val="0010033C"/>
    <w:rsid w:val="00110E1E"/>
    <w:rsid w:val="00112BD0"/>
    <w:rsid w:val="00150516"/>
    <w:rsid w:val="00152978"/>
    <w:rsid w:val="00157BB3"/>
    <w:rsid w:val="0018322E"/>
    <w:rsid w:val="00185007"/>
    <w:rsid w:val="001A4729"/>
    <w:rsid w:val="001A4F97"/>
    <w:rsid w:val="001B0686"/>
    <w:rsid w:val="001C386C"/>
    <w:rsid w:val="001D6C99"/>
    <w:rsid w:val="001E5962"/>
    <w:rsid w:val="001E7B6F"/>
    <w:rsid w:val="0021261C"/>
    <w:rsid w:val="00215B62"/>
    <w:rsid w:val="00244B20"/>
    <w:rsid w:val="00260E73"/>
    <w:rsid w:val="00284301"/>
    <w:rsid w:val="002A6C5E"/>
    <w:rsid w:val="002B08EF"/>
    <w:rsid w:val="002B3468"/>
    <w:rsid w:val="002B395F"/>
    <w:rsid w:val="002B3E1E"/>
    <w:rsid w:val="002C12D7"/>
    <w:rsid w:val="002C490D"/>
    <w:rsid w:val="002D4398"/>
    <w:rsid w:val="002D6F07"/>
    <w:rsid w:val="002E0111"/>
    <w:rsid w:val="002E7D11"/>
    <w:rsid w:val="002F155B"/>
    <w:rsid w:val="00311DEC"/>
    <w:rsid w:val="00315AF4"/>
    <w:rsid w:val="003210A2"/>
    <w:rsid w:val="00321602"/>
    <w:rsid w:val="00331B5C"/>
    <w:rsid w:val="00336FE6"/>
    <w:rsid w:val="00340495"/>
    <w:rsid w:val="003423B4"/>
    <w:rsid w:val="003470CD"/>
    <w:rsid w:val="00351DDD"/>
    <w:rsid w:val="00371A71"/>
    <w:rsid w:val="003745F2"/>
    <w:rsid w:val="0038063E"/>
    <w:rsid w:val="00381AF1"/>
    <w:rsid w:val="003906F7"/>
    <w:rsid w:val="003B303B"/>
    <w:rsid w:val="003B5707"/>
    <w:rsid w:val="003C2836"/>
    <w:rsid w:val="003C3BB5"/>
    <w:rsid w:val="003E18E1"/>
    <w:rsid w:val="003F45A4"/>
    <w:rsid w:val="003F54B4"/>
    <w:rsid w:val="003F7ABC"/>
    <w:rsid w:val="00404AC2"/>
    <w:rsid w:val="0041459A"/>
    <w:rsid w:val="00423168"/>
    <w:rsid w:val="0042434F"/>
    <w:rsid w:val="00430659"/>
    <w:rsid w:val="00433C20"/>
    <w:rsid w:val="00436420"/>
    <w:rsid w:val="004469A5"/>
    <w:rsid w:val="00452029"/>
    <w:rsid w:val="0046656B"/>
    <w:rsid w:val="00494286"/>
    <w:rsid w:val="004B0220"/>
    <w:rsid w:val="004C106E"/>
    <w:rsid w:val="004C1197"/>
    <w:rsid w:val="004C3607"/>
    <w:rsid w:val="004D237A"/>
    <w:rsid w:val="004F30B1"/>
    <w:rsid w:val="004F3766"/>
    <w:rsid w:val="004F6F29"/>
    <w:rsid w:val="005027FB"/>
    <w:rsid w:val="00503BD8"/>
    <w:rsid w:val="00516715"/>
    <w:rsid w:val="00525816"/>
    <w:rsid w:val="005310A2"/>
    <w:rsid w:val="0053116A"/>
    <w:rsid w:val="0053227E"/>
    <w:rsid w:val="00536499"/>
    <w:rsid w:val="00536C04"/>
    <w:rsid w:val="00536FD1"/>
    <w:rsid w:val="00537EB3"/>
    <w:rsid w:val="00546F00"/>
    <w:rsid w:val="005550E5"/>
    <w:rsid w:val="00556F2F"/>
    <w:rsid w:val="00563AE9"/>
    <w:rsid w:val="005978F3"/>
    <w:rsid w:val="005B34EA"/>
    <w:rsid w:val="005C0B38"/>
    <w:rsid w:val="005D6DD0"/>
    <w:rsid w:val="005F0364"/>
    <w:rsid w:val="005F5601"/>
    <w:rsid w:val="00602E4A"/>
    <w:rsid w:val="00606B11"/>
    <w:rsid w:val="00607141"/>
    <w:rsid w:val="006103A7"/>
    <w:rsid w:val="0061671A"/>
    <w:rsid w:val="00626A41"/>
    <w:rsid w:val="006335A3"/>
    <w:rsid w:val="00637663"/>
    <w:rsid w:val="00641303"/>
    <w:rsid w:val="00644776"/>
    <w:rsid w:val="006447DA"/>
    <w:rsid w:val="00644F84"/>
    <w:rsid w:val="00644FEE"/>
    <w:rsid w:val="00656C05"/>
    <w:rsid w:val="006609A5"/>
    <w:rsid w:val="006739E1"/>
    <w:rsid w:val="0067767B"/>
    <w:rsid w:val="006776F9"/>
    <w:rsid w:val="00681319"/>
    <w:rsid w:val="00685CE0"/>
    <w:rsid w:val="0069017F"/>
    <w:rsid w:val="00690875"/>
    <w:rsid w:val="006A62E4"/>
    <w:rsid w:val="006B2695"/>
    <w:rsid w:val="006C0623"/>
    <w:rsid w:val="006C4257"/>
    <w:rsid w:val="006C6F5E"/>
    <w:rsid w:val="006C76CF"/>
    <w:rsid w:val="006D162E"/>
    <w:rsid w:val="006E346E"/>
    <w:rsid w:val="006E4395"/>
    <w:rsid w:val="006F2B2F"/>
    <w:rsid w:val="00702F24"/>
    <w:rsid w:val="007130B9"/>
    <w:rsid w:val="00716A86"/>
    <w:rsid w:val="007264E4"/>
    <w:rsid w:val="0074097E"/>
    <w:rsid w:val="00742CBB"/>
    <w:rsid w:val="00752734"/>
    <w:rsid w:val="007530FB"/>
    <w:rsid w:val="007539C3"/>
    <w:rsid w:val="007667C7"/>
    <w:rsid w:val="0077085D"/>
    <w:rsid w:val="00773A2A"/>
    <w:rsid w:val="007850A0"/>
    <w:rsid w:val="007915FF"/>
    <w:rsid w:val="0079593C"/>
    <w:rsid w:val="007A1A0B"/>
    <w:rsid w:val="007A3823"/>
    <w:rsid w:val="007A424F"/>
    <w:rsid w:val="007B1211"/>
    <w:rsid w:val="007B1C02"/>
    <w:rsid w:val="007C2E85"/>
    <w:rsid w:val="007C44E3"/>
    <w:rsid w:val="007C762A"/>
    <w:rsid w:val="007D4869"/>
    <w:rsid w:val="007D48EB"/>
    <w:rsid w:val="007E0161"/>
    <w:rsid w:val="007E1DD8"/>
    <w:rsid w:val="007F0580"/>
    <w:rsid w:val="007F2C03"/>
    <w:rsid w:val="00823926"/>
    <w:rsid w:val="008244F8"/>
    <w:rsid w:val="0082534B"/>
    <w:rsid w:val="008348C6"/>
    <w:rsid w:val="00837F9C"/>
    <w:rsid w:val="00841D4D"/>
    <w:rsid w:val="00844C46"/>
    <w:rsid w:val="00880E63"/>
    <w:rsid w:val="00896803"/>
    <w:rsid w:val="008A1879"/>
    <w:rsid w:val="008D0B19"/>
    <w:rsid w:val="008D3B07"/>
    <w:rsid w:val="008D4062"/>
    <w:rsid w:val="008E26C3"/>
    <w:rsid w:val="008F3D92"/>
    <w:rsid w:val="0090703C"/>
    <w:rsid w:val="009151BD"/>
    <w:rsid w:val="00916D16"/>
    <w:rsid w:val="00921CAE"/>
    <w:rsid w:val="00922026"/>
    <w:rsid w:val="00924F5E"/>
    <w:rsid w:val="0093201D"/>
    <w:rsid w:val="009341E2"/>
    <w:rsid w:val="00934F84"/>
    <w:rsid w:val="00953F25"/>
    <w:rsid w:val="00955F17"/>
    <w:rsid w:val="00973C96"/>
    <w:rsid w:val="00974E4E"/>
    <w:rsid w:val="00981DA1"/>
    <w:rsid w:val="009832B8"/>
    <w:rsid w:val="00986BAC"/>
    <w:rsid w:val="00994D3B"/>
    <w:rsid w:val="00996EC3"/>
    <w:rsid w:val="0099787B"/>
    <w:rsid w:val="009B0B2E"/>
    <w:rsid w:val="009B7323"/>
    <w:rsid w:val="009C0948"/>
    <w:rsid w:val="009C7185"/>
    <w:rsid w:val="009D470E"/>
    <w:rsid w:val="009E09F4"/>
    <w:rsid w:val="009E5724"/>
    <w:rsid w:val="009F25BA"/>
    <w:rsid w:val="009F53FA"/>
    <w:rsid w:val="00A02F63"/>
    <w:rsid w:val="00A234BB"/>
    <w:rsid w:val="00A24D69"/>
    <w:rsid w:val="00A25D04"/>
    <w:rsid w:val="00A32C7A"/>
    <w:rsid w:val="00A43DA5"/>
    <w:rsid w:val="00A51D72"/>
    <w:rsid w:val="00A71276"/>
    <w:rsid w:val="00A72BD2"/>
    <w:rsid w:val="00A76C4A"/>
    <w:rsid w:val="00A81CB4"/>
    <w:rsid w:val="00A85B21"/>
    <w:rsid w:val="00A91347"/>
    <w:rsid w:val="00A95616"/>
    <w:rsid w:val="00A97B28"/>
    <w:rsid w:val="00AA6DDF"/>
    <w:rsid w:val="00AB4311"/>
    <w:rsid w:val="00AB5AF1"/>
    <w:rsid w:val="00AB651F"/>
    <w:rsid w:val="00AC1A60"/>
    <w:rsid w:val="00AE190D"/>
    <w:rsid w:val="00AE3828"/>
    <w:rsid w:val="00AE3873"/>
    <w:rsid w:val="00AE7422"/>
    <w:rsid w:val="00AE7963"/>
    <w:rsid w:val="00B003A1"/>
    <w:rsid w:val="00B106CF"/>
    <w:rsid w:val="00B14417"/>
    <w:rsid w:val="00B236C9"/>
    <w:rsid w:val="00B26073"/>
    <w:rsid w:val="00B320FC"/>
    <w:rsid w:val="00B34F28"/>
    <w:rsid w:val="00B508E5"/>
    <w:rsid w:val="00B715F1"/>
    <w:rsid w:val="00B72E97"/>
    <w:rsid w:val="00B83AA1"/>
    <w:rsid w:val="00B90BAC"/>
    <w:rsid w:val="00B9194A"/>
    <w:rsid w:val="00B94FEB"/>
    <w:rsid w:val="00B95816"/>
    <w:rsid w:val="00BA5844"/>
    <w:rsid w:val="00BA689E"/>
    <w:rsid w:val="00BB3044"/>
    <w:rsid w:val="00BE0CA9"/>
    <w:rsid w:val="00BE2B8C"/>
    <w:rsid w:val="00BE2D1E"/>
    <w:rsid w:val="00BE55D8"/>
    <w:rsid w:val="00BE786D"/>
    <w:rsid w:val="00C01FE1"/>
    <w:rsid w:val="00C0738C"/>
    <w:rsid w:val="00C13C3F"/>
    <w:rsid w:val="00C145F8"/>
    <w:rsid w:val="00C155A2"/>
    <w:rsid w:val="00C20830"/>
    <w:rsid w:val="00C27A12"/>
    <w:rsid w:val="00C36890"/>
    <w:rsid w:val="00C4049A"/>
    <w:rsid w:val="00C417E1"/>
    <w:rsid w:val="00C43EC7"/>
    <w:rsid w:val="00C527E5"/>
    <w:rsid w:val="00C56E61"/>
    <w:rsid w:val="00C62CD2"/>
    <w:rsid w:val="00C66244"/>
    <w:rsid w:val="00C73350"/>
    <w:rsid w:val="00C737F2"/>
    <w:rsid w:val="00C76678"/>
    <w:rsid w:val="00C8215A"/>
    <w:rsid w:val="00C869A8"/>
    <w:rsid w:val="00C875C6"/>
    <w:rsid w:val="00C9021D"/>
    <w:rsid w:val="00C9030C"/>
    <w:rsid w:val="00CA0B73"/>
    <w:rsid w:val="00CA59A0"/>
    <w:rsid w:val="00CC7E2F"/>
    <w:rsid w:val="00CD0D14"/>
    <w:rsid w:val="00CD4F34"/>
    <w:rsid w:val="00CE5010"/>
    <w:rsid w:val="00CF3866"/>
    <w:rsid w:val="00D27C1B"/>
    <w:rsid w:val="00D31841"/>
    <w:rsid w:val="00D4020E"/>
    <w:rsid w:val="00D417A5"/>
    <w:rsid w:val="00D4570F"/>
    <w:rsid w:val="00D6767B"/>
    <w:rsid w:val="00D71F8A"/>
    <w:rsid w:val="00D77C34"/>
    <w:rsid w:val="00D93B9C"/>
    <w:rsid w:val="00D9645A"/>
    <w:rsid w:val="00DA7AE6"/>
    <w:rsid w:val="00DB72DC"/>
    <w:rsid w:val="00DC3329"/>
    <w:rsid w:val="00DD3050"/>
    <w:rsid w:val="00DE345E"/>
    <w:rsid w:val="00DE36A0"/>
    <w:rsid w:val="00DF032D"/>
    <w:rsid w:val="00DF1BC5"/>
    <w:rsid w:val="00E132C0"/>
    <w:rsid w:val="00E17DBC"/>
    <w:rsid w:val="00E21682"/>
    <w:rsid w:val="00E21968"/>
    <w:rsid w:val="00E32298"/>
    <w:rsid w:val="00E33B9F"/>
    <w:rsid w:val="00E3699B"/>
    <w:rsid w:val="00E47F19"/>
    <w:rsid w:val="00E740AD"/>
    <w:rsid w:val="00E76E32"/>
    <w:rsid w:val="00E84E3E"/>
    <w:rsid w:val="00EA133A"/>
    <w:rsid w:val="00EB5011"/>
    <w:rsid w:val="00ED02ED"/>
    <w:rsid w:val="00ED78AC"/>
    <w:rsid w:val="00EE13A6"/>
    <w:rsid w:val="00EE177E"/>
    <w:rsid w:val="00EE3658"/>
    <w:rsid w:val="00F036CF"/>
    <w:rsid w:val="00F133CC"/>
    <w:rsid w:val="00F16B94"/>
    <w:rsid w:val="00F34CCC"/>
    <w:rsid w:val="00F46A7F"/>
    <w:rsid w:val="00F471CE"/>
    <w:rsid w:val="00F518FC"/>
    <w:rsid w:val="00F77129"/>
    <w:rsid w:val="00F77D42"/>
    <w:rsid w:val="00F82C3F"/>
    <w:rsid w:val="00F84355"/>
    <w:rsid w:val="00F86091"/>
    <w:rsid w:val="00F91DE5"/>
    <w:rsid w:val="00FA6A14"/>
    <w:rsid w:val="00FB101F"/>
    <w:rsid w:val="00FB4175"/>
    <w:rsid w:val="00FB6511"/>
    <w:rsid w:val="00FC194A"/>
    <w:rsid w:val="00FD5A05"/>
    <w:rsid w:val="00FD6EC0"/>
    <w:rsid w:val="00FE468A"/>
    <w:rsid w:val="00FF08C1"/>
    <w:rsid w:val="00FF1E3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08F9E"/>
  <w15:docId w15:val="{FA355E32-309E-4337-96C6-5A30CA7F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11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ullet1">
    <w:name w:val="Bullet 1"/>
    <w:basedOn w:val="BodyText"/>
    <w:rsid w:val="007A3823"/>
    <w:pPr>
      <w:spacing w:before="120" w:after="200" w:line="276" w:lineRule="auto"/>
      <w:jc w:val="both"/>
    </w:pPr>
    <w:rPr>
      <w:rFonts w:ascii="Cambria" w:eastAsia="Times New Roman" w:hAnsi="Cambria"/>
      <w:sz w:val="22"/>
      <w:lang w:bidi="en-US"/>
    </w:rPr>
  </w:style>
  <w:style w:type="character" w:styleId="Hyperlink">
    <w:name w:val="Hyperlink"/>
    <w:basedOn w:val="DefaultParagraphFont"/>
    <w:uiPriority w:val="99"/>
    <w:rsid w:val="0053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A2C-CD54-4AE3-B018-553E918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4</cp:revision>
  <cp:lastPrinted>2018-04-24T14:21:00Z</cp:lastPrinted>
  <dcterms:created xsi:type="dcterms:W3CDTF">2020-11-23T21:00:00Z</dcterms:created>
  <dcterms:modified xsi:type="dcterms:W3CDTF">2020-11-30T16:53:00Z</dcterms:modified>
</cp:coreProperties>
</file>