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F28" w:rsidRPr="00C85209" w:rsidRDefault="00457A3C" w:rsidP="00457A3C">
      <w:pPr>
        <w:jc w:val="center"/>
        <w:rPr>
          <w:rFonts w:cstheme="minorHAnsi"/>
          <w:b/>
          <w:sz w:val="24"/>
          <w:szCs w:val="24"/>
          <w:u w:val="single"/>
        </w:rPr>
      </w:pPr>
      <w:r w:rsidRPr="00C85209">
        <w:rPr>
          <w:rFonts w:cstheme="minorHAnsi"/>
          <w:b/>
          <w:sz w:val="24"/>
          <w:szCs w:val="24"/>
          <w:u w:val="single"/>
        </w:rPr>
        <w:t>COVID Partner Call 11/13/20</w:t>
      </w:r>
    </w:p>
    <w:p w:rsidR="00457A3C" w:rsidRPr="00C85209" w:rsidRDefault="00AD5E70" w:rsidP="00457A3C">
      <w:pPr>
        <w:rPr>
          <w:rFonts w:cstheme="minorHAnsi"/>
          <w:b/>
          <w:sz w:val="24"/>
          <w:szCs w:val="24"/>
        </w:rPr>
      </w:pPr>
      <w:r w:rsidRPr="00C85209">
        <w:rPr>
          <w:rFonts w:cstheme="minorHAnsi"/>
          <w:b/>
          <w:sz w:val="24"/>
          <w:szCs w:val="24"/>
        </w:rPr>
        <w:t>Covid-19 case count 199,262/ 3,785 deaths</w:t>
      </w:r>
    </w:p>
    <w:p w:rsidR="00AD5E70" w:rsidRPr="00C85209" w:rsidRDefault="00C85209" w:rsidP="00457A3C">
      <w:pPr>
        <w:rPr>
          <w:rFonts w:cstheme="minorHAnsi"/>
          <w:sz w:val="24"/>
          <w:szCs w:val="24"/>
        </w:rPr>
      </w:pPr>
      <w:r>
        <w:rPr>
          <w:rFonts w:cstheme="minorHAnsi"/>
          <w:b/>
          <w:sz w:val="24"/>
          <w:szCs w:val="24"/>
        </w:rPr>
        <w:t>Modeling update- Justin Crow</w:t>
      </w:r>
      <w:r w:rsidR="00AD5E70" w:rsidRPr="00C85209">
        <w:rPr>
          <w:rFonts w:cstheme="minorHAnsi"/>
          <w:b/>
          <w:sz w:val="24"/>
          <w:szCs w:val="24"/>
        </w:rPr>
        <w:t>:</w:t>
      </w:r>
      <w:r w:rsidR="00AD5E70" w:rsidRPr="00C85209">
        <w:rPr>
          <w:rFonts w:cstheme="minorHAnsi"/>
          <w:sz w:val="24"/>
          <w:szCs w:val="24"/>
        </w:rPr>
        <w:t xml:space="preserve">  </w:t>
      </w:r>
    </w:p>
    <w:p w:rsidR="00AD5E70" w:rsidRPr="00C85209" w:rsidRDefault="00AD5E70" w:rsidP="00457A3C">
      <w:pPr>
        <w:rPr>
          <w:rFonts w:cstheme="minorHAnsi"/>
          <w:sz w:val="24"/>
          <w:szCs w:val="24"/>
        </w:rPr>
      </w:pPr>
      <w:r w:rsidRPr="00C85209">
        <w:rPr>
          <w:rFonts w:cstheme="minorHAnsi"/>
          <w:sz w:val="24"/>
          <w:szCs w:val="24"/>
        </w:rPr>
        <w:t xml:space="preserve">UVA Bicomplexity Model ….model at the locality level, does not include policy changes or individual behavior which could change trajectory. Watching Case growth started a few weeks ago in North and South Dakota that doubled in four weeks and is radiating outwards. There is a smaller surge in Rhode Island, which is at 63 /100,000 cases. Virginia is currently at 18/ 100,000 cases.  Surrounding states are at what is considered very high caseload area. Most VA cases are centered around SW Virginia and noted that most surges are areas that border neighboring states. 25 of 35 HD are in growth trajectories and 8 are in surge trajectories. 24 </w:t>
      </w:r>
      <w:r w:rsidR="002C3D3B" w:rsidRPr="00C85209">
        <w:rPr>
          <w:rFonts w:cstheme="minorHAnsi"/>
          <w:sz w:val="24"/>
          <w:szCs w:val="24"/>
        </w:rPr>
        <w:t>Border States</w:t>
      </w:r>
      <w:r w:rsidRPr="00C85209">
        <w:rPr>
          <w:rFonts w:cstheme="minorHAnsi"/>
          <w:sz w:val="24"/>
          <w:szCs w:val="24"/>
        </w:rPr>
        <w:t xml:space="preserve"> are in surge and the others are in Plateau. UVA team continues to report case </w:t>
      </w:r>
      <w:r w:rsidR="002C3D3B" w:rsidRPr="00C85209">
        <w:rPr>
          <w:rFonts w:cstheme="minorHAnsi"/>
          <w:sz w:val="24"/>
          <w:szCs w:val="24"/>
        </w:rPr>
        <w:t>detection,</w:t>
      </w:r>
      <w:r w:rsidRPr="00C85209">
        <w:rPr>
          <w:rFonts w:cstheme="minorHAnsi"/>
          <w:sz w:val="24"/>
          <w:szCs w:val="24"/>
        </w:rPr>
        <w:t xml:space="preserve"> onset and diagnosis. Over past few </w:t>
      </w:r>
      <w:r w:rsidR="002C3D3B" w:rsidRPr="00C85209">
        <w:rPr>
          <w:rFonts w:cstheme="minorHAnsi"/>
          <w:sz w:val="24"/>
          <w:szCs w:val="24"/>
        </w:rPr>
        <w:t>weeks,</w:t>
      </w:r>
      <w:r w:rsidRPr="00C85209">
        <w:rPr>
          <w:rFonts w:cstheme="minorHAnsi"/>
          <w:sz w:val="24"/>
          <w:szCs w:val="24"/>
        </w:rPr>
        <w:t xml:space="preserve"> it shows at 4.3 </w:t>
      </w:r>
      <w:r w:rsidR="002C3D3B" w:rsidRPr="00C85209">
        <w:rPr>
          <w:rFonts w:cstheme="minorHAnsi"/>
          <w:sz w:val="24"/>
          <w:szCs w:val="24"/>
        </w:rPr>
        <w:t>weeks;</w:t>
      </w:r>
      <w:r w:rsidRPr="00C85209">
        <w:rPr>
          <w:rFonts w:cstheme="minorHAnsi"/>
          <w:sz w:val="24"/>
          <w:szCs w:val="24"/>
        </w:rPr>
        <w:t xml:space="preserve"> </w:t>
      </w:r>
      <w:r w:rsidR="002C3D3B" w:rsidRPr="00C85209">
        <w:rPr>
          <w:rFonts w:cstheme="minorHAnsi"/>
          <w:sz w:val="24"/>
          <w:szCs w:val="24"/>
        </w:rPr>
        <w:t>however,</w:t>
      </w:r>
      <w:r w:rsidRPr="00C85209">
        <w:rPr>
          <w:rFonts w:cstheme="minorHAnsi"/>
          <w:sz w:val="24"/>
          <w:szCs w:val="24"/>
        </w:rPr>
        <w:t xml:space="preserve"> there is some lag in data presently.</w:t>
      </w:r>
      <w:r w:rsidR="002C3D3B" w:rsidRPr="00C85209">
        <w:rPr>
          <w:rFonts w:cstheme="minorHAnsi"/>
          <w:sz w:val="24"/>
          <w:szCs w:val="24"/>
        </w:rPr>
        <w:t xml:space="preserve"> Reproduction rate is just above 1, some area are just below 1 but expects that most regions will be above pone as data comes in. UVA team included some what if scenarios in the slide deck. Despite the numbers hospital capacity seems to be ok, but some areas are reaching 80% capacity. Northern VA is expected to have 120% bed capacity in February and does not take flu season into account.  There seems to be a link to cold weather and transmissibility. 18 -29 can also be major source of spread.</w:t>
      </w:r>
    </w:p>
    <w:p w:rsidR="00457A3C" w:rsidRPr="00C85209" w:rsidRDefault="00C85209" w:rsidP="00457A3C">
      <w:pPr>
        <w:rPr>
          <w:rFonts w:cstheme="minorHAnsi"/>
          <w:b/>
          <w:sz w:val="24"/>
          <w:szCs w:val="24"/>
        </w:rPr>
      </w:pPr>
      <w:r>
        <w:rPr>
          <w:rFonts w:cstheme="minorHAnsi"/>
          <w:b/>
          <w:sz w:val="24"/>
          <w:szCs w:val="24"/>
        </w:rPr>
        <w:t>Testing team – Dr.</w:t>
      </w:r>
      <w:r w:rsidR="002C3D3B" w:rsidRPr="00C85209">
        <w:rPr>
          <w:rFonts w:cstheme="minorHAnsi"/>
          <w:b/>
          <w:sz w:val="24"/>
          <w:szCs w:val="24"/>
        </w:rPr>
        <w:t xml:space="preserve"> Rossheim: </w:t>
      </w:r>
    </w:p>
    <w:p w:rsidR="002C3D3B" w:rsidRPr="00C85209" w:rsidRDefault="002C3D3B" w:rsidP="00457A3C">
      <w:pPr>
        <w:rPr>
          <w:rFonts w:cstheme="minorHAnsi"/>
          <w:sz w:val="24"/>
          <w:szCs w:val="24"/>
        </w:rPr>
      </w:pPr>
      <w:r w:rsidRPr="00C85209">
        <w:rPr>
          <w:rFonts w:cstheme="minorHAnsi"/>
          <w:sz w:val="24"/>
          <w:szCs w:val="24"/>
        </w:rPr>
        <w:t xml:space="preserve">Across the commonwealth we are doing 19,400 PCR per day which exceeds goal of 17,500 per day. 11 HDs have reported that half of their testing events were for vulnerable populations. National Guard are supporting </w:t>
      </w:r>
      <w:r w:rsidR="00EA2E03" w:rsidRPr="00C85209">
        <w:rPr>
          <w:rFonts w:cstheme="minorHAnsi"/>
          <w:sz w:val="24"/>
          <w:szCs w:val="24"/>
        </w:rPr>
        <w:t xml:space="preserve">testing. </w:t>
      </w:r>
      <w:r w:rsidR="001C0154" w:rsidRPr="00C85209">
        <w:rPr>
          <w:rFonts w:cstheme="minorHAnsi"/>
          <w:sz w:val="24"/>
          <w:szCs w:val="24"/>
        </w:rPr>
        <w:t>Average</w:t>
      </w:r>
      <w:r w:rsidRPr="00C85209">
        <w:rPr>
          <w:rFonts w:cstheme="minorHAnsi"/>
          <w:sz w:val="24"/>
          <w:szCs w:val="24"/>
        </w:rPr>
        <w:t xml:space="preserve"> turnaround time is running at 3.9 days</w:t>
      </w:r>
      <w:r w:rsidR="001C0154" w:rsidRPr="00C85209">
        <w:rPr>
          <w:rFonts w:cstheme="minorHAnsi"/>
          <w:sz w:val="24"/>
          <w:szCs w:val="24"/>
        </w:rPr>
        <w:t xml:space="preserve"> for testing. Antigen testing has 4 main sources of point of care antigen testing.  3 are directly from federal gvt. 1) B/D tests went to nursing homes. 2) Abbot Binax now card tests to some long term care, Long term care and HBCU’s 3) Abbot Binax now cards (2.6 million) To the state to utilize. 4) Funding – for purchase of antigen supplies. State has distributed 52,000 currently….. as we speak 300,00</w:t>
      </w:r>
      <w:r w:rsidR="00EA2E03">
        <w:rPr>
          <w:rFonts w:cstheme="minorHAnsi"/>
          <w:sz w:val="24"/>
          <w:szCs w:val="24"/>
        </w:rPr>
        <w:t>0</w:t>
      </w:r>
      <w:bookmarkStart w:id="0" w:name="_GoBack"/>
      <w:bookmarkEnd w:id="0"/>
      <w:r w:rsidR="001C0154" w:rsidRPr="00C85209">
        <w:rPr>
          <w:rFonts w:cstheme="minorHAnsi"/>
          <w:sz w:val="24"/>
          <w:szCs w:val="24"/>
        </w:rPr>
        <w:t xml:space="preserve"> are poised to go out today or early next week. 12,000 to higher education , 100, hospitals and healthcare, 50,000 to go to retail pharmacy chain for pharmacy distribution….an allotment to k-12 schools, and critical infrastructure networks.  There is a multi-state collaborative to share information and purchase antigen tests. </w:t>
      </w:r>
    </w:p>
    <w:p w:rsidR="001C0154" w:rsidRPr="00C85209" w:rsidRDefault="001C0154" w:rsidP="00457A3C">
      <w:pPr>
        <w:rPr>
          <w:rFonts w:cstheme="minorHAnsi"/>
          <w:sz w:val="24"/>
          <w:szCs w:val="24"/>
        </w:rPr>
      </w:pPr>
    </w:p>
    <w:p w:rsidR="00457A3C" w:rsidRPr="00C85209" w:rsidRDefault="00457A3C" w:rsidP="00457A3C">
      <w:pPr>
        <w:rPr>
          <w:rFonts w:cstheme="minorHAnsi"/>
          <w:sz w:val="24"/>
          <w:szCs w:val="24"/>
        </w:rPr>
      </w:pPr>
    </w:p>
    <w:p w:rsidR="001C0154" w:rsidRPr="00C85209" w:rsidRDefault="001C0154" w:rsidP="00457A3C">
      <w:pPr>
        <w:rPr>
          <w:rFonts w:cstheme="minorHAnsi"/>
          <w:sz w:val="24"/>
          <w:szCs w:val="24"/>
        </w:rPr>
      </w:pPr>
    </w:p>
    <w:p w:rsidR="001C0154" w:rsidRPr="00C85209" w:rsidRDefault="00B568AA" w:rsidP="00457A3C">
      <w:pPr>
        <w:rPr>
          <w:rFonts w:cstheme="minorHAnsi"/>
          <w:b/>
          <w:sz w:val="24"/>
          <w:szCs w:val="24"/>
        </w:rPr>
      </w:pPr>
      <w:r w:rsidRPr="00C85209">
        <w:rPr>
          <w:rFonts w:cstheme="minorHAnsi"/>
          <w:b/>
          <w:sz w:val="24"/>
          <w:szCs w:val="24"/>
        </w:rPr>
        <w:lastRenderedPageBreak/>
        <w:t>College and university resources-</w:t>
      </w:r>
      <w:r w:rsidR="00C85209">
        <w:rPr>
          <w:rFonts w:cstheme="minorHAnsi"/>
          <w:b/>
          <w:sz w:val="24"/>
          <w:szCs w:val="24"/>
        </w:rPr>
        <w:t xml:space="preserve"> Dr. </w:t>
      </w:r>
      <w:r w:rsidR="001C0154" w:rsidRPr="00C85209">
        <w:rPr>
          <w:rFonts w:cstheme="minorHAnsi"/>
          <w:b/>
          <w:sz w:val="24"/>
          <w:szCs w:val="24"/>
        </w:rPr>
        <w:t>Katie Kurjian</w:t>
      </w:r>
      <w:r w:rsidRPr="00C85209">
        <w:rPr>
          <w:rFonts w:cstheme="minorHAnsi"/>
          <w:b/>
          <w:sz w:val="24"/>
          <w:szCs w:val="24"/>
        </w:rPr>
        <w:t>:</w:t>
      </w:r>
    </w:p>
    <w:p w:rsidR="00B568AA" w:rsidRPr="00C85209" w:rsidRDefault="00B568AA" w:rsidP="00457A3C">
      <w:pPr>
        <w:rPr>
          <w:rFonts w:cstheme="minorHAnsi"/>
          <w:sz w:val="24"/>
          <w:szCs w:val="24"/>
        </w:rPr>
      </w:pPr>
      <w:r w:rsidRPr="00C85209">
        <w:rPr>
          <w:rFonts w:cstheme="minorHAnsi"/>
          <w:sz w:val="24"/>
          <w:szCs w:val="24"/>
        </w:rPr>
        <w:t xml:space="preserve">Guidance is out and posted on VDH website, which is a 4 page document. It details how to minimize risk core steps everyone should take. Before leaving school should minimize contact prior to leaving or if not possible quarantine upon returning home. They could also get a viral test prior to leaving. Alternate strategy could be to get tested upon returning home if taking public transportation. Those that test positive should quarantine 10 days. Use separate bedroom and bath at home, avoid social interactions and crowds. Monitor signs and symptoms. It is important t to check with college or university before returning to school. </w:t>
      </w:r>
    </w:p>
    <w:p w:rsidR="00B568AA" w:rsidRPr="00C85209" w:rsidRDefault="00B568AA" w:rsidP="00457A3C">
      <w:pPr>
        <w:rPr>
          <w:rFonts w:cstheme="minorHAnsi"/>
          <w:sz w:val="24"/>
          <w:szCs w:val="24"/>
        </w:rPr>
      </w:pPr>
      <w:r w:rsidRPr="00C85209">
        <w:rPr>
          <w:rFonts w:cstheme="minorHAnsi"/>
          <w:sz w:val="24"/>
          <w:szCs w:val="24"/>
        </w:rPr>
        <w:t>In collaboration with the antigen testing team, there are 6 different tests result scenarios with next steps.</w:t>
      </w:r>
    </w:p>
    <w:p w:rsidR="00B568AA" w:rsidRPr="00C85209" w:rsidRDefault="00B568AA" w:rsidP="00457A3C">
      <w:pPr>
        <w:rPr>
          <w:rFonts w:cstheme="minorHAnsi"/>
          <w:sz w:val="24"/>
          <w:szCs w:val="24"/>
        </w:rPr>
      </w:pPr>
    </w:p>
    <w:p w:rsidR="00B568AA" w:rsidRPr="00C85209" w:rsidRDefault="00B568AA" w:rsidP="00457A3C">
      <w:pPr>
        <w:rPr>
          <w:rFonts w:cstheme="minorHAnsi"/>
          <w:b/>
          <w:sz w:val="24"/>
          <w:szCs w:val="24"/>
        </w:rPr>
      </w:pPr>
      <w:r w:rsidRPr="00C85209">
        <w:rPr>
          <w:rFonts w:cstheme="minorHAnsi"/>
          <w:b/>
          <w:sz w:val="24"/>
          <w:szCs w:val="24"/>
        </w:rPr>
        <w:t>Virginia Industries for the Blind PPE options- Matt Koch:</w:t>
      </w:r>
    </w:p>
    <w:p w:rsidR="00B568AA" w:rsidRPr="00C85209" w:rsidRDefault="00B568AA" w:rsidP="00457A3C">
      <w:pPr>
        <w:rPr>
          <w:rFonts w:cstheme="minorHAnsi"/>
          <w:sz w:val="24"/>
          <w:szCs w:val="24"/>
        </w:rPr>
      </w:pPr>
      <w:r w:rsidRPr="00C85209">
        <w:rPr>
          <w:rFonts w:cstheme="minorHAnsi"/>
          <w:sz w:val="24"/>
          <w:szCs w:val="24"/>
        </w:rPr>
        <w:t xml:space="preserve">Manufacturing face masks and COVID swab kits. DGS provided special authorizations and have leveraged them for providing g items to that state more efficiently. </w:t>
      </w:r>
      <w:r w:rsidR="00E720CE" w:rsidRPr="00C85209">
        <w:rPr>
          <w:rFonts w:cstheme="minorHAnsi"/>
          <w:sz w:val="24"/>
          <w:szCs w:val="24"/>
        </w:rPr>
        <w:t>Item list and pricing has been posted on the website. VIBonline.org has PPE listed front and center in homepage, with information sheets with product specific details, with pictures, prices and other information. Also offer reusable cotton facemasks for children’s for just over $1.50 apiece. New items are now being offered, a smart tomography for screening to identify those with high temperatures. Antimicrobial films and products. Logistic pressures are there, however they look forward to serving the state for PPE needs and are otherwise committed prior to December 1</w:t>
      </w:r>
      <w:r w:rsidR="00E720CE" w:rsidRPr="00C85209">
        <w:rPr>
          <w:rFonts w:cstheme="minorHAnsi"/>
          <w:sz w:val="24"/>
          <w:szCs w:val="24"/>
          <w:vertAlign w:val="superscript"/>
        </w:rPr>
        <w:t>st</w:t>
      </w:r>
      <w:r w:rsidR="00E720CE" w:rsidRPr="00C85209">
        <w:rPr>
          <w:rFonts w:cstheme="minorHAnsi"/>
          <w:sz w:val="24"/>
          <w:szCs w:val="24"/>
        </w:rPr>
        <w:t>.</w:t>
      </w:r>
    </w:p>
    <w:p w:rsidR="001C0154" w:rsidRPr="00C85209" w:rsidRDefault="00E720CE" w:rsidP="00457A3C">
      <w:pPr>
        <w:rPr>
          <w:rFonts w:cstheme="minorHAnsi"/>
          <w:b/>
          <w:sz w:val="24"/>
          <w:szCs w:val="24"/>
        </w:rPr>
      </w:pPr>
      <w:r w:rsidRPr="00C85209">
        <w:rPr>
          <w:rFonts w:cstheme="minorHAnsi"/>
          <w:b/>
          <w:sz w:val="24"/>
          <w:szCs w:val="24"/>
        </w:rPr>
        <w:t>Antibody treatment that recently received approval- Kim</w:t>
      </w:r>
      <w:r w:rsidR="00C85209">
        <w:rPr>
          <w:rFonts w:cstheme="minorHAnsi"/>
          <w:b/>
          <w:sz w:val="24"/>
          <w:szCs w:val="24"/>
        </w:rPr>
        <w:t xml:space="preserve"> Thompkins, VDH Pharmacy</w:t>
      </w:r>
    </w:p>
    <w:p w:rsidR="00457A3C" w:rsidRPr="00C85209" w:rsidRDefault="00EA2E03" w:rsidP="00457A3C">
      <w:pPr>
        <w:numPr>
          <w:ilvl w:val="0"/>
          <w:numId w:val="1"/>
        </w:numPr>
        <w:shd w:val="clear" w:color="auto" w:fill="FFFFFF"/>
        <w:spacing w:before="100" w:beforeAutospacing="1" w:after="100" w:afterAutospacing="1" w:line="240" w:lineRule="auto"/>
        <w:ind w:left="945"/>
        <w:rPr>
          <w:rFonts w:eastAsia="Times New Roman" w:cstheme="minorHAnsi"/>
          <w:color w:val="500050"/>
          <w:sz w:val="24"/>
          <w:szCs w:val="24"/>
        </w:rPr>
      </w:pPr>
      <w:hyperlink r:id="rId5" w:history="1">
        <w:r w:rsidR="00457A3C" w:rsidRPr="00C85209">
          <w:rPr>
            <w:rStyle w:val="Hyperlink"/>
            <w:rFonts w:cstheme="minorHAnsi"/>
            <w:sz w:val="24"/>
            <w:szCs w:val="24"/>
          </w:rPr>
          <w:t>https://www.fda.gov/media/143602/download</w:t>
        </w:r>
      </w:hyperlink>
      <w:r w:rsidR="00457A3C" w:rsidRPr="00C85209">
        <w:rPr>
          <w:rFonts w:cstheme="minorHAnsi"/>
          <w:sz w:val="24"/>
          <w:szCs w:val="24"/>
        </w:rPr>
        <w:t xml:space="preserve"> </w:t>
      </w:r>
      <w:r w:rsidR="00457A3C" w:rsidRPr="00C85209">
        <w:rPr>
          <w:rFonts w:eastAsia="Times New Roman" w:cstheme="minorHAnsi"/>
          <w:color w:val="000000"/>
          <w:sz w:val="24"/>
          <w:szCs w:val="24"/>
        </w:rPr>
        <w:t>--  See below for initial information with additional info forthcoming</w:t>
      </w:r>
    </w:p>
    <w:p w:rsidR="00457A3C" w:rsidRPr="00C85209" w:rsidRDefault="00457A3C" w:rsidP="00457A3C">
      <w:pPr>
        <w:numPr>
          <w:ilvl w:val="1"/>
          <w:numId w:val="1"/>
        </w:numPr>
        <w:shd w:val="clear" w:color="auto" w:fill="FFFFFF"/>
        <w:spacing w:before="100" w:beforeAutospacing="1" w:after="100" w:afterAutospacing="1" w:line="240" w:lineRule="auto"/>
        <w:ind w:left="1665"/>
        <w:rPr>
          <w:rFonts w:eastAsia="Times New Roman" w:cstheme="minorHAnsi"/>
          <w:color w:val="500050"/>
          <w:sz w:val="24"/>
          <w:szCs w:val="24"/>
        </w:rPr>
      </w:pPr>
      <w:r w:rsidRPr="00C85209">
        <w:rPr>
          <w:rFonts w:eastAsia="Times New Roman" w:cstheme="minorHAnsi"/>
          <w:color w:val="000000"/>
          <w:sz w:val="24"/>
          <w:szCs w:val="24"/>
        </w:rPr>
        <w:t>The US Government has invested more than $2.77 billion to develop and manufacture therapeutics, including an investment in monoclonal antibodies.  The </w:t>
      </w:r>
      <w:r w:rsidRPr="00C85209">
        <w:rPr>
          <w:rFonts w:eastAsia="Times New Roman" w:cstheme="minorHAnsi"/>
          <w:b/>
          <w:bCs/>
          <w:color w:val="000000"/>
          <w:sz w:val="24"/>
          <w:szCs w:val="24"/>
        </w:rPr>
        <w:t>first monoclonal antibody</w:t>
      </w:r>
      <w:r w:rsidRPr="00C85209">
        <w:rPr>
          <w:rFonts w:eastAsia="Times New Roman" w:cstheme="minorHAnsi"/>
          <w:color w:val="000000"/>
          <w:sz w:val="24"/>
          <w:szCs w:val="24"/>
        </w:rPr>
        <w:t>, </w:t>
      </w:r>
      <w:hyperlink r:id="rId6" w:tgtFrame="_blank" w:history="1">
        <w:r w:rsidRPr="00C85209">
          <w:rPr>
            <w:rFonts w:eastAsia="Times New Roman" w:cstheme="minorHAnsi"/>
            <w:b/>
            <w:bCs/>
            <w:color w:val="1155CC"/>
            <w:sz w:val="24"/>
            <w:szCs w:val="24"/>
            <w:u w:val="single"/>
          </w:rPr>
          <w:t>Eli Lilly and Company's bamlanivimab</w:t>
        </w:r>
      </w:hyperlink>
      <w:r w:rsidRPr="00C85209">
        <w:rPr>
          <w:rFonts w:eastAsia="Times New Roman" w:cstheme="minorHAnsi"/>
          <w:color w:val="000000"/>
          <w:sz w:val="24"/>
          <w:szCs w:val="24"/>
        </w:rPr>
        <w:t> (LY-CoV555), received </w:t>
      </w:r>
      <w:r w:rsidRPr="00C85209">
        <w:rPr>
          <w:rFonts w:eastAsia="Times New Roman" w:cstheme="minorHAnsi"/>
          <w:b/>
          <w:bCs/>
          <w:color w:val="000000"/>
          <w:sz w:val="24"/>
          <w:szCs w:val="24"/>
        </w:rPr>
        <w:t>FDA EUA approval on November 9, 2020</w:t>
      </w:r>
      <w:r w:rsidRPr="00C85209">
        <w:rPr>
          <w:rFonts w:eastAsia="Times New Roman" w:cstheme="minorHAnsi"/>
          <w:color w:val="000000"/>
          <w:sz w:val="24"/>
          <w:szCs w:val="24"/>
        </w:rPr>
        <w:t>.  HHS announced that they have purchased </w:t>
      </w:r>
      <w:r w:rsidRPr="00C85209">
        <w:rPr>
          <w:rFonts w:eastAsia="Times New Roman" w:cstheme="minorHAnsi"/>
          <w:b/>
          <w:bCs/>
          <w:color w:val="000000"/>
          <w:sz w:val="24"/>
          <w:szCs w:val="24"/>
        </w:rPr>
        <w:t>300,000 doses of this product through December</w:t>
      </w:r>
      <w:r w:rsidRPr="00C85209">
        <w:rPr>
          <w:rFonts w:eastAsia="Times New Roman" w:cstheme="minorHAnsi"/>
          <w:color w:val="000000"/>
          <w:sz w:val="24"/>
          <w:szCs w:val="24"/>
        </w:rPr>
        <w:t>, with the option to purchase another 650,000 doses through next June as well. </w:t>
      </w:r>
    </w:p>
    <w:p w:rsidR="00457A3C" w:rsidRPr="00C85209" w:rsidRDefault="00457A3C" w:rsidP="00457A3C">
      <w:pPr>
        <w:numPr>
          <w:ilvl w:val="1"/>
          <w:numId w:val="1"/>
        </w:numPr>
        <w:shd w:val="clear" w:color="auto" w:fill="FFFFFF"/>
        <w:spacing w:before="100" w:beforeAutospacing="1" w:after="100" w:afterAutospacing="1" w:line="240" w:lineRule="auto"/>
        <w:ind w:left="1665"/>
        <w:rPr>
          <w:rFonts w:eastAsia="Times New Roman" w:cstheme="minorHAnsi"/>
          <w:color w:val="500050"/>
          <w:sz w:val="24"/>
          <w:szCs w:val="24"/>
        </w:rPr>
      </w:pPr>
      <w:r w:rsidRPr="00C85209">
        <w:rPr>
          <w:rFonts w:eastAsia="Times New Roman" w:cstheme="minorHAnsi"/>
          <w:color w:val="000000"/>
          <w:sz w:val="24"/>
          <w:szCs w:val="24"/>
        </w:rPr>
        <w:t>The</w:t>
      </w:r>
      <w:r w:rsidRPr="00C85209">
        <w:rPr>
          <w:rFonts w:eastAsia="Times New Roman" w:cstheme="minorHAnsi"/>
          <w:b/>
          <w:bCs/>
          <w:color w:val="000000"/>
          <w:sz w:val="24"/>
          <w:szCs w:val="24"/>
        </w:rPr>
        <w:t xml:space="preserve"> Emergency Use Authorization (EUA) </w:t>
      </w:r>
      <w:r w:rsidRPr="00C85209">
        <w:rPr>
          <w:rFonts w:eastAsia="Times New Roman" w:cstheme="minorHAnsi"/>
          <w:color w:val="000000"/>
          <w:sz w:val="24"/>
          <w:szCs w:val="24"/>
        </w:rPr>
        <w:t>for the use of</w:t>
      </w:r>
      <w:r w:rsidRPr="00C85209">
        <w:rPr>
          <w:rFonts w:eastAsia="Times New Roman" w:cstheme="minorHAnsi"/>
          <w:b/>
          <w:bCs/>
          <w:color w:val="000000"/>
          <w:sz w:val="24"/>
          <w:szCs w:val="24"/>
        </w:rPr>
        <w:t xml:space="preserve"> bamlanivimab </w:t>
      </w:r>
      <w:r w:rsidRPr="00C85209">
        <w:rPr>
          <w:rFonts w:eastAsia="Times New Roman" w:cstheme="minorHAnsi"/>
          <w:color w:val="000000"/>
          <w:sz w:val="24"/>
          <w:szCs w:val="24"/>
        </w:rPr>
        <w:t xml:space="preserve">is for mild to moderate COVID-19 cases early in infection, with </w:t>
      </w:r>
      <w:r w:rsidRPr="00C85209">
        <w:rPr>
          <w:rFonts w:eastAsia="Times New Roman" w:cstheme="minorHAnsi"/>
          <w:b/>
          <w:bCs/>
          <w:color w:val="000000"/>
          <w:sz w:val="24"/>
          <w:szCs w:val="24"/>
        </w:rPr>
        <w:t>positive results of direct SARS-CoV-2 viral testing</w:t>
      </w:r>
      <w:r w:rsidRPr="00C85209">
        <w:rPr>
          <w:rFonts w:eastAsia="Times New Roman" w:cstheme="minorHAnsi"/>
          <w:color w:val="000000"/>
          <w:sz w:val="24"/>
          <w:szCs w:val="24"/>
        </w:rPr>
        <w:t xml:space="preserve"> with following criteria for </w:t>
      </w:r>
      <w:r w:rsidRPr="00C85209">
        <w:rPr>
          <w:rFonts w:eastAsia="Times New Roman" w:cstheme="minorHAnsi"/>
          <w:b/>
          <w:bCs/>
          <w:color w:val="000000"/>
          <w:sz w:val="24"/>
          <w:szCs w:val="24"/>
        </w:rPr>
        <w:t>adult and pediatric patients 12 years of age and weight at least 40 kg</w:t>
      </w:r>
      <w:r w:rsidRPr="00C85209">
        <w:rPr>
          <w:rFonts w:eastAsia="Times New Roman" w:cstheme="minorHAnsi"/>
          <w:color w:val="000000"/>
          <w:sz w:val="24"/>
          <w:szCs w:val="24"/>
        </w:rPr>
        <w:t xml:space="preserve">, and are at </w:t>
      </w:r>
      <w:r w:rsidRPr="00C85209">
        <w:rPr>
          <w:rFonts w:eastAsia="Times New Roman" w:cstheme="minorHAnsi"/>
          <w:b/>
          <w:bCs/>
          <w:color w:val="000000"/>
          <w:sz w:val="24"/>
          <w:szCs w:val="24"/>
        </w:rPr>
        <w:t>high risk for progressing to severe COVID-19 and/or hospitalization</w:t>
      </w:r>
      <w:r w:rsidRPr="00C85209">
        <w:rPr>
          <w:rFonts w:eastAsia="Times New Roman" w:cstheme="minorHAnsi"/>
          <w:color w:val="000000"/>
          <w:sz w:val="24"/>
          <w:szCs w:val="24"/>
        </w:rPr>
        <w:t>.  </w:t>
      </w:r>
    </w:p>
    <w:p w:rsidR="00457A3C" w:rsidRPr="00C85209" w:rsidRDefault="00457A3C" w:rsidP="00457A3C">
      <w:pPr>
        <w:numPr>
          <w:ilvl w:val="1"/>
          <w:numId w:val="1"/>
        </w:numPr>
        <w:shd w:val="clear" w:color="auto" w:fill="FFFFFF"/>
        <w:spacing w:before="100" w:beforeAutospacing="1" w:after="100" w:afterAutospacing="1" w:line="240" w:lineRule="auto"/>
        <w:ind w:left="1665"/>
        <w:rPr>
          <w:rFonts w:eastAsia="Times New Roman" w:cstheme="minorHAnsi"/>
          <w:color w:val="500050"/>
          <w:sz w:val="24"/>
          <w:szCs w:val="24"/>
        </w:rPr>
      </w:pPr>
      <w:r w:rsidRPr="00C85209">
        <w:rPr>
          <w:rFonts w:eastAsia="Times New Roman" w:cstheme="minorHAnsi"/>
          <w:b/>
          <w:bCs/>
          <w:color w:val="000000"/>
          <w:sz w:val="24"/>
          <w:szCs w:val="24"/>
        </w:rPr>
        <w:lastRenderedPageBreak/>
        <w:t xml:space="preserve">Bamlanivimab 700 mg will </w:t>
      </w:r>
      <w:r w:rsidRPr="00C85209">
        <w:rPr>
          <w:rFonts w:eastAsia="Times New Roman" w:cstheme="minorHAnsi"/>
          <w:color w:val="000000"/>
          <w:sz w:val="24"/>
          <w:szCs w:val="24"/>
        </w:rPr>
        <w:t>should be</w:t>
      </w:r>
      <w:r w:rsidRPr="00C85209">
        <w:rPr>
          <w:rFonts w:eastAsia="Times New Roman" w:cstheme="minorHAnsi"/>
          <w:b/>
          <w:bCs/>
          <w:color w:val="000000"/>
          <w:sz w:val="24"/>
          <w:szCs w:val="24"/>
        </w:rPr>
        <w:t xml:space="preserve"> administered</w:t>
      </w:r>
      <w:r w:rsidRPr="00C85209">
        <w:rPr>
          <w:rFonts w:eastAsia="Times New Roman" w:cstheme="minorHAnsi"/>
          <w:color w:val="000000"/>
          <w:sz w:val="24"/>
          <w:szCs w:val="24"/>
        </w:rPr>
        <w:t xml:space="preserve"> to patients as soon as possible post-confirmed positive test results and within </w:t>
      </w:r>
      <w:r w:rsidRPr="00C85209">
        <w:rPr>
          <w:rFonts w:eastAsia="Times New Roman" w:cstheme="minorHAnsi"/>
          <w:b/>
          <w:bCs/>
          <w:color w:val="000000"/>
          <w:sz w:val="24"/>
          <w:szCs w:val="24"/>
        </w:rPr>
        <w:t>10 days of symptom onset</w:t>
      </w:r>
      <w:r w:rsidRPr="00C85209">
        <w:rPr>
          <w:rFonts w:eastAsia="Times New Roman" w:cstheme="minorHAnsi"/>
          <w:color w:val="000000"/>
          <w:sz w:val="24"/>
          <w:szCs w:val="24"/>
        </w:rPr>
        <w:t xml:space="preserve">. Administration will be </w:t>
      </w:r>
      <w:r w:rsidRPr="00C85209">
        <w:rPr>
          <w:rFonts w:eastAsia="Times New Roman" w:cstheme="minorHAnsi"/>
          <w:b/>
          <w:bCs/>
          <w:color w:val="000000"/>
          <w:sz w:val="24"/>
          <w:szCs w:val="24"/>
        </w:rPr>
        <w:t xml:space="preserve">via IV infusion over at least 60 minutes </w:t>
      </w:r>
      <w:r w:rsidRPr="00C85209">
        <w:rPr>
          <w:rFonts w:eastAsia="Times New Roman" w:cstheme="minorHAnsi"/>
          <w:color w:val="000000"/>
          <w:sz w:val="24"/>
          <w:szCs w:val="24"/>
        </w:rPr>
        <w:t>with an</w:t>
      </w:r>
      <w:r w:rsidRPr="00C85209">
        <w:rPr>
          <w:rFonts w:eastAsia="Times New Roman" w:cstheme="minorHAnsi"/>
          <w:b/>
          <w:bCs/>
          <w:color w:val="000000"/>
          <w:sz w:val="24"/>
          <w:szCs w:val="24"/>
        </w:rPr>
        <w:t xml:space="preserve"> observation period of at least 1 hour after infusion </w:t>
      </w:r>
      <w:r w:rsidRPr="00C85209">
        <w:rPr>
          <w:rFonts w:eastAsia="Times New Roman" w:cstheme="minorHAnsi"/>
          <w:color w:val="000000"/>
          <w:sz w:val="24"/>
          <w:szCs w:val="24"/>
        </w:rPr>
        <w:t>is complete</w:t>
      </w:r>
    </w:p>
    <w:p w:rsidR="00457A3C" w:rsidRPr="00C85209" w:rsidRDefault="00457A3C" w:rsidP="00457A3C">
      <w:pPr>
        <w:numPr>
          <w:ilvl w:val="1"/>
          <w:numId w:val="1"/>
        </w:numPr>
        <w:shd w:val="clear" w:color="auto" w:fill="FFFFFF"/>
        <w:spacing w:before="100" w:beforeAutospacing="1" w:after="100" w:afterAutospacing="1" w:line="240" w:lineRule="auto"/>
        <w:ind w:left="1665"/>
        <w:rPr>
          <w:rFonts w:eastAsia="Times New Roman" w:cstheme="minorHAnsi"/>
          <w:color w:val="500050"/>
          <w:sz w:val="24"/>
          <w:szCs w:val="24"/>
        </w:rPr>
      </w:pPr>
      <w:r w:rsidRPr="00C85209">
        <w:rPr>
          <w:rFonts w:eastAsia="Times New Roman" w:cstheme="minorHAnsi"/>
          <w:color w:val="000000"/>
          <w:sz w:val="24"/>
          <w:szCs w:val="24"/>
        </w:rPr>
        <w:t>Allocation and distribution will be similar to remdesivir in that </w:t>
      </w:r>
      <w:r w:rsidRPr="00C85209">
        <w:rPr>
          <w:rFonts w:eastAsia="Times New Roman" w:cstheme="minorHAnsi"/>
          <w:b/>
          <w:bCs/>
          <w:color w:val="000000"/>
          <w:sz w:val="24"/>
          <w:szCs w:val="24"/>
        </w:rPr>
        <w:t xml:space="preserve">U.S. government will allocate supplies to state governments, allocating to hospital sites *see below about the hospital facilities) </w:t>
      </w:r>
      <w:r w:rsidRPr="00C85209">
        <w:rPr>
          <w:rFonts w:eastAsia="Times New Roman" w:cstheme="minorHAnsi"/>
          <w:color w:val="000000"/>
          <w:sz w:val="24"/>
          <w:szCs w:val="24"/>
        </w:rPr>
        <w:t>at </w:t>
      </w:r>
      <w:r w:rsidRPr="00C85209">
        <w:rPr>
          <w:rFonts w:eastAsia="Times New Roman" w:cstheme="minorHAnsi"/>
          <w:b/>
          <w:bCs/>
          <w:color w:val="000000"/>
          <w:sz w:val="24"/>
          <w:szCs w:val="24"/>
        </w:rPr>
        <w:t>no cost</w:t>
      </w:r>
      <w:r w:rsidRPr="00C85209">
        <w:rPr>
          <w:rFonts w:eastAsia="Times New Roman" w:cstheme="minorHAnsi"/>
          <w:color w:val="000000"/>
          <w:sz w:val="24"/>
          <w:szCs w:val="24"/>
        </w:rPr>
        <w:t xml:space="preserve">.  HHS anticipates that the demand will exceed the supply.  </w:t>
      </w:r>
      <w:r w:rsidRPr="00C85209">
        <w:rPr>
          <w:rFonts w:eastAsia="Times New Roman" w:cstheme="minorHAnsi"/>
          <w:b/>
          <w:bCs/>
          <w:color w:val="000000"/>
          <w:sz w:val="24"/>
          <w:szCs w:val="24"/>
        </w:rPr>
        <w:t>HHS will utilize the Teletracking HHS Protect database to determine the state allocation</w:t>
      </w:r>
      <w:r w:rsidRPr="00C85209">
        <w:rPr>
          <w:rFonts w:eastAsia="Times New Roman" w:cstheme="minorHAnsi"/>
          <w:color w:val="000000"/>
          <w:sz w:val="24"/>
          <w:szCs w:val="24"/>
        </w:rPr>
        <w:t xml:space="preserve"> based on the reported number of hospitalizations and the number of positive tests in Virginia.</w:t>
      </w:r>
    </w:p>
    <w:p w:rsidR="00457A3C" w:rsidRPr="00C85209" w:rsidRDefault="00457A3C" w:rsidP="00457A3C">
      <w:pPr>
        <w:numPr>
          <w:ilvl w:val="2"/>
          <w:numId w:val="1"/>
        </w:numPr>
        <w:shd w:val="clear" w:color="auto" w:fill="FFFFFF"/>
        <w:spacing w:before="100" w:beforeAutospacing="1" w:after="100" w:afterAutospacing="1" w:line="240" w:lineRule="auto"/>
        <w:ind w:left="2385"/>
        <w:rPr>
          <w:rFonts w:eastAsia="Times New Roman" w:cstheme="minorHAnsi"/>
          <w:color w:val="500050"/>
          <w:sz w:val="24"/>
          <w:szCs w:val="24"/>
        </w:rPr>
      </w:pPr>
      <w:r w:rsidRPr="00C85209">
        <w:rPr>
          <w:rFonts w:eastAsia="Times New Roman" w:cstheme="minorHAnsi"/>
          <w:color w:val="000000"/>
          <w:sz w:val="24"/>
          <w:szCs w:val="24"/>
        </w:rPr>
        <w:t>Sites must be linked to a hospital.  Administration sites will be broader than just hospitalized patients as with Remdesivir. COVID-19 antibody therapy sites will include the following:</w:t>
      </w:r>
    </w:p>
    <w:p w:rsidR="00457A3C" w:rsidRPr="00C85209" w:rsidRDefault="00457A3C" w:rsidP="00457A3C">
      <w:pPr>
        <w:numPr>
          <w:ilvl w:val="3"/>
          <w:numId w:val="1"/>
        </w:numPr>
        <w:shd w:val="clear" w:color="auto" w:fill="FFFFFF"/>
        <w:spacing w:before="100" w:beforeAutospacing="1" w:after="100" w:afterAutospacing="1" w:line="240" w:lineRule="auto"/>
        <w:ind w:left="3105"/>
        <w:rPr>
          <w:rFonts w:eastAsia="Times New Roman" w:cstheme="minorHAnsi"/>
          <w:color w:val="500050"/>
          <w:sz w:val="24"/>
          <w:szCs w:val="24"/>
        </w:rPr>
      </w:pPr>
      <w:r w:rsidRPr="00C85209">
        <w:rPr>
          <w:rFonts w:eastAsia="Times New Roman" w:cstheme="minorHAnsi"/>
          <w:color w:val="000000"/>
          <w:sz w:val="24"/>
          <w:szCs w:val="24"/>
        </w:rPr>
        <w:t>Hospital-and community-based infusion centers</w:t>
      </w:r>
    </w:p>
    <w:p w:rsidR="00457A3C" w:rsidRPr="00C85209" w:rsidRDefault="00457A3C" w:rsidP="00457A3C">
      <w:pPr>
        <w:numPr>
          <w:ilvl w:val="3"/>
          <w:numId w:val="1"/>
        </w:numPr>
        <w:shd w:val="clear" w:color="auto" w:fill="FFFFFF"/>
        <w:spacing w:before="100" w:beforeAutospacing="1" w:after="100" w:afterAutospacing="1" w:line="240" w:lineRule="auto"/>
        <w:ind w:left="3105"/>
        <w:rPr>
          <w:rFonts w:eastAsia="Times New Roman" w:cstheme="minorHAnsi"/>
          <w:color w:val="500050"/>
          <w:sz w:val="24"/>
          <w:szCs w:val="24"/>
        </w:rPr>
      </w:pPr>
      <w:r w:rsidRPr="00C85209">
        <w:rPr>
          <w:rFonts w:eastAsia="Times New Roman" w:cstheme="minorHAnsi"/>
          <w:color w:val="000000"/>
          <w:sz w:val="24"/>
          <w:szCs w:val="24"/>
        </w:rPr>
        <w:t>Existing clinical spaces (urgent care, emergency departments)</w:t>
      </w:r>
    </w:p>
    <w:p w:rsidR="00457A3C" w:rsidRPr="00C85209" w:rsidRDefault="00457A3C" w:rsidP="00457A3C">
      <w:pPr>
        <w:numPr>
          <w:ilvl w:val="3"/>
          <w:numId w:val="1"/>
        </w:numPr>
        <w:shd w:val="clear" w:color="auto" w:fill="FFFFFF"/>
        <w:spacing w:before="100" w:beforeAutospacing="1" w:after="100" w:afterAutospacing="1" w:line="240" w:lineRule="auto"/>
        <w:ind w:left="3105"/>
        <w:rPr>
          <w:rFonts w:eastAsia="Times New Roman" w:cstheme="minorHAnsi"/>
          <w:color w:val="500050"/>
          <w:sz w:val="24"/>
          <w:szCs w:val="24"/>
        </w:rPr>
      </w:pPr>
      <w:r w:rsidRPr="00C85209">
        <w:rPr>
          <w:rFonts w:eastAsia="Times New Roman" w:cstheme="minorHAnsi"/>
          <w:color w:val="000000"/>
          <w:sz w:val="24"/>
          <w:szCs w:val="24"/>
        </w:rPr>
        <w:t>Ad-hoc new infusion sites (e.g. tents)</w:t>
      </w:r>
    </w:p>
    <w:p w:rsidR="00457A3C" w:rsidRPr="00C85209" w:rsidRDefault="00457A3C" w:rsidP="00457A3C">
      <w:pPr>
        <w:numPr>
          <w:ilvl w:val="3"/>
          <w:numId w:val="1"/>
        </w:numPr>
        <w:shd w:val="clear" w:color="auto" w:fill="FFFFFF"/>
        <w:spacing w:before="100" w:beforeAutospacing="1" w:after="100" w:afterAutospacing="1" w:line="240" w:lineRule="auto"/>
        <w:ind w:left="3105"/>
        <w:rPr>
          <w:rFonts w:eastAsia="Times New Roman" w:cstheme="minorHAnsi"/>
          <w:color w:val="500050"/>
          <w:sz w:val="24"/>
          <w:szCs w:val="24"/>
        </w:rPr>
      </w:pPr>
      <w:r w:rsidRPr="00C85209">
        <w:rPr>
          <w:rFonts w:eastAsia="Times New Roman" w:cstheme="minorHAnsi"/>
          <w:color w:val="000000"/>
          <w:sz w:val="24"/>
          <w:szCs w:val="24"/>
        </w:rPr>
        <w:t>Possible home infusion, not determined at this time</w:t>
      </w:r>
    </w:p>
    <w:p w:rsidR="00457A3C" w:rsidRPr="00C85209" w:rsidRDefault="00457A3C" w:rsidP="00457A3C">
      <w:pPr>
        <w:numPr>
          <w:ilvl w:val="2"/>
          <w:numId w:val="1"/>
        </w:numPr>
        <w:shd w:val="clear" w:color="auto" w:fill="FFFFFF"/>
        <w:spacing w:before="100" w:beforeAutospacing="1" w:after="100" w:afterAutospacing="1" w:line="240" w:lineRule="auto"/>
        <w:ind w:left="2385"/>
        <w:rPr>
          <w:rFonts w:eastAsia="Times New Roman" w:cstheme="minorHAnsi"/>
          <w:color w:val="500050"/>
          <w:sz w:val="24"/>
          <w:szCs w:val="24"/>
        </w:rPr>
      </w:pPr>
      <w:r w:rsidRPr="00C85209">
        <w:rPr>
          <w:rFonts w:eastAsia="Times New Roman" w:cstheme="minorHAnsi"/>
          <w:color w:val="000000"/>
          <w:sz w:val="24"/>
          <w:szCs w:val="24"/>
        </w:rPr>
        <w:t>Locations administering these therapies may be different than the locations prescribing/ordering.</w:t>
      </w:r>
    </w:p>
    <w:p w:rsidR="00457A3C" w:rsidRPr="00C85209" w:rsidRDefault="00457A3C" w:rsidP="00457A3C">
      <w:pPr>
        <w:numPr>
          <w:ilvl w:val="1"/>
          <w:numId w:val="1"/>
        </w:numPr>
        <w:shd w:val="clear" w:color="auto" w:fill="FFFFFF"/>
        <w:spacing w:before="100" w:beforeAutospacing="1" w:after="100" w:afterAutospacing="1" w:line="240" w:lineRule="auto"/>
        <w:ind w:left="1665"/>
        <w:rPr>
          <w:rFonts w:eastAsia="Times New Roman" w:cstheme="minorHAnsi"/>
          <w:color w:val="500050"/>
          <w:sz w:val="24"/>
          <w:szCs w:val="24"/>
        </w:rPr>
      </w:pPr>
      <w:r w:rsidRPr="00C85209">
        <w:rPr>
          <w:rFonts w:eastAsia="Times New Roman" w:cstheme="minorHAnsi"/>
          <w:color w:val="000000"/>
          <w:sz w:val="24"/>
          <w:szCs w:val="24"/>
        </w:rPr>
        <w:t>Product will be stored and</w:t>
      </w:r>
      <w:r w:rsidRPr="00C85209">
        <w:rPr>
          <w:rFonts w:eastAsia="Times New Roman" w:cstheme="minorHAnsi"/>
          <w:b/>
          <w:bCs/>
          <w:color w:val="000000"/>
          <w:sz w:val="24"/>
          <w:szCs w:val="24"/>
        </w:rPr>
        <w:t xml:space="preserve"> shipped refrigerated to the site by AmerisourceBergen (ABC)</w:t>
      </w:r>
      <w:r w:rsidRPr="00C85209">
        <w:rPr>
          <w:rFonts w:eastAsia="Times New Roman" w:cstheme="minorHAnsi"/>
          <w:color w:val="000000"/>
          <w:sz w:val="24"/>
          <w:szCs w:val="24"/>
        </w:rPr>
        <w:t xml:space="preserve">.  All sites will need an account with ABC.  ABC is utilizing accounts set up during the remdesivir distribution and working with states to add sites or make edits. </w:t>
      </w:r>
    </w:p>
    <w:p w:rsidR="00457A3C" w:rsidRPr="00C85209" w:rsidRDefault="00457A3C" w:rsidP="00457A3C">
      <w:pPr>
        <w:numPr>
          <w:ilvl w:val="1"/>
          <w:numId w:val="1"/>
        </w:numPr>
        <w:shd w:val="clear" w:color="auto" w:fill="FFFFFF"/>
        <w:spacing w:before="100" w:beforeAutospacing="1" w:after="100" w:afterAutospacing="1" w:line="240" w:lineRule="auto"/>
        <w:ind w:left="1665"/>
        <w:rPr>
          <w:rFonts w:eastAsia="Times New Roman" w:cstheme="minorHAnsi"/>
          <w:color w:val="500050"/>
          <w:sz w:val="24"/>
          <w:szCs w:val="24"/>
        </w:rPr>
      </w:pPr>
      <w:r w:rsidRPr="00C85209">
        <w:rPr>
          <w:rFonts w:eastAsia="Times New Roman" w:cstheme="minorHAnsi"/>
          <w:color w:val="000000"/>
          <w:sz w:val="24"/>
          <w:szCs w:val="24"/>
        </w:rPr>
        <w:t>The estimated timeline will be for HHS to provide allocation each week on Wednesdays with the initial shipment </w:t>
      </w:r>
      <w:r w:rsidRPr="00C85209">
        <w:rPr>
          <w:rFonts w:eastAsia="Times New Roman" w:cstheme="minorHAnsi"/>
          <w:b/>
          <w:bCs/>
          <w:color w:val="000000"/>
          <w:sz w:val="24"/>
          <w:szCs w:val="24"/>
        </w:rPr>
        <w:t>starting in November and remaining throughout the end of December.</w:t>
      </w:r>
      <w:r w:rsidRPr="00C85209">
        <w:rPr>
          <w:rFonts w:eastAsia="Times New Roman" w:cstheme="minorHAnsi"/>
          <w:color w:val="000000"/>
          <w:sz w:val="24"/>
          <w:szCs w:val="24"/>
        </w:rPr>
        <w:t>  Shipments will occur post state decisions.  At first, shipments could be delayed into the next week. However, as shipping becomes more fluid, the goal will be for the shipment to occur within the same week or following day after the allocation from HHS.</w:t>
      </w:r>
    </w:p>
    <w:p w:rsidR="00457A3C" w:rsidRPr="00C85209" w:rsidRDefault="00457A3C" w:rsidP="00457A3C">
      <w:pPr>
        <w:numPr>
          <w:ilvl w:val="1"/>
          <w:numId w:val="1"/>
        </w:numPr>
        <w:shd w:val="clear" w:color="auto" w:fill="FFFFFF"/>
        <w:spacing w:before="100" w:beforeAutospacing="1" w:after="100" w:afterAutospacing="1" w:line="240" w:lineRule="auto"/>
        <w:ind w:left="1665"/>
        <w:rPr>
          <w:rFonts w:eastAsia="Times New Roman" w:cstheme="minorHAnsi"/>
          <w:color w:val="222222"/>
          <w:sz w:val="24"/>
          <w:szCs w:val="24"/>
        </w:rPr>
      </w:pPr>
      <w:r w:rsidRPr="00C85209">
        <w:rPr>
          <w:rFonts w:eastAsia="Times New Roman" w:cstheme="minorHAnsi"/>
          <w:color w:val="000000"/>
          <w:sz w:val="24"/>
          <w:szCs w:val="24"/>
        </w:rPr>
        <w:t>The Commonwealth of Virginia is working through the </w:t>
      </w:r>
      <w:r w:rsidRPr="00C85209">
        <w:rPr>
          <w:rFonts w:eastAsia="Times New Roman" w:cstheme="minorHAnsi"/>
          <w:b/>
          <w:bCs/>
          <w:color w:val="000000"/>
          <w:sz w:val="24"/>
          <w:szCs w:val="24"/>
        </w:rPr>
        <w:t>Virginia COVID-19 response Unified Command</w:t>
      </w:r>
      <w:r w:rsidRPr="00C85209">
        <w:rPr>
          <w:rFonts w:eastAsia="Times New Roman" w:cstheme="minorHAnsi"/>
          <w:color w:val="000000"/>
          <w:sz w:val="24"/>
          <w:szCs w:val="24"/>
        </w:rPr>
        <w:t> to </w:t>
      </w:r>
      <w:r w:rsidRPr="00C85209">
        <w:rPr>
          <w:rFonts w:eastAsia="Times New Roman" w:cstheme="minorHAnsi"/>
          <w:b/>
          <w:bCs/>
          <w:color w:val="000000"/>
          <w:sz w:val="24"/>
          <w:szCs w:val="24"/>
        </w:rPr>
        <w:t>help determine the allocation strategy and next steps for this therapeutic, </w:t>
      </w:r>
      <w:r w:rsidRPr="00C85209">
        <w:rPr>
          <w:rFonts w:eastAsia="Times New Roman" w:cstheme="minorHAnsi"/>
          <w:color w:val="000000"/>
          <w:sz w:val="24"/>
          <w:szCs w:val="24"/>
        </w:rPr>
        <w:t xml:space="preserve">working closely to ensure an </w:t>
      </w:r>
      <w:r w:rsidRPr="00C85209">
        <w:rPr>
          <w:rFonts w:eastAsia="Times New Roman" w:cstheme="minorHAnsi"/>
          <w:b/>
          <w:bCs/>
          <w:color w:val="000000"/>
          <w:sz w:val="24"/>
          <w:szCs w:val="24"/>
        </w:rPr>
        <w:t>equitable allocation process for bamlanivimab, similar to the process with remdesivir</w:t>
      </w:r>
      <w:r w:rsidRPr="00C85209">
        <w:rPr>
          <w:rFonts w:eastAsia="Times New Roman" w:cstheme="minorHAnsi"/>
          <w:color w:val="000000"/>
          <w:sz w:val="24"/>
          <w:szCs w:val="24"/>
        </w:rPr>
        <w:t>.  The initial allocation will be about 1,000 doses for sites within the state of Virginia.  </w:t>
      </w:r>
    </w:p>
    <w:p w:rsidR="00457A3C" w:rsidRPr="00C85209" w:rsidRDefault="00E720CE" w:rsidP="00457A3C">
      <w:pPr>
        <w:rPr>
          <w:rFonts w:cstheme="minorHAnsi"/>
          <w:b/>
          <w:sz w:val="24"/>
          <w:szCs w:val="24"/>
        </w:rPr>
      </w:pPr>
      <w:r w:rsidRPr="00C85209">
        <w:rPr>
          <w:rFonts w:cstheme="minorHAnsi"/>
          <w:b/>
          <w:sz w:val="24"/>
          <w:szCs w:val="24"/>
        </w:rPr>
        <w:t>Q&amp;A</w:t>
      </w:r>
    </w:p>
    <w:p w:rsidR="00E720CE" w:rsidRPr="00C85209" w:rsidRDefault="004C4E32" w:rsidP="00457A3C">
      <w:pPr>
        <w:rPr>
          <w:rFonts w:cstheme="minorHAnsi"/>
          <w:sz w:val="24"/>
          <w:szCs w:val="24"/>
        </w:rPr>
      </w:pPr>
      <w:r w:rsidRPr="00C85209">
        <w:rPr>
          <w:rFonts w:cstheme="minorHAnsi"/>
          <w:b/>
          <w:sz w:val="24"/>
          <w:szCs w:val="24"/>
        </w:rPr>
        <w:t>Q</w:t>
      </w:r>
      <w:r w:rsidR="00EA2E03" w:rsidRPr="00C85209">
        <w:rPr>
          <w:rFonts w:cstheme="minorHAnsi"/>
          <w:b/>
          <w:sz w:val="24"/>
          <w:szCs w:val="24"/>
        </w:rPr>
        <w:t>:</w:t>
      </w:r>
      <w:r w:rsidR="00EA2E03" w:rsidRPr="00C85209">
        <w:rPr>
          <w:rFonts w:cstheme="minorHAnsi"/>
          <w:sz w:val="24"/>
          <w:szCs w:val="24"/>
        </w:rPr>
        <w:t xml:space="preserve"> Joe</w:t>
      </w:r>
      <w:r w:rsidRPr="00C85209">
        <w:rPr>
          <w:rFonts w:cstheme="minorHAnsi"/>
          <w:sz w:val="24"/>
          <w:szCs w:val="24"/>
        </w:rPr>
        <w:t xml:space="preserve"> Lurch –</w:t>
      </w:r>
      <w:r w:rsidR="00EA2E03" w:rsidRPr="00C85209">
        <w:rPr>
          <w:rFonts w:cstheme="minorHAnsi"/>
          <w:sz w:val="24"/>
          <w:szCs w:val="24"/>
        </w:rPr>
        <w:t>VA</w:t>
      </w:r>
      <w:r w:rsidRPr="00C85209">
        <w:rPr>
          <w:rFonts w:cstheme="minorHAnsi"/>
          <w:sz w:val="24"/>
          <w:szCs w:val="24"/>
        </w:rPr>
        <w:t xml:space="preserve"> association of counties- IS there a consideration for possible shutdown after thanksgiving. </w:t>
      </w:r>
    </w:p>
    <w:p w:rsidR="004C4E32" w:rsidRPr="00C85209" w:rsidRDefault="004C4E32" w:rsidP="00457A3C">
      <w:pPr>
        <w:rPr>
          <w:rFonts w:cstheme="minorHAnsi"/>
          <w:sz w:val="24"/>
          <w:szCs w:val="24"/>
        </w:rPr>
      </w:pPr>
      <w:r w:rsidRPr="00C85209">
        <w:rPr>
          <w:rFonts w:cstheme="minorHAnsi"/>
          <w:b/>
          <w:sz w:val="24"/>
          <w:szCs w:val="24"/>
        </w:rPr>
        <w:t>A:</w:t>
      </w:r>
      <w:r w:rsidRPr="00C85209">
        <w:rPr>
          <w:rFonts w:cstheme="minorHAnsi"/>
          <w:sz w:val="24"/>
          <w:szCs w:val="24"/>
        </w:rPr>
        <w:t xml:space="preserve"> Not to their knowledge</w:t>
      </w:r>
    </w:p>
    <w:p w:rsidR="004C4E32" w:rsidRPr="00C85209" w:rsidRDefault="004C4E32" w:rsidP="00457A3C">
      <w:pPr>
        <w:rPr>
          <w:rFonts w:cstheme="minorHAnsi"/>
          <w:sz w:val="24"/>
          <w:szCs w:val="24"/>
        </w:rPr>
      </w:pPr>
    </w:p>
    <w:p w:rsidR="004C4E32" w:rsidRPr="00C85209" w:rsidRDefault="004C4E32" w:rsidP="00457A3C">
      <w:pPr>
        <w:rPr>
          <w:rFonts w:cstheme="minorHAnsi"/>
          <w:sz w:val="24"/>
          <w:szCs w:val="24"/>
        </w:rPr>
      </w:pPr>
      <w:r w:rsidRPr="00C85209">
        <w:rPr>
          <w:rFonts w:cstheme="minorHAnsi"/>
          <w:b/>
          <w:sz w:val="24"/>
          <w:szCs w:val="24"/>
        </w:rPr>
        <w:t>Q:</w:t>
      </w:r>
      <w:r w:rsidRPr="00C85209">
        <w:rPr>
          <w:rFonts w:cstheme="minorHAnsi"/>
          <w:sz w:val="24"/>
          <w:szCs w:val="24"/>
        </w:rPr>
        <w:t xml:space="preserve"> King George f</w:t>
      </w:r>
      <w:r w:rsidR="00C85209">
        <w:rPr>
          <w:rFonts w:cstheme="minorHAnsi"/>
          <w:sz w:val="24"/>
          <w:szCs w:val="24"/>
        </w:rPr>
        <w:t>ire/Rescue- Will there be a CLIA</w:t>
      </w:r>
      <w:r w:rsidRPr="00C85209">
        <w:rPr>
          <w:rFonts w:cstheme="minorHAnsi"/>
          <w:sz w:val="24"/>
          <w:szCs w:val="24"/>
        </w:rPr>
        <w:t xml:space="preserve"> waiver required for rapid antigen testing-</w:t>
      </w:r>
    </w:p>
    <w:p w:rsidR="004C4E32" w:rsidRPr="00C85209" w:rsidRDefault="004C4E32" w:rsidP="00457A3C">
      <w:pPr>
        <w:rPr>
          <w:rFonts w:cstheme="minorHAnsi"/>
          <w:sz w:val="24"/>
          <w:szCs w:val="24"/>
        </w:rPr>
      </w:pPr>
      <w:r w:rsidRPr="00C85209">
        <w:rPr>
          <w:rFonts w:cstheme="minorHAnsi"/>
          <w:b/>
          <w:sz w:val="24"/>
          <w:szCs w:val="24"/>
        </w:rPr>
        <w:t>A:</w:t>
      </w:r>
      <w:r w:rsidRPr="00C85209">
        <w:rPr>
          <w:rFonts w:cstheme="minorHAnsi"/>
          <w:sz w:val="24"/>
          <w:szCs w:val="24"/>
        </w:rPr>
        <w:t xml:space="preserve"> Anyone doing rapid testing </w:t>
      </w:r>
      <w:r w:rsidR="00C85209">
        <w:rPr>
          <w:rFonts w:cstheme="minorHAnsi"/>
          <w:sz w:val="24"/>
          <w:szCs w:val="24"/>
        </w:rPr>
        <w:t xml:space="preserve">will be required to have a CLIA </w:t>
      </w:r>
      <w:r w:rsidRPr="00C85209">
        <w:rPr>
          <w:rFonts w:cstheme="minorHAnsi"/>
          <w:sz w:val="24"/>
          <w:szCs w:val="24"/>
        </w:rPr>
        <w:t>waiver.</w:t>
      </w:r>
    </w:p>
    <w:sectPr w:rsidR="004C4E32" w:rsidRPr="00C85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5054A"/>
    <w:multiLevelType w:val="multilevel"/>
    <w:tmpl w:val="0AF24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3C"/>
    <w:rsid w:val="001C0154"/>
    <w:rsid w:val="002C3D3B"/>
    <w:rsid w:val="00457A3C"/>
    <w:rsid w:val="004C4E32"/>
    <w:rsid w:val="00AD5E70"/>
    <w:rsid w:val="00B568AA"/>
    <w:rsid w:val="00B56F28"/>
    <w:rsid w:val="00C85209"/>
    <w:rsid w:val="00E720CE"/>
    <w:rsid w:val="00EA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47A2"/>
  <w15:chartTrackingRefBased/>
  <w15:docId w15:val="{3EA168D7-C535-46EB-A2EF-E7B2C629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A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vid19.lilly.com/bamlanivimab" TargetMode="External"/><Relationship Id="rId5" Type="http://schemas.openxmlformats.org/officeDocument/2006/relationships/hyperlink" Target="https://www.fda.gov/media/143602/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Sclater, James (VDH)</dc:creator>
  <cp:keywords/>
  <dc:description/>
  <cp:lastModifiedBy>VITA Program</cp:lastModifiedBy>
  <cp:revision>2</cp:revision>
  <dcterms:created xsi:type="dcterms:W3CDTF">2020-11-17T16:05:00Z</dcterms:created>
  <dcterms:modified xsi:type="dcterms:W3CDTF">2020-11-17T16:05:00Z</dcterms:modified>
</cp:coreProperties>
</file>