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0F268D" w:rsidTr="00525816">
        <w:trPr>
          <w:trHeight w:val="720"/>
          <w:jc w:val="center"/>
        </w:trPr>
        <w:tc>
          <w:tcPr>
            <w:tcW w:w="2069" w:type="pct"/>
            <w:tcBorders>
              <w:bottom w:val="single" w:sz="4" w:space="0" w:color="auto"/>
            </w:tcBorders>
            <w:vAlign w:val="center"/>
          </w:tcPr>
          <w:p w:rsidR="00525816" w:rsidRPr="000D2BE8" w:rsidRDefault="00525816" w:rsidP="00525816">
            <w:pPr>
              <w:spacing w:before="60" w:after="60"/>
              <w:rPr>
                <w:szCs w:val="24"/>
              </w:rPr>
            </w:pPr>
            <w:r w:rsidRPr="000F268D">
              <w:rPr>
                <w:i/>
                <w:szCs w:val="24"/>
              </w:rPr>
              <w:t xml:space="preserve">Exercise Name:  </w:t>
            </w:r>
            <w:r w:rsidR="00FE25E3">
              <w:rPr>
                <w:szCs w:val="24"/>
              </w:rPr>
              <w:t>Active Shooter/Complex Attack Incident</w:t>
            </w:r>
          </w:p>
          <w:p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rsidR="00525816" w:rsidRPr="000F268D" w:rsidRDefault="00FE25E3" w:rsidP="00FE25E3">
            <w:pPr>
              <w:spacing w:before="60" w:after="60"/>
              <w:rPr>
                <w:szCs w:val="24"/>
              </w:rPr>
            </w:pPr>
            <w:r>
              <w:rPr>
                <w:szCs w:val="24"/>
              </w:rPr>
              <w:t>Virginia Department of Health</w:t>
            </w:r>
          </w:p>
        </w:tc>
        <w:tc>
          <w:tcPr>
            <w:tcW w:w="1466" w:type="pct"/>
            <w:tcBorders>
              <w:bottom w:val="single" w:sz="4" w:space="0" w:color="auto"/>
            </w:tcBorders>
            <w:vAlign w:val="center"/>
          </w:tcPr>
          <w:p w:rsidR="00525816" w:rsidRPr="000F268D" w:rsidRDefault="00525816" w:rsidP="00525816">
            <w:pPr>
              <w:spacing w:before="60" w:after="60"/>
              <w:rPr>
                <w:i/>
                <w:szCs w:val="24"/>
              </w:rPr>
            </w:pPr>
            <w:r>
              <w:rPr>
                <w:i/>
                <w:szCs w:val="24"/>
              </w:rPr>
              <w:t>Venue:</w:t>
            </w:r>
          </w:p>
          <w:p w:rsidR="00525816" w:rsidRPr="000F268D" w:rsidRDefault="00FE25E3" w:rsidP="006335A3">
            <w:pPr>
              <w:spacing w:before="60" w:after="60"/>
              <w:rPr>
                <w:szCs w:val="24"/>
              </w:rPr>
            </w:pPr>
            <w:r>
              <w:rPr>
                <w:szCs w:val="24"/>
              </w:rPr>
              <w:t>Local health district</w:t>
            </w:r>
          </w:p>
        </w:tc>
      </w:tr>
      <w:tr w:rsidR="00525816" w:rsidRPr="000F268D" w:rsidTr="004C1197">
        <w:trPr>
          <w:trHeight w:val="422"/>
          <w:jc w:val="center"/>
        </w:trPr>
        <w:tc>
          <w:tcPr>
            <w:tcW w:w="5000" w:type="pct"/>
            <w:gridSpan w:val="3"/>
            <w:shd w:val="clear" w:color="auto" w:fill="003366"/>
            <w:vAlign w:val="center"/>
          </w:tcPr>
          <w:p w:rsidR="00525816" w:rsidRPr="000F268D" w:rsidRDefault="00F133CC" w:rsidP="00525816">
            <w:pPr>
              <w:spacing w:before="60" w:after="60"/>
              <w:jc w:val="center"/>
              <w:rPr>
                <w:b/>
                <w:szCs w:val="24"/>
              </w:rPr>
            </w:pPr>
            <w:r>
              <w:rPr>
                <w:b/>
                <w:szCs w:val="24"/>
              </w:rPr>
              <w:t>Response</w:t>
            </w:r>
          </w:p>
        </w:tc>
      </w:tr>
      <w:tr w:rsidR="00525816" w:rsidRPr="000F268D" w:rsidTr="00955F17">
        <w:trPr>
          <w:trHeight w:val="467"/>
          <w:jc w:val="center"/>
        </w:trPr>
        <w:tc>
          <w:tcPr>
            <w:tcW w:w="5000" w:type="pct"/>
            <w:gridSpan w:val="3"/>
          </w:tcPr>
          <w:p w:rsidR="00525816" w:rsidRPr="00FE25E3" w:rsidRDefault="00525816" w:rsidP="00FE25E3">
            <w:pPr>
              <w:spacing w:before="60" w:after="60"/>
              <w:rPr>
                <w:szCs w:val="24"/>
              </w:rPr>
            </w:pPr>
            <w:r w:rsidRPr="000D2BE8">
              <w:rPr>
                <w:i/>
                <w:szCs w:val="24"/>
              </w:rPr>
              <w:t>Exercise Objective:</w:t>
            </w:r>
            <w:r>
              <w:rPr>
                <w:i/>
                <w:szCs w:val="24"/>
              </w:rPr>
              <w:t xml:space="preserve">  </w:t>
            </w:r>
            <w:r w:rsidR="00FE25E3" w:rsidRPr="00FE25E3">
              <w:t>Examine the ability of Health Department and its hospital/emergency response partners to share critical information in an incident that involves an active shooter/complex attack</w:t>
            </w:r>
          </w:p>
        </w:tc>
      </w:tr>
      <w:tr w:rsidR="00525816" w:rsidRPr="000F268D" w:rsidTr="00525816">
        <w:trPr>
          <w:trHeight w:val="720"/>
          <w:jc w:val="center"/>
        </w:trPr>
        <w:tc>
          <w:tcPr>
            <w:tcW w:w="5000" w:type="pct"/>
            <w:gridSpan w:val="3"/>
          </w:tcPr>
          <w:p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3C3BB5">
              <w:rPr>
                <w:b/>
                <w:szCs w:val="24"/>
              </w:rPr>
              <w:t>Operational Communications</w:t>
            </w:r>
          </w:p>
          <w:p w:rsidR="00D93B9C" w:rsidRPr="00D93B9C" w:rsidRDefault="003C3BB5" w:rsidP="0099787B">
            <w:r w:rsidRPr="00EF157D">
              <w:t>Ensure the capacity for timely communications in support of security, situational awareness, and operations by any and all means available, among and between affected communities in the impact area and all response forces.</w:t>
            </w:r>
          </w:p>
        </w:tc>
      </w:tr>
      <w:tr w:rsidR="00525816" w:rsidRPr="000F268D" w:rsidTr="00525816">
        <w:trPr>
          <w:trHeight w:val="422"/>
          <w:jc w:val="center"/>
        </w:trPr>
        <w:tc>
          <w:tcPr>
            <w:tcW w:w="5000" w:type="pct"/>
            <w:gridSpan w:val="3"/>
            <w:vAlign w:val="center"/>
          </w:tcPr>
          <w:p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FE25E3">
              <w:rPr>
                <w:b/>
                <w:szCs w:val="24"/>
              </w:rPr>
              <w:t>Availability of and Access to Communications Methods</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00FE25E3">
              <w:rPr>
                <w:szCs w:val="24"/>
              </w:rPr>
              <w:t>Health Department to discuss its capabilit</w:t>
            </w:r>
            <w:r w:rsidR="004E04A0">
              <w:rPr>
                <w:szCs w:val="24"/>
              </w:rPr>
              <w:t>ies</w:t>
            </w:r>
            <w:r w:rsidR="00FE25E3">
              <w:rPr>
                <w:szCs w:val="24"/>
              </w:rPr>
              <w:t xml:space="preserve"> to communicate with partners</w:t>
            </w:r>
            <w:r w:rsidRPr="000F268D">
              <w:rPr>
                <w:szCs w:val="24"/>
              </w:rPr>
              <w:t xml:space="preserve"> </w:t>
            </w:r>
          </w:p>
          <w:p w:rsidR="00C737F2" w:rsidRPr="000F268D" w:rsidRDefault="006C6F5E" w:rsidP="004E04A0">
            <w:pPr>
              <w:spacing w:before="60" w:after="60"/>
              <w:rPr>
                <w:szCs w:val="24"/>
              </w:rPr>
            </w:pPr>
            <w:r>
              <w:rPr>
                <w:b/>
                <w:szCs w:val="24"/>
              </w:rPr>
              <w:t xml:space="preserve">Source(s): </w:t>
            </w:r>
            <w:r w:rsidR="004E04A0">
              <w:rPr>
                <w:szCs w:val="24"/>
              </w:rPr>
              <w:t>Local health district communications plan/VDH Emergency Response Plan, Annex B Tactical Communications, Information Technology, and Information Sharing</w:t>
            </w:r>
          </w:p>
        </w:tc>
      </w:tr>
    </w:tbl>
    <w:p w:rsidR="00FB101F" w:rsidRDefault="00FB101F" w:rsidP="00955F17">
      <w:pPr>
        <w:spacing w:before="120" w:after="120"/>
        <w:rPr>
          <w:b/>
          <w:szCs w:val="24"/>
        </w:rPr>
        <w:sectPr w:rsidR="00FB101F" w:rsidSect="006C6F5E">
          <w:footerReference w:type="default" r:id="rId9"/>
          <w:type w:val="continuous"/>
          <w:pgSz w:w="15840" w:h="12240" w:orient="landscape"/>
          <w:pgMar w:top="720" w:right="1440" w:bottom="720" w:left="1440" w:header="720" w:footer="432" w:gutter="0"/>
          <w:cols w:space="720"/>
          <w:docGrid w:linePitch="360"/>
        </w:sectPr>
      </w:pPr>
    </w:p>
    <w:p w:rsidR="00FB101F" w:rsidRPr="000F268D" w:rsidRDefault="00FB101F" w:rsidP="00955F17">
      <w:pPr>
        <w:spacing w:before="120" w:after="120"/>
        <w:rPr>
          <w:b/>
          <w:szCs w:val="24"/>
        </w:rPr>
      </w:pPr>
    </w:p>
    <w:tbl>
      <w:tblPr>
        <w:tblStyle w:val="TableGrid"/>
        <w:tblW w:w="14400" w:type="dxa"/>
        <w:jc w:val="center"/>
        <w:tblLook w:val="04A0" w:firstRow="1" w:lastRow="0" w:firstColumn="1" w:lastColumn="0" w:noHBand="0" w:noVBand="1"/>
      </w:tblPr>
      <w:tblGrid>
        <w:gridCol w:w="2340"/>
        <w:gridCol w:w="3780"/>
        <w:gridCol w:w="7110"/>
        <w:gridCol w:w="1170"/>
      </w:tblGrid>
      <w:tr w:rsidR="00EA133A" w:rsidRPr="006335A3" w:rsidTr="007B1211">
        <w:trPr>
          <w:jc w:val="center"/>
        </w:trPr>
        <w:tc>
          <w:tcPr>
            <w:tcW w:w="2340" w:type="dxa"/>
            <w:shd w:val="clear" w:color="auto" w:fill="003366"/>
            <w:vAlign w:val="center"/>
          </w:tcPr>
          <w:p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378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711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1170" w:type="dxa"/>
            <w:shd w:val="clear" w:color="auto" w:fill="003366"/>
          </w:tcPr>
          <w:p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rsidTr="00EA133A">
        <w:trPr>
          <w:trHeight w:val="2160"/>
          <w:jc w:val="center"/>
        </w:trPr>
        <w:tc>
          <w:tcPr>
            <w:tcW w:w="2340" w:type="dxa"/>
          </w:tcPr>
          <w:p w:rsidR="00644FEE" w:rsidRPr="004E04A0" w:rsidRDefault="004E04A0" w:rsidP="00644FEE">
            <w:pPr>
              <w:spacing w:before="60" w:after="60"/>
              <w:rPr>
                <w:szCs w:val="24"/>
              </w:rPr>
            </w:pPr>
            <w:r>
              <w:rPr>
                <w:szCs w:val="24"/>
              </w:rPr>
              <w:t>Availability of and Access to Communications Methods</w:t>
            </w:r>
          </w:p>
          <w:p w:rsidR="00C56E61" w:rsidRPr="000F268D" w:rsidRDefault="0038063E" w:rsidP="00644FEE">
            <w:pPr>
              <w:spacing w:before="60" w:after="60"/>
              <w:rPr>
                <w:szCs w:val="24"/>
              </w:rPr>
            </w:pPr>
            <w:r w:rsidRPr="004E04A0">
              <w:rPr>
                <w:szCs w:val="24"/>
              </w:rPr>
              <w:t xml:space="preserve"> </w:t>
            </w:r>
          </w:p>
        </w:tc>
        <w:tc>
          <w:tcPr>
            <w:tcW w:w="3780" w:type="dxa"/>
          </w:tcPr>
          <w:p w:rsidR="00C56E61" w:rsidRPr="004E04A0" w:rsidRDefault="004E04A0" w:rsidP="004E04A0">
            <w:pPr>
              <w:spacing w:before="60" w:after="60"/>
              <w:rPr>
                <w:szCs w:val="24"/>
              </w:rPr>
            </w:pPr>
            <w:r>
              <w:rPr>
                <w:szCs w:val="24"/>
              </w:rPr>
              <w:t>Health Department to discuss its capabilities to communicate with partners</w:t>
            </w:r>
          </w:p>
        </w:tc>
        <w:tc>
          <w:tcPr>
            <w:tcW w:w="7110" w:type="dxa"/>
          </w:tcPr>
          <w:p w:rsidR="00C56E61" w:rsidRPr="000F268D" w:rsidRDefault="00C56E61" w:rsidP="00452029">
            <w:pPr>
              <w:rPr>
                <w:b/>
                <w:szCs w:val="24"/>
              </w:rPr>
            </w:pPr>
          </w:p>
        </w:tc>
        <w:tc>
          <w:tcPr>
            <w:tcW w:w="1170" w:type="dxa"/>
          </w:tcPr>
          <w:p w:rsidR="00C56E61" w:rsidRPr="000F268D" w:rsidRDefault="00C56E61" w:rsidP="008D3B07">
            <w:pPr>
              <w:jc w:val="center"/>
              <w:rPr>
                <w:b/>
                <w:szCs w:val="24"/>
              </w:rPr>
            </w:pPr>
          </w:p>
        </w:tc>
      </w:tr>
      <w:tr w:rsidR="00EA133A" w:rsidRPr="000F268D" w:rsidTr="00FF08C1">
        <w:trPr>
          <w:trHeight w:val="530"/>
          <w:jc w:val="center"/>
        </w:trPr>
        <w:tc>
          <w:tcPr>
            <w:tcW w:w="2340" w:type="dxa"/>
            <w:tcBorders>
              <w:top w:val="single" w:sz="4" w:space="0" w:color="auto"/>
              <w:left w:val="nil"/>
              <w:bottom w:val="nil"/>
              <w:right w:val="nil"/>
            </w:tcBorders>
          </w:tcPr>
          <w:p w:rsidR="00EA133A" w:rsidRDefault="00EA133A" w:rsidP="00F46A7F">
            <w:pPr>
              <w:rPr>
                <w:szCs w:val="24"/>
                <w:highlight w:val="lightGray"/>
              </w:rPr>
            </w:pPr>
            <w:bookmarkStart w:id="0" w:name="_GoBack"/>
            <w:bookmarkEnd w:id="0"/>
          </w:p>
        </w:tc>
        <w:tc>
          <w:tcPr>
            <w:tcW w:w="3780" w:type="dxa"/>
            <w:tcBorders>
              <w:top w:val="single" w:sz="4" w:space="0" w:color="auto"/>
              <w:left w:val="nil"/>
              <w:bottom w:val="nil"/>
              <w:right w:val="single" w:sz="4" w:space="0" w:color="auto"/>
            </w:tcBorders>
          </w:tcPr>
          <w:p w:rsidR="00EA133A" w:rsidRPr="00452029" w:rsidRDefault="00EA133A" w:rsidP="00EA133A">
            <w:pPr>
              <w:pStyle w:val="ListParagraph"/>
              <w:spacing w:before="60" w:after="60"/>
              <w:ind w:left="252"/>
              <w:rPr>
                <w:szCs w:val="24"/>
                <w:highlight w:val="lightGray"/>
              </w:rPr>
            </w:pPr>
          </w:p>
        </w:tc>
        <w:tc>
          <w:tcPr>
            <w:tcW w:w="7110" w:type="dxa"/>
            <w:tcBorders>
              <w:left w:val="single" w:sz="4" w:space="0" w:color="auto"/>
              <w:bottom w:val="single" w:sz="4" w:space="0" w:color="auto"/>
            </w:tcBorders>
            <w:shd w:val="clear" w:color="auto" w:fill="D9D9D9" w:themeFill="background1" w:themeFillShade="D9"/>
          </w:tcPr>
          <w:p w:rsidR="00EA133A" w:rsidRPr="00FF08C1" w:rsidRDefault="00036868" w:rsidP="007A424F">
            <w:pPr>
              <w:jc w:val="center"/>
              <w:rPr>
                <w:rFonts w:ascii="Arial" w:hAnsi="Arial" w:cs="Arial"/>
                <w:b/>
                <w:szCs w:val="24"/>
              </w:rPr>
            </w:pPr>
            <w:r>
              <w:rPr>
                <w:rFonts w:ascii="Arial" w:hAnsi="Arial" w:cs="Arial"/>
                <w:b/>
                <w:szCs w:val="24"/>
              </w:rPr>
              <w:t xml:space="preserve">Final </w:t>
            </w:r>
            <w:r w:rsidR="007A424F">
              <w:rPr>
                <w:rFonts w:ascii="Arial" w:hAnsi="Arial" w:cs="Arial"/>
                <w:b/>
                <w:szCs w:val="24"/>
              </w:rPr>
              <w:t xml:space="preserve">Core </w:t>
            </w:r>
            <w:r w:rsidR="00FF08C1">
              <w:rPr>
                <w:rFonts w:ascii="Arial" w:hAnsi="Arial" w:cs="Arial"/>
                <w:b/>
                <w:szCs w:val="24"/>
              </w:rPr>
              <w:t>Capability Rating</w:t>
            </w:r>
          </w:p>
        </w:tc>
        <w:tc>
          <w:tcPr>
            <w:tcW w:w="1170" w:type="dxa"/>
            <w:shd w:val="clear" w:color="auto" w:fill="D9D9D9" w:themeFill="background1" w:themeFillShade="D9"/>
          </w:tcPr>
          <w:p w:rsidR="00EA133A" w:rsidRPr="000F268D" w:rsidRDefault="00EA133A" w:rsidP="008D3B07">
            <w:pPr>
              <w:jc w:val="center"/>
              <w:rPr>
                <w:b/>
                <w:szCs w:val="24"/>
              </w:rPr>
            </w:pPr>
          </w:p>
        </w:tc>
      </w:tr>
    </w:tbl>
    <w:p w:rsidR="00D4020E" w:rsidRDefault="00D4020E">
      <w:pPr>
        <w:rPr>
          <w:szCs w:val="24"/>
        </w:rPr>
      </w:pPr>
    </w:p>
    <w:p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rsidTr="00955F17">
        <w:tc>
          <w:tcPr>
            <w:tcW w:w="5652" w:type="dxa"/>
            <w:shd w:val="clear" w:color="auto" w:fill="003366"/>
            <w:vAlign w:val="center"/>
          </w:tcPr>
          <w:p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rsidTr="00955F17">
        <w:trPr>
          <w:trHeight w:val="1042"/>
        </w:trPr>
        <w:tc>
          <w:tcPr>
            <w:tcW w:w="5652" w:type="dxa"/>
            <w:vAlign w:val="center"/>
          </w:tcPr>
          <w:p w:rsidR="00955F17" w:rsidRPr="000F268D" w:rsidRDefault="00A25D04" w:rsidP="00A25D04">
            <w:pPr>
              <w:rPr>
                <w:szCs w:val="24"/>
              </w:rPr>
            </w:pPr>
            <w:r>
              <w:rPr>
                <w:szCs w:val="24"/>
              </w:rPr>
              <w:t>P</w:t>
            </w:r>
            <w:r w:rsidR="00955F17" w:rsidRPr="000F268D">
              <w:rPr>
                <w:szCs w:val="24"/>
              </w:rPr>
              <w:t xml:space="preserve"> – Performed without Challenges</w:t>
            </w:r>
          </w:p>
          <w:p w:rsidR="00955F17" w:rsidRPr="000F268D" w:rsidRDefault="00A25D04" w:rsidP="00A25D04">
            <w:pPr>
              <w:rPr>
                <w:szCs w:val="24"/>
              </w:rPr>
            </w:pPr>
            <w:r>
              <w:rPr>
                <w:szCs w:val="24"/>
              </w:rPr>
              <w:t>S</w:t>
            </w:r>
            <w:r w:rsidR="00955F17" w:rsidRPr="000F268D">
              <w:rPr>
                <w:szCs w:val="24"/>
              </w:rPr>
              <w:t xml:space="preserve"> – Performed with Some Challenges</w:t>
            </w:r>
          </w:p>
          <w:p w:rsidR="00955F17" w:rsidRPr="000F268D" w:rsidRDefault="00A25D04" w:rsidP="00A25D04">
            <w:pPr>
              <w:rPr>
                <w:szCs w:val="24"/>
              </w:rPr>
            </w:pPr>
            <w:r>
              <w:rPr>
                <w:szCs w:val="24"/>
              </w:rPr>
              <w:t>M</w:t>
            </w:r>
            <w:r w:rsidR="00955F17" w:rsidRPr="000F268D">
              <w:rPr>
                <w:szCs w:val="24"/>
              </w:rPr>
              <w:t xml:space="preserve"> – Performed with Major Challenges</w:t>
            </w:r>
          </w:p>
          <w:p w:rsidR="00955F17" w:rsidRPr="000F268D" w:rsidRDefault="00A25D04" w:rsidP="00A25D04">
            <w:pPr>
              <w:rPr>
                <w:szCs w:val="24"/>
              </w:rPr>
            </w:pPr>
            <w:r>
              <w:rPr>
                <w:szCs w:val="24"/>
              </w:rPr>
              <w:t>U</w:t>
            </w:r>
            <w:r w:rsidR="00955F17" w:rsidRPr="000F268D">
              <w:rPr>
                <w:szCs w:val="24"/>
              </w:rPr>
              <w:t xml:space="preserve"> – Unable to be Performed </w:t>
            </w:r>
          </w:p>
        </w:tc>
      </w:tr>
    </w:tbl>
    <w:p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rsidR="00525816" w:rsidRDefault="00525816" w:rsidP="00955F17">
      <w:pPr>
        <w:rPr>
          <w:szCs w:val="24"/>
        </w:rPr>
        <w:sectPr w:rsidR="00525816" w:rsidSect="00FB101F">
          <w:footerReference w:type="default" r:id="rId10"/>
          <w:pgSz w:w="15840" w:h="12240" w:orient="landscape"/>
          <w:pgMar w:top="720" w:right="1440" w:bottom="720" w:left="1440" w:header="720" w:footer="432" w:gutter="0"/>
          <w:cols w:space="720"/>
          <w:docGrid w:linePitch="360"/>
        </w:sectPr>
      </w:pPr>
    </w:p>
    <w:p w:rsidR="006335A3" w:rsidRDefault="006335A3" w:rsidP="00955F17">
      <w:pPr>
        <w:rPr>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Ind w:w="468" w:type="dxa"/>
        <w:tblLook w:val="04A0" w:firstRow="1" w:lastRow="0" w:firstColumn="1" w:lastColumn="0" w:noHBand="0" w:noVBand="1"/>
      </w:tblPr>
      <w:tblGrid>
        <w:gridCol w:w="3134"/>
        <w:gridCol w:w="9574"/>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85" w:rsidRDefault="00831D85" w:rsidP="00955F17">
      <w:r>
        <w:separator/>
      </w:r>
    </w:p>
  </w:endnote>
  <w:endnote w:type="continuationSeparator" w:id="0">
    <w:p w:rsidR="00831D85" w:rsidRDefault="00831D85"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F133CC" w:rsidP="00C737F2">
    <w:pPr>
      <w:tabs>
        <w:tab w:val="center" w:pos="6480"/>
      </w:tabs>
      <w:spacing w:before="60"/>
      <w:rPr>
        <w:rFonts w:ascii="Arial" w:hAnsi="Arial" w:cs="Arial"/>
        <w:color w:val="000080"/>
        <w:sz w:val="18"/>
        <w:szCs w:val="18"/>
      </w:rPr>
    </w:pPr>
    <w:r>
      <w:rPr>
        <w:rFonts w:ascii="Arial" w:hAnsi="Arial" w:cs="Arial"/>
        <w:color w:val="000080"/>
        <w:sz w:val="18"/>
        <w:szCs w:val="18"/>
      </w:rPr>
      <w:t>EEG-</w:t>
    </w:r>
    <w:proofErr w:type="spellStart"/>
    <w:r>
      <w:rPr>
        <w:rFonts w:ascii="Arial" w:hAnsi="Arial" w:cs="Arial"/>
        <w:color w:val="000080"/>
        <w:sz w:val="18"/>
        <w:szCs w:val="18"/>
      </w:rPr>
      <w:t>Resp</w:t>
    </w:r>
    <w:proofErr w:type="spellEnd"/>
    <w:r w:rsidR="00537EB3">
      <w:rPr>
        <w:rFonts w:ascii="Arial" w:hAnsi="Arial" w:cs="Arial"/>
        <w:color w:val="000080"/>
        <w:sz w:val="18"/>
        <w:szCs w:val="18"/>
      </w:rPr>
      <w:t>-</w:t>
    </w:r>
    <w:proofErr w:type="spellStart"/>
    <w:r w:rsidR="003C3BB5">
      <w:rPr>
        <w:rFonts w:ascii="Arial" w:hAnsi="Arial" w:cs="Arial"/>
        <w:color w:val="000080"/>
        <w:sz w:val="18"/>
        <w:szCs w:val="18"/>
      </w:rPr>
      <w:t>OpComms</w:t>
    </w:r>
    <w:proofErr w:type="spellEnd"/>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004E04A0">
      <w:rPr>
        <w:rStyle w:val="PageNumber"/>
        <w:rFonts w:ascii="Arial" w:eastAsia="Times New Roman" w:hAnsi="Arial" w:cs="Arial"/>
        <w:color w:val="000080"/>
        <w:sz w:val="18"/>
        <w:szCs w:val="18"/>
      </w:rPr>
      <w:t>FOUO</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004E04A0">
      <w:rPr>
        <w:rStyle w:val="PageNumber"/>
        <w:rFonts w:ascii="Arial" w:eastAsia="Times New Roman" w:hAnsi="Arial" w:cs="Arial"/>
        <w:color w:val="000080"/>
        <w:sz w:val="18"/>
        <w:szCs w:val="18"/>
      </w:rPr>
      <w:t>FOUO</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85" w:rsidRDefault="00831D85" w:rsidP="00955F17">
      <w:r>
        <w:separator/>
      </w:r>
    </w:p>
  </w:footnote>
  <w:footnote w:type="continuationSeparator" w:id="0">
    <w:p w:rsidR="00831D85" w:rsidRDefault="00831D85"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396B"/>
    <w:rsid w:val="000C4D24"/>
    <w:rsid w:val="000D2BE8"/>
    <w:rsid w:val="000D491C"/>
    <w:rsid w:val="000E108A"/>
    <w:rsid w:val="000E2EE1"/>
    <w:rsid w:val="000F268D"/>
    <w:rsid w:val="000F521C"/>
    <w:rsid w:val="000F5E51"/>
    <w:rsid w:val="0010033C"/>
    <w:rsid w:val="00112BD0"/>
    <w:rsid w:val="00152978"/>
    <w:rsid w:val="001A4F97"/>
    <w:rsid w:val="001D6C99"/>
    <w:rsid w:val="001E7B6F"/>
    <w:rsid w:val="0021261C"/>
    <w:rsid w:val="00284301"/>
    <w:rsid w:val="002B08EF"/>
    <w:rsid w:val="002B395F"/>
    <w:rsid w:val="002D6F07"/>
    <w:rsid w:val="002E0111"/>
    <w:rsid w:val="002E7D11"/>
    <w:rsid w:val="00311DEC"/>
    <w:rsid w:val="00336FE6"/>
    <w:rsid w:val="00351DDD"/>
    <w:rsid w:val="00371A71"/>
    <w:rsid w:val="003745F2"/>
    <w:rsid w:val="0038063E"/>
    <w:rsid w:val="00381AF1"/>
    <w:rsid w:val="00387738"/>
    <w:rsid w:val="003B303B"/>
    <w:rsid w:val="003C3BB5"/>
    <w:rsid w:val="003F7ABC"/>
    <w:rsid w:val="00404AC2"/>
    <w:rsid w:val="00433C20"/>
    <w:rsid w:val="00452029"/>
    <w:rsid w:val="0046656B"/>
    <w:rsid w:val="004B0220"/>
    <w:rsid w:val="004C106E"/>
    <w:rsid w:val="004C1197"/>
    <w:rsid w:val="004D237A"/>
    <w:rsid w:val="004E04A0"/>
    <w:rsid w:val="004F3766"/>
    <w:rsid w:val="004F6F29"/>
    <w:rsid w:val="00503BD8"/>
    <w:rsid w:val="00516715"/>
    <w:rsid w:val="00525816"/>
    <w:rsid w:val="0053227E"/>
    <w:rsid w:val="00537EB3"/>
    <w:rsid w:val="00546F00"/>
    <w:rsid w:val="006335A3"/>
    <w:rsid w:val="00637663"/>
    <w:rsid w:val="00644776"/>
    <w:rsid w:val="00644FEE"/>
    <w:rsid w:val="00656C05"/>
    <w:rsid w:val="006739E1"/>
    <w:rsid w:val="006776F9"/>
    <w:rsid w:val="00681319"/>
    <w:rsid w:val="0069017F"/>
    <w:rsid w:val="00690875"/>
    <w:rsid w:val="006A62E4"/>
    <w:rsid w:val="006C4257"/>
    <w:rsid w:val="006C6F5E"/>
    <w:rsid w:val="006E346E"/>
    <w:rsid w:val="006F2B2F"/>
    <w:rsid w:val="007130B9"/>
    <w:rsid w:val="0074097E"/>
    <w:rsid w:val="007530FB"/>
    <w:rsid w:val="007539C3"/>
    <w:rsid w:val="007667C7"/>
    <w:rsid w:val="0077085D"/>
    <w:rsid w:val="007850A0"/>
    <w:rsid w:val="007915FF"/>
    <w:rsid w:val="007A424F"/>
    <w:rsid w:val="007B1211"/>
    <w:rsid w:val="007C2E85"/>
    <w:rsid w:val="007D48EB"/>
    <w:rsid w:val="007F2C03"/>
    <w:rsid w:val="00823926"/>
    <w:rsid w:val="0082534B"/>
    <w:rsid w:val="00831D85"/>
    <w:rsid w:val="008348C6"/>
    <w:rsid w:val="00837F9C"/>
    <w:rsid w:val="00844C46"/>
    <w:rsid w:val="008A1879"/>
    <w:rsid w:val="008D0B19"/>
    <w:rsid w:val="008D3B07"/>
    <w:rsid w:val="0090703C"/>
    <w:rsid w:val="00916D16"/>
    <w:rsid w:val="0093201D"/>
    <w:rsid w:val="009341E2"/>
    <w:rsid w:val="00953F25"/>
    <w:rsid w:val="00955F17"/>
    <w:rsid w:val="00973C96"/>
    <w:rsid w:val="00986BAC"/>
    <w:rsid w:val="0099787B"/>
    <w:rsid w:val="009B0B2E"/>
    <w:rsid w:val="009C0948"/>
    <w:rsid w:val="009C7185"/>
    <w:rsid w:val="009D470E"/>
    <w:rsid w:val="00A234BB"/>
    <w:rsid w:val="00A25D04"/>
    <w:rsid w:val="00A71276"/>
    <w:rsid w:val="00A91347"/>
    <w:rsid w:val="00A95616"/>
    <w:rsid w:val="00A97B28"/>
    <w:rsid w:val="00AE3828"/>
    <w:rsid w:val="00B34F28"/>
    <w:rsid w:val="00B95816"/>
    <w:rsid w:val="00BA5844"/>
    <w:rsid w:val="00BE2B8C"/>
    <w:rsid w:val="00BE55D8"/>
    <w:rsid w:val="00C01FE1"/>
    <w:rsid w:val="00C145F8"/>
    <w:rsid w:val="00C155A2"/>
    <w:rsid w:val="00C36890"/>
    <w:rsid w:val="00C4049A"/>
    <w:rsid w:val="00C43EC7"/>
    <w:rsid w:val="00C527E5"/>
    <w:rsid w:val="00C56E61"/>
    <w:rsid w:val="00C66244"/>
    <w:rsid w:val="00C737F2"/>
    <w:rsid w:val="00C76678"/>
    <w:rsid w:val="00C875C6"/>
    <w:rsid w:val="00CA0B73"/>
    <w:rsid w:val="00CC7E2F"/>
    <w:rsid w:val="00D4020E"/>
    <w:rsid w:val="00D77C34"/>
    <w:rsid w:val="00D93B9C"/>
    <w:rsid w:val="00DA7AE6"/>
    <w:rsid w:val="00DB72DC"/>
    <w:rsid w:val="00DD3050"/>
    <w:rsid w:val="00DE345E"/>
    <w:rsid w:val="00DE36A0"/>
    <w:rsid w:val="00E17DBC"/>
    <w:rsid w:val="00E21682"/>
    <w:rsid w:val="00E47F19"/>
    <w:rsid w:val="00EA133A"/>
    <w:rsid w:val="00ED02ED"/>
    <w:rsid w:val="00F133CC"/>
    <w:rsid w:val="00F34CCC"/>
    <w:rsid w:val="00F46A7F"/>
    <w:rsid w:val="00F77D42"/>
    <w:rsid w:val="00F82C3F"/>
    <w:rsid w:val="00F91DE5"/>
    <w:rsid w:val="00FB101F"/>
    <w:rsid w:val="00FB4175"/>
    <w:rsid w:val="00FD6EC0"/>
    <w:rsid w:val="00FE25E3"/>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 w:type="paragraph" w:styleId="NormalWeb">
    <w:name w:val="Normal (Web)"/>
    <w:basedOn w:val="Normal"/>
    <w:uiPriority w:val="99"/>
    <w:semiHidden/>
    <w:unhideWhenUsed/>
    <w:rsid w:val="00FE25E3"/>
    <w:pPr>
      <w:spacing w:before="100" w:beforeAutospacing="1" w:after="100" w:afterAutospacing="1"/>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 w:type="paragraph" w:styleId="NormalWeb">
    <w:name w:val="Normal (Web)"/>
    <w:basedOn w:val="Normal"/>
    <w:uiPriority w:val="99"/>
    <w:semiHidden/>
    <w:unhideWhenUsed/>
    <w:rsid w:val="00FE25E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71E9-900D-4639-AAC6-94A86D64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iie60547</cp:lastModifiedBy>
  <cp:revision>2</cp:revision>
  <cp:lastPrinted>2013-03-29T20:22:00Z</cp:lastPrinted>
  <dcterms:created xsi:type="dcterms:W3CDTF">2015-12-22T20:27:00Z</dcterms:created>
  <dcterms:modified xsi:type="dcterms:W3CDTF">2015-12-22T20:27:00Z</dcterms:modified>
</cp:coreProperties>
</file>